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5131AC" w14:paraId="22DEB2E0" w14:textId="77777777" w:rsidTr="00C4421B">
        <w:trPr>
          <w:cantSplit/>
          <w:trHeight w:val="23"/>
        </w:trPr>
        <w:tc>
          <w:tcPr>
            <w:tcW w:w="3969" w:type="dxa"/>
            <w:vMerge w:val="restart"/>
            <w:tcMar>
              <w:left w:w="0" w:type="dxa"/>
            </w:tcMar>
          </w:tcPr>
          <w:p w14:paraId="5B3879D1" w14:textId="1D2FB96D" w:rsidR="00FE57F6" w:rsidRPr="005131AC" w:rsidRDefault="00BB6FD8" w:rsidP="00C4421B">
            <w:pPr>
              <w:tabs>
                <w:tab w:val="left" w:pos="851"/>
              </w:tabs>
              <w:spacing w:before="0" w:line="240" w:lineRule="atLeast"/>
              <w:rPr>
                <w:b/>
                <w:lang w:val="es-ES"/>
              </w:rPr>
            </w:pPr>
            <w:bookmarkStart w:id="0" w:name="_Hlk133421839"/>
            <w:r w:rsidRPr="005131AC">
              <w:rPr>
                <w:b/>
                <w:lang w:val="es-ES"/>
              </w:rPr>
              <w:t>Orden del día</w:t>
            </w:r>
            <w:r w:rsidR="00FE57F6" w:rsidRPr="005131AC">
              <w:rPr>
                <w:b/>
                <w:lang w:val="es-ES"/>
              </w:rPr>
              <w:t xml:space="preserve">: </w:t>
            </w:r>
            <w:r w:rsidR="00DB1D6B" w:rsidRPr="005131AC">
              <w:rPr>
                <w:b/>
                <w:lang w:val="es-ES"/>
              </w:rPr>
              <w:t>ADM 1</w:t>
            </w:r>
          </w:p>
        </w:tc>
        <w:tc>
          <w:tcPr>
            <w:tcW w:w="5245" w:type="dxa"/>
          </w:tcPr>
          <w:p w14:paraId="20A63227" w14:textId="23689D22" w:rsidR="00FE57F6" w:rsidRPr="005131AC" w:rsidRDefault="00FE57F6" w:rsidP="00C4421B">
            <w:pPr>
              <w:tabs>
                <w:tab w:val="left" w:pos="851"/>
              </w:tabs>
              <w:spacing w:before="0" w:line="240" w:lineRule="atLeast"/>
              <w:jc w:val="right"/>
              <w:rPr>
                <w:b/>
                <w:lang w:val="es-ES"/>
              </w:rPr>
            </w:pPr>
            <w:r w:rsidRPr="005131AC">
              <w:rPr>
                <w:b/>
                <w:lang w:val="es-ES"/>
              </w:rPr>
              <w:t>Document</w:t>
            </w:r>
            <w:r w:rsidR="00F24B71" w:rsidRPr="005131AC">
              <w:rPr>
                <w:b/>
                <w:lang w:val="es-ES"/>
              </w:rPr>
              <w:t>o</w:t>
            </w:r>
            <w:r w:rsidRPr="005131AC">
              <w:rPr>
                <w:b/>
                <w:lang w:val="es-ES"/>
              </w:rPr>
              <w:t xml:space="preserve"> C2</w:t>
            </w:r>
            <w:r w:rsidR="00F85E5C" w:rsidRPr="005131AC">
              <w:rPr>
                <w:b/>
                <w:lang w:val="es-ES"/>
              </w:rPr>
              <w:t>6</w:t>
            </w:r>
            <w:r w:rsidRPr="005131AC">
              <w:rPr>
                <w:b/>
                <w:lang w:val="es-ES"/>
              </w:rPr>
              <w:t>/</w:t>
            </w:r>
            <w:r w:rsidR="00DB1D6B" w:rsidRPr="005131AC">
              <w:rPr>
                <w:b/>
                <w:lang w:val="es-ES"/>
              </w:rPr>
              <w:t>9</w:t>
            </w:r>
            <w:r w:rsidRPr="005131AC">
              <w:rPr>
                <w:b/>
                <w:lang w:val="es-ES"/>
              </w:rPr>
              <w:t>-</w:t>
            </w:r>
            <w:r w:rsidR="00F24B71" w:rsidRPr="005131AC">
              <w:rPr>
                <w:b/>
                <w:lang w:val="es-ES"/>
              </w:rPr>
              <w:t>S</w:t>
            </w:r>
          </w:p>
        </w:tc>
      </w:tr>
      <w:tr w:rsidR="00FE57F6" w:rsidRPr="005131AC" w14:paraId="7B671851" w14:textId="77777777" w:rsidTr="00C4421B">
        <w:trPr>
          <w:cantSplit/>
        </w:trPr>
        <w:tc>
          <w:tcPr>
            <w:tcW w:w="3969" w:type="dxa"/>
            <w:vMerge/>
          </w:tcPr>
          <w:p w14:paraId="5480F166" w14:textId="77777777" w:rsidR="00FE57F6" w:rsidRPr="005131AC" w:rsidRDefault="00FE57F6" w:rsidP="00C4421B">
            <w:pPr>
              <w:tabs>
                <w:tab w:val="left" w:pos="851"/>
              </w:tabs>
              <w:spacing w:line="240" w:lineRule="atLeast"/>
              <w:rPr>
                <w:b/>
                <w:lang w:val="es-ES"/>
              </w:rPr>
            </w:pPr>
          </w:p>
        </w:tc>
        <w:tc>
          <w:tcPr>
            <w:tcW w:w="5245" w:type="dxa"/>
          </w:tcPr>
          <w:p w14:paraId="71B9AE78" w14:textId="02BD80A7" w:rsidR="00FE57F6" w:rsidRPr="005131AC" w:rsidRDefault="00DB1D6B" w:rsidP="00C4421B">
            <w:pPr>
              <w:tabs>
                <w:tab w:val="left" w:pos="851"/>
              </w:tabs>
              <w:spacing w:before="0"/>
              <w:jc w:val="right"/>
              <w:rPr>
                <w:b/>
                <w:lang w:val="es-ES"/>
              </w:rPr>
            </w:pPr>
            <w:r w:rsidRPr="005131AC">
              <w:rPr>
                <w:b/>
                <w:lang w:val="es-ES"/>
              </w:rPr>
              <w:t>27 de marzo de 2026</w:t>
            </w:r>
          </w:p>
        </w:tc>
      </w:tr>
      <w:tr w:rsidR="00FE57F6" w:rsidRPr="005131AC" w14:paraId="062B5969" w14:textId="77777777" w:rsidTr="00C4421B">
        <w:trPr>
          <w:cantSplit/>
          <w:trHeight w:val="23"/>
        </w:trPr>
        <w:tc>
          <w:tcPr>
            <w:tcW w:w="3969" w:type="dxa"/>
            <w:vMerge/>
          </w:tcPr>
          <w:p w14:paraId="3D1CDCD4" w14:textId="77777777" w:rsidR="00FE57F6" w:rsidRPr="005131AC" w:rsidRDefault="00FE57F6" w:rsidP="00C4421B">
            <w:pPr>
              <w:tabs>
                <w:tab w:val="left" w:pos="851"/>
              </w:tabs>
              <w:spacing w:line="240" w:lineRule="atLeast"/>
              <w:rPr>
                <w:b/>
                <w:lang w:val="es-ES"/>
              </w:rPr>
            </w:pPr>
          </w:p>
        </w:tc>
        <w:tc>
          <w:tcPr>
            <w:tcW w:w="5245" w:type="dxa"/>
          </w:tcPr>
          <w:p w14:paraId="17507F2B" w14:textId="77777777" w:rsidR="00FE57F6" w:rsidRPr="005131AC" w:rsidRDefault="00F24B71" w:rsidP="00C4421B">
            <w:pPr>
              <w:tabs>
                <w:tab w:val="left" w:pos="851"/>
              </w:tabs>
              <w:spacing w:before="0" w:line="240" w:lineRule="atLeast"/>
              <w:jc w:val="right"/>
              <w:rPr>
                <w:b/>
                <w:bCs/>
                <w:lang w:val="es-ES"/>
              </w:rPr>
            </w:pPr>
            <w:r w:rsidRPr="005131AC">
              <w:rPr>
                <w:rFonts w:cstheme="minorHAnsi"/>
                <w:b/>
                <w:bCs/>
                <w:lang w:val="es-ES"/>
              </w:rPr>
              <w:t>Original: inglés</w:t>
            </w:r>
          </w:p>
        </w:tc>
      </w:tr>
      <w:tr w:rsidR="00FE57F6" w:rsidRPr="005131AC" w14:paraId="57D08AED" w14:textId="77777777" w:rsidTr="00C4421B">
        <w:trPr>
          <w:cantSplit/>
          <w:trHeight w:val="23"/>
        </w:trPr>
        <w:tc>
          <w:tcPr>
            <w:tcW w:w="3969" w:type="dxa"/>
          </w:tcPr>
          <w:p w14:paraId="4811BAE1" w14:textId="77777777" w:rsidR="00FE57F6" w:rsidRPr="005131AC" w:rsidRDefault="00FE57F6" w:rsidP="00C4421B">
            <w:pPr>
              <w:tabs>
                <w:tab w:val="left" w:pos="851"/>
              </w:tabs>
              <w:spacing w:line="240" w:lineRule="atLeast"/>
              <w:rPr>
                <w:b/>
                <w:lang w:val="es-ES"/>
              </w:rPr>
            </w:pPr>
          </w:p>
        </w:tc>
        <w:tc>
          <w:tcPr>
            <w:tcW w:w="5245" w:type="dxa"/>
          </w:tcPr>
          <w:p w14:paraId="6B3B2A3E" w14:textId="77777777" w:rsidR="00FE57F6" w:rsidRPr="005131AC" w:rsidRDefault="00FE57F6" w:rsidP="00C4421B">
            <w:pPr>
              <w:tabs>
                <w:tab w:val="left" w:pos="851"/>
              </w:tabs>
              <w:spacing w:before="0" w:line="240" w:lineRule="atLeast"/>
              <w:jc w:val="right"/>
              <w:rPr>
                <w:b/>
                <w:lang w:val="es-ES"/>
              </w:rPr>
            </w:pPr>
          </w:p>
        </w:tc>
      </w:tr>
      <w:tr w:rsidR="00FE57F6" w:rsidRPr="00181142" w14:paraId="0AA74F69" w14:textId="77777777" w:rsidTr="00C4421B">
        <w:trPr>
          <w:cantSplit/>
        </w:trPr>
        <w:tc>
          <w:tcPr>
            <w:tcW w:w="9214" w:type="dxa"/>
            <w:gridSpan w:val="2"/>
            <w:tcMar>
              <w:left w:w="0" w:type="dxa"/>
            </w:tcMar>
          </w:tcPr>
          <w:p w14:paraId="766E906B" w14:textId="77777777" w:rsidR="00FE57F6" w:rsidRPr="005131AC" w:rsidRDefault="00157AC4" w:rsidP="00D11ADD">
            <w:pPr>
              <w:pStyle w:val="Source"/>
              <w:framePr w:hSpace="0" w:wrap="auto" w:vAnchor="margin" w:hAnchor="text" w:xAlign="left" w:yAlign="inline"/>
              <w:spacing w:before="720"/>
            </w:pPr>
            <w:r w:rsidRPr="00181142">
              <w:t>Informe</w:t>
            </w:r>
            <w:r w:rsidRPr="005131AC">
              <w:t xml:space="preserve"> de la Secretaria General</w:t>
            </w:r>
          </w:p>
        </w:tc>
      </w:tr>
      <w:tr w:rsidR="00FE57F6" w:rsidRPr="00181142" w14:paraId="02B3E7A4" w14:textId="77777777" w:rsidTr="00C4421B">
        <w:trPr>
          <w:cantSplit/>
        </w:trPr>
        <w:tc>
          <w:tcPr>
            <w:tcW w:w="9214" w:type="dxa"/>
            <w:gridSpan w:val="2"/>
            <w:tcMar>
              <w:left w:w="0" w:type="dxa"/>
            </w:tcMar>
          </w:tcPr>
          <w:p w14:paraId="4F9E3068" w14:textId="28DEF67C" w:rsidR="00FE57F6" w:rsidRPr="005131AC" w:rsidRDefault="00181142" w:rsidP="00C4421B">
            <w:pPr>
              <w:pStyle w:val="Subtitle"/>
              <w:framePr w:hSpace="0" w:wrap="auto" w:hAnchor="text" w:xAlign="left" w:yAlign="inline"/>
              <w:rPr>
                <w:lang w:val="es-ES"/>
              </w:rPr>
            </w:pPr>
            <w:r w:rsidRPr="005131AC">
              <w:rPr>
                <w:lang w:val="es-ES"/>
              </w:rPr>
              <w:t>EXAMEN ANUAL DE INGRESOS Y GASTOS DE LA EJECUCIÓN DEL PRESUPUESTO PARA 2026, INCLUIDA LA REDUCCIÓN</w:t>
            </w:r>
            <w:r>
              <w:rPr>
                <w:lang w:val="es-ES"/>
              </w:rPr>
              <w:t xml:space="preserve"> </w:t>
            </w:r>
            <w:r w:rsidRPr="005131AC">
              <w:rPr>
                <w:lang w:val="es-ES"/>
              </w:rPr>
              <w:t>GLOBAL DEL PRESUPUESTO PARA 2026-2027</w:t>
            </w:r>
          </w:p>
        </w:tc>
      </w:tr>
      <w:tr w:rsidR="00FE57F6" w:rsidRPr="00181142" w14:paraId="6A47257E" w14:textId="77777777" w:rsidTr="00C4421B">
        <w:trPr>
          <w:cantSplit/>
        </w:trPr>
        <w:tc>
          <w:tcPr>
            <w:tcW w:w="9214" w:type="dxa"/>
            <w:gridSpan w:val="2"/>
            <w:tcBorders>
              <w:top w:val="single" w:sz="4" w:space="0" w:color="auto"/>
              <w:bottom w:val="single" w:sz="4" w:space="0" w:color="auto"/>
            </w:tcBorders>
            <w:tcMar>
              <w:left w:w="0" w:type="dxa"/>
            </w:tcMar>
          </w:tcPr>
          <w:p w14:paraId="4ACA3A98" w14:textId="77777777" w:rsidR="00FE57F6" w:rsidRPr="005131AC" w:rsidRDefault="00F24B71" w:rsidP="00D11ADD">
            <w:pPr>
              <w:rPr>
                <w:b/>
                <w:bCs/>
                <w:sz w:val="26"/>
                <w:szCs w:val="26"/>
                <w:lang w:val="es-ES"/>
              </w:rPr>
            </w:pPr>
            <w:r w:rsidRPr="005131AC">
              <w:rPr>
                <w:b/>
                <w:bCs/>
                <w:sz w:val="26"/>
                <w:szCs w:val="26"/>
                <w:lang w:val="es-ES"/>
              </w:rPr>
              <w:t>Finalidad</w:t>
            </w:r>
          </w:p>
          <w:p w14:paraId="75AF3738" w14:textId="5F400B01" w:rsidR="00DB1D6B" w:rsidRPr="005131AC" w:rsidRDefault="00DB1D6B" w:rsidP="00181142">
            <w:pPr>
              <w:spacing w:before="60"/>
              <w:jc w:val="both"/>
              <w:rPr>
                <w:lang w:val="es-ES"/>
              </w:rPr>
            </w:pPr>
            <w:r w:rsidRPr="005131AC">
              <w:rPr>
                <w:lang w:val="es-ES"/>
              </w:rPr>
              <w:t>En su reunión de 2025 el Consejo consideró y aprobó el presupuesto bienal de la Unión para el periodo 2026</w:t>
            </w:r>
            <w:r w:rsidR="00181142">
              <w:rPr>
                <w:lang w:val="es-ES"/>
              </w:rPr>
              <w:t>-</w:t>
            </w:r>
            <w:r w:rsidRPr="005131AC">
              <w:rPr>
                <w:lang w:val="es-ES"/>
              </w:rPr>
              <w:t xml:space="preserve">2027 en su </w:t>
            </w:r>
            <w:r w:rsidRPr="00AD79BD">
              <w:rPr>
                <w:lang w:val="es-ES"/>
              </w:rPr>
              <w:t xml:space="preserve">Resolución </w:t>
            </w:r>
            <w:hyperlink r:id="rId7" w:history="1">
              <w:r w:rsidRPr="00AD79BD">
                <w:rPr>
                  <w:rStyle w:val="Hyperlink"/>
                  <w:rFonts w:eastAsia="Times New Roman" w:cs="Times New Roman"/>
                  <w:szCs w:val="20"/>
                  <w:lang w:val="es-ES"/>
                </w:rPr>
                <w:t>1435</w:t>
              </w:r>
            </w:hyperlink>
            <w:r w:rsidRPr="005131AC">
              <w:rPr>
                <w:lang w:val="es-ES"/>
              </w:rPr>
              <w:t>. El presupuesto aprobado prevé una reducción global de 6</w:t>
            </w:r>
            <w:r w:rsidR="005131AC" w:rsidRPr="005131AC">
              <w:rPr>
                <w:lang w:val="es-ES"/>
              </w:rPr>
              <w:t> </w:t>
            </w:r>
            <w:r w:rsidRPr="005131AC">
              <w:rPr>
                <w:lang w:val="es-ES"/>
              </w:rPr>
              <w:t>008 millones de francos suizos entre el nivel de gastos aprobados y el de ingresos previstos. A fin de presentar un presupuesto equilibrado, esa diferencia se compensó reduciendo en consecuencia la partida global de gastos. Tras el debate sostenido en el GTC</w:t>
            </w:r>
            <w:r w:rsidR="00AD79BD">
              <w:rPr>
                <w:lang w:val="es-ES"/>
              </w:rPr>
              <w:noBreakHyphen/>
            </w:r>
            <w:r w:rsidRPr="005131AC">
              <w:rPr>
                <w:lang w:val="es-ES"/>
              </w:rPr>
              <w:t>RHF en su reunión de enero de 2026, la Secretaría empezó a aplicar las medidas que se presentan en este documento.</w:t>
            </w:r>
          </w:p>
          <w:p w14:paraId="5DE64E76" w14:textId="77777777" w:rsidR="00DB1D6B" w:rsidRPr="005131AC" w:rsidRDefault="00DB1D6B" w:rsidP="00181142">
            <w:pPr>
              <w:spacing w:before="60"/>
              <w:jc w:val="both"/>
              <w:rPr>
                <w:lang w:val="es-ES"/>
              </w:rPr>
            </w:pPr>
            <w:r w:rsidRPr="005131AC">
              <w:rPr>
                <w:lang w:val="es-ES"/>
              </w:rPr>
              <w:t>El Comité de Coordinación (CoCo) ha intensificado su labor supervisora introduciendo medidas más estrictas de control y supervisión del presupuesto con el objetivo de garantizar que los gastos se ajustan en la mayor medida posible al presupuesto aprobado y la necesaria reducción global. Entre esas medidas se incluye un mayor escrutinio de los planes de gastos, un control más firme de la ejecución presupuestaria y un examen más frecuente de las tendencias de gasto para garantizar la oportuna adopción de medidas correctivas, en su caso.</w:t>
            </w:r>
          </w:p>
          <w:p w14:paraId="4B36C604" w14:textId="675CED17" w:rsidR="00FE57F6" w:rsidRPr="005131AC" w:rsidRDefault="00DB1D6B" w:rsidP="00181142">
            <w:pPr>
              <w:spacing w:before="60"/>
              <w:jc w:val="both"/>
              <w:rPr>
                <w:lang w:val="es-ES"/>
              </w:rPr>
            </w:pPr>
            <w:r w:rsidRPr="005131AC">
              <w:rPr>
                <w:lang w:val="es-ES"/>
              </w:rPr>
              <w:t>En las siguientes secciones se presentan los avances realizados hasta la fecha y las medidas que se están aplicando.</w:t>
            </w:r>
          </w:p>
          <w:p w14:paraId="0F576E68" w14:textId="77777777" w:rsidR="00FE57F6" w:rsidRPr="005131AC" w:rsidRDefault="00F24B71" w:rsidP="00D11ADD">
            <w:pPr>
              <w:rPr>
                <w:b/>
                <w:bCs/>
                <w:sz w:val="26"/>
                <w:szCs w:val="26"/>
                <w:lang w:val="es-ES"/>
              </w:rPr>
            </w:pPr>
            <w:r w:rsidRPr="005131AC">
              <w:rPr>
                <w:b/>
                <w:bCs/>
                <w:sz w:val="26"/>
                <w:szCs w:val="26"/>
                <w:lang w:val="es-ES"/>
              </w:rPr>
              <w:t xml:space="preserve">Acción solicitada </w:t>
            </w:r>
            <w:r w:rsidR="00677A97" w:rsidRPr="005131AC">
              <w:rPr>
                <w:b/>
                <w:bCs/>
                <w:sz w:val="26"/>
                <w:szCs w:val="26"/>
                <w:lang w:val="es-ES"/>
              </w:rPr>
              <w:t>al</w:t>
            </w:r>
            <w:r w:rsidRPr="005131AC">
              <w:rPr>
                <w:b/>
                <w:bCs/>
                <w:sz w:val="26"/>
                <w:szCs w:val="26"/>
                <w:lang w:val="es-ES"/>
              </w:rPr>
              <w:t xml:space="preserve"> Consejo</w:t>
            </w:r>
          </w:p>
          <w:p w14:paraId="2833554A" w14:textId="42F3257E" w:rsidR="00F92BED" w:rsidRPr="005131AC" w:rsidRDefault="00DB1D6B" w:rsidP="0065674E">
            <w:pPr>
              <w:spacing w:before="60"/>
              <w:rPr>
                <w:szCs w:val="24"/>
                <w:lang w:val="es-ES"/>
              </w:rPr>
            </w:pPr>
            <w:r w:rsidRPr="005131AC">
              <w:rPr>
                <w:szCs w:val="24"/>
                <w:lang w:val="es-ES"/>
              </w:rPr>
              <w:t xml:space="preserve">Se invita al Consejo a </w:t>
            </w:r>
            <w:r w:rsidRPr="005131AC">
              <w:rPr>
                <w:b/>
                <w:bCs/>
                <w:szCs w:val="24"/>
                <w:lang w:val="es-ES"/>
              </w:rPr>
              <w:t xml:space="preserve">tomar nota </w:t>
            </w:r>
            <w:r w:rsidRPr="005131AC">
              <w:rPr>
                <w:szCs w:val="24"/>
                <w:lang w:val="es-ES"/>
              </w:rPr>
              <w:t>del presente documento.</w:t>
            </w:r>
          </w:p>
          <w:p w14:paraId="545BB2A0" w14:textId="77777777" w:rsidR="00F92BED" w:rsidRPr="005131AC" w:rsidRDefault="00F92BED" w:rsidP="00D11ADD">
            <w:pPr>
              <w:rPr>
                <w:b/>
                <w:bCs/>
                <w:sz w:val="26"/>
                <w:szCs w:val="26"/>
                <w:lang w:val="es-ES"/>
              </w:rPr>
            </w:pPr>
            <w:r w:rsidRPr="005131AC">
              <w:rPr>
                <w:b/>
                <w:bCs/>
                <w:sz w:val="26"/>
                <w:szCs w:val="26"/>
                <w:lang w:val="es-ES"/>
              </w:rPr>
              <w:t>Vínculo(s) pertinente(s) con el Plan Estratégico</w:t>
            </w:r>
          </w:p>
          <w:p w14:paraId="1D7FB237" w14:textId="6710675A" w:rsidR="0065674E" w:rsidRDefault="0065674E" w:rsidP="0065674E">
            <w:pPr>
              <w:spacing w:before="60"/>
              <w:rPr>
                <w:lang w:val="es-ES"/>
              </w:rPr>
            </w:pPr>
            <w:r w:rsidRPr="0065674E">
              <w:rPr>
                <w:lang w:val="es-ES"/>
              </w:rPr>
              <w:t>El presupuesto de 2026 financia los dos objetivos y las cinco prioridades temáticas de la UIT.</w:t>
            </w:r>
          </w:p>
          <w:p w14:paraId="6695D810" w14:textId="72C68C47" w:rsidR="00F92BED" w:rsidRDefault="00F92BED" w:rsidP="00D11ADD">
            <w:pPr>
              <w:rPr>
                <w:b/>
                <w:bCs/>
                <w:sz w:val="26"/>
                <w:szCs w:val="26"/>
                <w:lang w:val="es-ES"/>
              </w:rPr>
            </w:pPr>
            <w:r w:rsidRPr="005131AC">
              <w:rPr>
                <w:b/>
                <w:bCs/>
                <w:sz w:val="26"/>
                <w:szCs w:val="26"/>
                <w:lang w:val="es-ES"/>
              </w:rPr>
              <w:t>Repercusiones financieras</w:t>
            </w:r>
          </w:p>
          <w:p w14:paraId="46007488" w14:textId="35E1D877" w:rsidR="0065674E" w:rsidRDefault="0065674E" w:rsidP="0065674E">
            <w:pPr>
              <w:spacing w:before="60"/>
              <w:rPr>
                <w:lang w:val="es-ES"/>
              </w:rPr>
            </w:pPr>
            <w:r w:rsidRPr="0065674E">
              <w:rPr>
                <w:lang w:val="es-ES"/>
              </w:rPr>
              <w:t>La dirección de la UIT tomará todas las medidas necesarias para garantizar una ejecución adecuada y eficaz del presupuesto para 2026.</w:t>
            </w:r>
          </w:p>
          <w:p w14:paraId="77A0E87A" w14:textId="77777777" w:rsidR="00181142" w:rsidRDefault="00181142" w:rsidP="00D11ADD">
            <w:pPr>
              <w:spacing w:before="0"/>
            </w:pPr>
            <w:r>
              <w:t>_______________</w:t>
            </w:r>
          </w:p>
          <w:p w14:paraId="0B58831B" w14:textId="77777777" w:rsidR="00FE57F6" w:rsidRPr="005131AC" w:rsidRDefault="00F24B71" w:rsidP="0065674E">
            <w:pPr>
              <w:spacing w:before="60"/>
              <w:rPr>
                <w:b/>
                <w:bCs/>
                <w:sz w:val="26"/>
                <w:szCs w:val="26"/>
                <w:lang w:val="es-ES"/>
              </w:rPr>
            </w:pPr>
            <w:r w:rsidRPr="005131AC">
              <w:rPr>
                <w:b/>
                <w:bCs/>
                <w:sz w:val="26"/>
                <w:szCs w:val="26"/>
                <w:lang w:val="es-ES"/>
              </w:rPr>
              <w:t>Referencia</w:t>
            </w:r>
            <w:r w:rsidR="00F92BED" w:rsidRPr="005131AC">
              <w:rPr>
                <w:b/>
                <w:bCs/>
                <w:sz w:val="26"/>
                <w:szCs w:val="26"/>
                <w:lang w:val="es-ES"/>
              </w:rPr>
              <w:t>s</w:t>
            </w:r>
            <w:r w:rsidR="00D375E0" w:rsidRPr="005131AC">
              <w:rPr>
                <w:sz w:val="26"/>
                <w:szCs w:val="26"/>
                <w:lang w:val="es-ES"/>
              </w:rPr>
              <w:t xml:space="preserve"> </w:t>
            </w:r>
          </w:p>
          <w:p w14:paraId="5DAA5336" w14:textId="74BB1ACC" w:rsidR="00FE57F6" w:rsidRPr="005131AC" w:rsidRDefault="00DB1D6B" w:rsidP="00D11ADD">
            <w:pPr>
              <w:spacing w:before="60" w:after="120"/>
              <w:rPr>
                <w:i/>
                <w:iCs/>
                <w:sz w:val="22"/>
                <w:szCs w:val="22"/>
                <w:lang w:val="es-ES"/>
              </w:rPr>
            </w:pPr>
            <w:r w:rsidRPr="005131AC">
              <w:rPr>
                <w:i/>
                <w:iCs/>
                <w:sz w:val="22"/>
                <w:szCs w:val="22"/>
                <w:lang w:val="es-ES"/>
              </w:rPr>
              <w:t xml:space="preserve">Resolución </w:t>
            </w:r>
            <w:hyperlink r:id="rId8" w:history="1">
              <w:r w:rsidRPr="005131AC">
                <w:rPr>
                  <w:rStyle w:val="Hyperlink"/>
                  <w:rFonts w:eastAsia="Times New Roman" w:cs="Times New Roman"/>
                  <w:i/>
                  <w:iCs/>
                  <w:sz w:val="22"/>
                  <w:lang w:val="es-ES"/>
                </w:rPr>
                <w:t>1435</w:t>
              </w:r>
            </w:hyperlink>
            <w:r w:rsidRPr="005131AC">
              <w:rPr>
                <w:i/>
                <w:iCs/>
                <w:sz w:val="22"/>
                <w:szCs w:val="22"/>
                <w:lang w:val="es-ES"/>
              </w:rPr>
              <w:t xml:space="preserve"> del Consejo, Presupuesto bienal de la Unión internacional de Telecomunicaciones para 2026-2027; Decisión </w:t>
            </w:r>
            <w:hyperlink r:id="rId9" w:history="1">
              <w:r w:rsidRPr="005131AC">
                <w:rPr>
                  <w:rStyle w:val="Hyperlink"/>
                  <w:rFonts w:eastAsia="Times New Roman" w:cs="Times New Roman"/>
                  <w:i/>
                  <w:iCs/>
                  <w:sz w:val="22"/>
                  <w:lang w:val="es-ES"/>
                </w:rPr>
                <w:t>5 (Rev. Bucarest, 2022)</w:t>
              </w:r>
            </w:hyperlink>
            <w:r w:rsidRPr="005131AC">
              <w:rPr>
                <w:i/>
                <w:iCs/>
                <w:sz w:val="22"/>
                <w:szCs w:val="22"/>
                <w:lang w:val="es-ES"/>
              </w:rPr>
              <w:t xml:space="preserve"> de la Conferencia de Plenipotenciarios</w:t>
            </w:r>
            <w:r w:rsidRPr="005131AC">
              <w:rPr>
                <w:lang w:val="es-ES"/>
              </w:rPr>
              <w:br w:type="page"/>
            </w:r>
          </w:p>
        </w:tc>
      </w:tr>
    </w:tbl>
    <w:bookmarkEnd w:id="0"/>
    <w:p w14:paraId="76D6C498" w14:textId="77777777" w:rsidR="00DB1D6B" w:rsidRPr="005131AC" w:rsidRDefault="00DB1D6B" w:rsidP="00DB1D6B">
      <w:pPr>
        <w:pStyle w:val="Heading1"/>
        <w:rPr>
          <w:lang w:val="es-ES"/>
        </w:rPr>
      </w:pPr>
      <w:r w:rsidRPr="005131AC">
        <w:rPr>
          <w:lang w:val="es-ES"/>
        </w:rPr>
        <w:lastRenderedPageBreak/>
        <w:t>1</w:t>
      </w:r>
      <w:r w:rsidRPr="005131AC">
        <w:rPr>
          <w:lang w:val="es-ES"/>
        </w:rPr>
        <w:tab/>
        <w:t>Antecedentes</w:t>
      </w:r>
    </w:p>
    <w:p w14:paraId="2840F7D4" w14:textId="23334210" w:rsidR="00DB1D6B" w:rsidRPr="005131AC" w:rsidRDefault="00DB1D6B" w:rsidP="00181142">
      <w:pPr>
        <w:jc w:val="both"/>
        <w:rPr>
          <w:lang w:val="es-ES"/>
        </w:rPr>
      </w:pPr>
      <w:r w:rsidRPr="005131AC">
        <w:rPr>
          <w:lang w:val="es-ES"/>
        </w:rPr>
        <w:t xml:space="preserve">En su reunión de 2025 el Consejo consideró y aprobó el proyecto de presupuesto bienal de la Unión para el periodo 2026-2027 presentado en el Documento </w:t>
      </w:r>
      <w:hyperlink r:id="rId10" w:history="1">
        <w:proofErr w:type="spellStart"/>
        <w:r w:rsidRPr="005131AC">
          <w:rPr>
            <w:rStyle w:val="Hyperlink"/>
            <w:lang w:val="es-ES"/>
          </w:rPr>
          <w:t>C25</w:t>
        </w:r>
        <w:proofErr w:type="spellEnd"/>
        <w:r w:rsidRPr="005131AC">
          <w:rPr>
            <w:rStyle w:val="Hyperlink"/>
            <w:lang w:val="es-ES"/>
          </w:rPr>
          <w:t>/47</w:t>
        </w:r>
      </w:hyperlink>
      <w:r w:rsidRPr="005131AC">
        <w:rPr>
          <w:lang w:val="es-ES"/>
        </w:rPr>
        <w:t>. En un principio, el proyecto de presupuesto se equilibró sobre la base de unos ingresos en concepto de recuperación de costes estimados por valor de</w:t>
      </w:r>
      <w:r w:rsidR="0065674E">
        <w:rPr>
          <w:lang w:val="es-ES"/>
        </w:rPr>
        <w:t xml:space="preserve"> </w:t>
      </w:r>
      <w:r w:rsidRPr="005131AC">
        <w:rPr>
          <w:lang w:val="es-ES"/>
        </w:rPr>
        <w:t>67,592</w:t>
      </w:r>
      <w:r w:rsidR="0065674E">
        <w:rPr>
          <w:lang w:val="es-ES"/>
        </w:rPr>
        <w:t xml:space="preserve"> </w:t>
      </w:r>
      <w:r w:rsidRPr="005131AC">
        <w:rPr>
          <w:lang w:val="es-ES"/>
        </w:rPr>
        <w:t xml:space="preserve">millones de francos suizos, de acuerdo con la propuesta presentada por la Secretaría en el Documento </w:t>
      </w:r>
      <w:hyperlink r:id="rId11" w:history="1">
        <w:proofErr w:type="spellStart"/>
        <w:r w:rsidRPr="005131AC">
          <w:rPr>
            <w:rStyle w:val="Hyperlink"/>
            <w:lang w:val="es-ES"/>
          </w:rPr>
          <w:t>C25</w:t>
        </w:r>
        <w:proofErr w:type="spellEnd"/>
        <w:r w:rsidRPr="005131AC">
          <w:rPr>
            <w:rStyle w:val="Hyperlink"/>
            <w:lang w:val="es-ES"/>
          </w:rPr>
          <w:t>/64</w:t>
        </w:r>
      </w:hyperlink>
      <w:r w:rsidRPr="005131AC">
        <w:rPr>
          <w:lang w:val="es-ES"/>
        </w:rPr>
        <w:t xml:space="preserve"> para aumentar las tasas aplicables a las notificaciones de redes de satélites (SNF) a fin de subsanar el déficit de la recuperación de costes. Estas propuestas se consideraron en paralelo a las presentadas por el Grupo de Expertos sobre el Acuerdo 482 (GE-Acuerdo 482).</w:t>
      </w:r>
    </w:p>
    <w:p w14:paraId="5F703630" w14:textId="77777777" w:rsidR="00DB1D6B" w:rsidRPr="005131AC" w:rsidRDefault="00DB1D6B" w:rsidP="00181142">
      <w:pPr>
        <w:jc w:val="both"/>
        <w:rPr>
          <w:lang w:val="es-ES"/>
        </w:rPr>
      </w:pPr>
      <w:r w:rsidRPr="005131AC">
        <w:rPr>
          <w:lang w:val="es-ES"/>
        </w:rPr>
        <w:t>El Consejo llegó a la conclusión de que, aunque procedía aumentar las tasas SNF, era necesario estudiar más a fondo la justificación de costes presentada por la Secretaría. Por consiguiente, se encargó a la Secretaría efectuar un examen integral de la metodología utilizada para calcular los costes SNF, en particular en lo que respecta al tratamiento de los costes indirectos. En espera del resultado de dicho examen, el Consejo aprobó un ligero incremento provisional de las tasas SNF un 10,6 % superior a las propuestas presentadas por el GE-Acuerdo 482 para el periodo 2026-2027.</w:t>
      </w:r>
    </w:p>
    <w:p w14:paraId="6EDBB5C9" w14:textId="69A6E87F" w:rsidR="00DB1D6B" w:rsidRPr="005131AC" w:rsidRDefault="00DB1D6B" w:rsidP="00181142">
      <w:pPr>
        <w:jc w:val="both"/>
        <w:rPr>
          <w:lang w:val="es-ES"/>
        </w:rPr>
      </w:pPr>
      <w:r w:rsidRPr="005131AC">
        <w:rPr>
          <w:lang w:val="es-ES"/>
        </w:rPr>
        <w:t>Como resultado de esas decisiones, el Consejo aprobó el presupuesto bienal para 2026-2027 con el nivel de gastos propuesto por la Secretaría, pero encargó a esta última que absorbiera una reducción de 6</w:t>
      </w:r>
      <w:r w:rsidR="0065674E">
        <w:rPr>
          <w:lang w:val="es-ES"/>
        </w:rPr>
        <w:t> </w:t>
      </w:r>
      <w:r w:rsidRPr="005131AC">
        <w:rPr>
          <w:lang w:val="es-ES"/>
        </w:rPr>
        <w:t>008 millones de francos suizos en gastos detallados. A fin de presentar un presupuesto equilibrado, ese importe se reflejó como reducción global de la partida de gastos aprobados, se pidió a la Secretaría que rindiese al Grupo de Trabajo del Consejo sobre Recursos Humanos y Financieros (GTC-RHF) informe sobre las medidas adoptadas para absorber esa reducción.</w:t>
      </w:r>
    </w:p>
    <w:p w14:paraId="7DD9E4DD" w14:textId="77777777" w:rsidR="00DB1D6B" w:rsidRPr="005131AC" w:rsidRDefault="00DB1D6B" w:rsidP="00181142">
      <w:pPr>
        <w:jc w:val="both"/>
        <w:rPr>
          <w:lang w:val="es-ES"/>
        </w:rPr>
      </w:pPr>
      <w:r w:rsidRPr="005131AC">
        <w:rPr>
          <w:lang w:val="es-ES"/>
        </w:rPr>
        <w:t>A raíz del debate sostenido en el seno del GTC-RHF en su reunión de enero de 2026, la Secretaría puso en marcha una serie de medidas para efectuar las reducciones necesarias. Como se expone a continuación, ya se han efectuado algunos ajustes concretos del presupuesto para 2026-2027, en particular la reducción de los gastos de viaje y el empleo de Acuerdos de Servicios Especiales (SSA), que sumados representan cerca de la mitad de la reducción global requerida. La Secretaría seguirá supervisando la aplicación de esas medidas a lo largo del bienio 2026-2027 y ajustando los gastos según se revele necesario para garantizar que se efectúan los ahorros requeridos.</w:t>
      </w:r>
    </w:p>
    <w:p w14:paraId="2B2DF470" w14:textId="2B8E5FAE" w:rsidR="00DB1D6B" w:rsidRPr="005131AC" w:rsidRDefault="00DB1D6B" w:rsidP="00181142">
      <w:pPr>
        <w:jc w:val="both"/>
        <w:rPr>
          <w:lang w:val="es-ES"/>
        </w:rPr>
      </w:pPr>
      <w:r w:rsidRPr="005131AC">
        <w:rPr>
          <w:lang w:val="es-ES"/>
        </w:rPr>
        <w:t>Por conducto del Comité de Coordinación (CoCo) la Secretaría sigue de cerca la generación de ingresos, sobre todo en aquellas esferas en las que persiste la incertidumbre. Existe un riesgo de que los ingresos generados por la recuperación de costes SNF no alcancen plenamente el nivel de</w:t>
      </w:r>
      <w:r w:rsidR="0065674E">
        <w:rPr>
          <w:lang w:val="es-ES"/>
        </w:rPr>
        <w:t xml:space="preserve"> </w:t>
      </w:r>
      <w:r w:rsidRPr="005131AC">
        <w:rPr>
          <w:lang w:val="es-ES"/>
        </w:rPr>
        <w:t>14</w:t>
      </w:r>
      <w:r w:rsidR="0065674E">
        <w:rPr>
          <w:lang w:val="es-ES"/>
        </w:rPr>
        <w:t> </w:t>
      </w:r>
      <w:r w:rsidRPr="005131AC">
        <w:rPr>
          <w:lang w:val="es-ES"/>
        </w:rPr>
        <w:t>496 millones de francos suizos/año que prevé el presupuesto. Por otra parte, la Secretaría está considerando detenidamente los ingresos derivados de las publicaciones a fin de determinar cómo paliar un posible déficit. Para apoyar la gestión proactiva de estos riesgos, la alta dirección está elaborando y examinando informes de supervisión financiera con periodicidad mensual.</w:t>
      </w:r>
    </w:p>
    <w:p w14:paraId="1D0733CC" w14:textId="3881E17F" w:rsidR="00DB1D6B" w:rsidRPr="00181142" w:rsidRDefault="00DB1D6B" w:rsidP="00181142">
      <w:pPr>
        <w:jc w:val="both"/>
        <w:rPr>
          <w:spacing w:val="-2"/>
          <w:lang w:val="es-ES"/>
        </w:rPr>
      </w:pPr>
      <w:r w:rsidRPr="00181142">
        <w:rPr>
          <w:spacing w:val="-2"/>
          <w:lang w:val="es-ES"/>
        </w:rPr>
        <w:t>Cabe señalar que, cuando se preparó este documento, aún no había finalizado el primer trimestre del ejercicio financiero 2026. Por consiguiente, la evaluación de la reducción de gastos y de los ingresos generados efectuada por la Secretaría se basa en la aplicación inicial de las medidas y en una supervisión temprana. Así, la Secretaría presentará a la reunión de</w:t>
      </w:r>
      <w:r w:rsidR="007F4FDC" w:rsidRPr="00181142">
        <w:rPr>
          <w:spacing w:val="-2"/>
          <w:lang w:val="es-ES"/>
        </w:rPr>
        <w:t> </w:t>
      </w:r>
      <w:r w:rsidRPr="00181142">
        <w:rPr>
          <w:spacing w:val="-2"/>
          <w:lang w:val="es-ES"/>
        </w:rPr>
        <w:t>2026 del Consejo información actualizada sobre la ejecución del presupuesto, incluidos los resultados financieros del primer trimestre y las correspondientes proyecciones para el resto del bienio.</w:t>
      </w:r>
    </w:p>
    <w:p w14:paraId="385ADB0C" w14:textId="77777777" w:rsidR="00DB1D6B" w:rsidRPr="005131AC" w:rsidRDefault="00DB1D6B" w:rsidP="00DB1D6B">
      <w:pPr>
        <w:pStyle w:val="Heading1"/>
        <w:rPr>
          <w:lang w:val="es-ES"/>
        </w:rPr>
      </w:pPr>
      <w:r w:rsidRPr="005131AC">
        <w:rPr>
          <w:lang w:val="es-ES"/>
        </w:rPr>
        <w:lastRenderedPageBreak/>
        <w:t>2</w:t>
      </w:r>
      <w:r w:rsidRPr="005131AC">
        <w:rPr>
          <w:lang w:val="es-ES"/>
        </w:rPr>
        <w:tab/>
        <w:t>Métodos para reducir los gastos en el presupuesto para 2026-2027</w:t>
      </w:r>
    </w:p>
    <w:p w14:paraId="10922F35" w14:textId="77777777" w:rsidR="00DB1D6B" w:rsidRPr="005131AC" w:rsidRDefault="00DB1D6B" w:rsidP="00DB1D6B">
      <w:pPr>
        <w:pStyle w:val="Heading2"/>
        <w:rPr>
          <w:lang w:val="es-ES"/>
        </w:rPr>
      </w:pPr>
      <w:r w:rsidRPr="005131AC">
        <w:rPr>
          <w:lang w:val="es-ES"/>
        </w:rPr>
        <w:t>2.1</w:t>
      </w:r>
      <w:r w:rsidRPr="005131AC">
        <w:rPr>
          <w:lang w:val="es-ES"/>
        </w:rPr>
        <w:tab/>
        <w:t>Priorización y consolidación en el ejercicio de planificación operacional</w:t>
      </w:r>
    </w:p>
    <w:p w14:paraId="5329C18B" w14:textId="69B49382" w:rsidR="00DB1D6B" w:rsidRPr="005131AC" w:rsidRDefault="00DB1D6B" w:rsidP="00181142">
      <w:pPr>
        <w:jc w:val="both"/>
        <w:rPr>
          <w:lang w:val="es-ES"/>
        </w:rPr>
      </w:pPr>
      <w:r w:rsidRPr="005131AC">
        <w:rPr>
          <w:lang w:val="es-ES"/>
        </w:rPr>
        <w:t>Tras la reunión de 2025 del Consejo</w:t>
      </w:r>
      <w:r w:rsidR="007F4FDC">
        <w:rPr>
          <w:lang w:val="es-ES"/>
        </w:rPr>
        <w:t>,</w:t>
      </w:r>
      <w:r w:rsidRPr="005131AC">
        <w:rPr>
          <w:lang w:val="es-ES"/>
        </w:rPr>
        <w:t xml:space="preserve"> la Secretaría emprendió un ejercicio de planificación operacional integral para 2026. A través de este proceso que atañe a toda la Unión, se solicitó a todos los Departamentos de las Oficinas y la Secretaría General que identificasen y documentasen la carga de personal y los recursos financieros necesarios para alcanzar sus objetivos previstos para 2026, incluidos los gastos de personal, de viajes, de equipos y de personal en contrato de corta duración.</w:t>
      </w:r>
    </w:p>
    <w:p w14:paraId="03F2E1AB" w14:textId="77777777" w:rsidR="00DB1D6B" w:rsidRPr="005131AC" w:rsidRDefault="00DB1D6B" w:rsidP="00181142">
      <w:pPr>
        <w:jc w:val="both"/>
        <w:rPr>
          <w:lang w:val="es-ES"/>
        </w:rPr>
      </w:pPr>
      <w:r w:rsidRPr="005131AC">
        <w:rPr>
          <w:lang w:val="es-ES"/>
        </w:rPr>
        <w:t>Este proceso de planificación operacional es un mecanismo fundamental para armonizar los recursos con las prioridades garantizando que los limitados recursos presupuestarios se orientan hacia las actividades esenciales de la Unión. Mediante un examen sistemático de las actividades planificadas y los recursos asignados, la Secretaría puede identificar toda posibilidad de consolidación, coordinación y mejora de los métodos de trabajo de la Unión.</w:t>
      </w:r>
    </w:p>
    <w:p w14:paraId="17C80D61" w14:textId="77777777" w:rsidR="00DB1D6B" w:rsidRPr="005131AC" w:rsidRDefault="00DB1D6B" w:rsidP="00181142">
      <w:pPr>
        <w:jc w:val="both"/>
        <w:rPr>
          <w:spacing w:val="-2"/>
          <w:lang w:val="es-ES"/>
        </w:rPr>
      </w:pPr>
      <w:r w:rsidRPr="005131AC">
        <w:rPr>
          <w:spacing w:val="-2"/>
          <w:lang w:val="es-ES"/>
        </w:rPr>
        <w:t>El proceso ya se ha traducido en una serie de medidas de contención del gasto, entre las que se cuentan la reducción de eventos por iniciativa de la Secretaría, la consolidación de servicios compartidos y la mejora de la coordinación de los flujos de trabajo en las Oficinas y la Secretaría General. Tales esfuerzos contribuyen asimismo a reducir los gastos de viaje y el recurso a consultorías de corta duración como se indica a continuación.</w:t>
      </w:r>
    </w:p>
    <w:p w14:paraId="70B5F4D0" w14:textId="77777777" w:rsidR="00DB1D6B" w:rsidRPr="005131AC" w:rsidRDefault="00DB1D6B" w:rsidP="00DB1D6B">
      <w:pPr>
        <w:pStyle w:val="Heading2"/>
        <w:rPr>
          <w:lang w:val="es-ES"/>
        </w:rPr>
      </w:pPr>
      <w:r w:rsidRPr="005131AC">
        <w:rPr>
          <w:lang w:val="es-ES"/>
        </w:rPr>
        <w:t>2.2</w:t>
      </w:r>
      <w:r w:rsidRPr="005131AC">
        <w:rPr>
          <w:lang w:val="es-ES"/>
        </w:rPr>
        <w:tab/>
        <w:t>Gastos de viajes</w:t>
      </w:r>
    </w:p>
    <w:p w14:paraId="0F7DC0B5" w14:textId="77777777" w:rsidR="00DB1D6B" w:rsidRPr="005131AC" w:rsidRDefault="00DB1D6B" w:rsidP="00181142">
      <w:pPr>
        <w:jc w:val="both"/>
        <w:rPr>
          <w:spacing w:val="-2"/>
          <w:lang w:val="es-ES"/>
        </w:rPr>
      </w:pPr>
      <w:r w:rsidRPr="005131AC">
        <w:rPr>
          <w:spacing w:val="-2"/>
          <w:lang w:val="es-ES"/>
        </w:rPr>
        <w:t>Los gastos de viajes siguen siendo un componente esencial del trabajo de la UIT, pues permiten a la Unión prestar asistencia técnica a los Estados Miembros, representar a la UIT en los principales foros internacionales, facilitar la gestión de las actividades regionales y participar en los procesos de las Naciones Unidas pertinentes.</w:t>
      </w:r>
    </w:p>
    <w:p w14:paraId="66569E04" w14:textId="4F8BE247" w:rsidR="00DB1D6B" w:rsidRPr="005131AC" w:rsidRDefault="00DB1D6B" w:rsidP="00181142">
      <w:pPr>
        <w:jc w:val="both"/>
        <w:rPr>
          <w:b/>
          <w:bCs/>
          <w:lang w:val="es-ES"/>
        </w:rPr>
      </w:pPr>
      <w:r w:rsidRPr="005131AC">
        <w:rPr>
          <w:lang w:val="es-ES"/>
        </w:rPr>
        <w:t xml:space="preserve">Sin embargo, habida cuenta de las actuales limitaciones presupuestarias y del ejercicio de priorización expuesto anteriormente, la Secretaría ha reducido los viajes financiados con el presupuesto ordinario. </w:t>
      </w:r>
      <w:r w:rsidRPr="005131AC">
        <w:rPr>
          <w:b/>
          <w:bCs/>
          <w:lang w:val="es-ES"/>
        </w:rPr>
        <w:t>El presupuesto para el bienio 2026-2027 contempla una reducción de los gastos de viajes de unos 900 000 francos suizos.</w:t>
      </w:r>
    </w:p>
    <w:p w14:paraId="23F8FD7C" w14:textId="77777777" w:rsidR="00DB1D6B" w:rsidRPr="00181142" w:rsidRDefault="00DB1D6B" w:rsidP="00181142">
      <w:pPr>
        <w:jc w:val="both"/>
        <w:rPr>
          <w:lang w:val="es-ES"/>
        </w:rPr>
      </w:pPr>
      <w:r w:rsidRPr="00181142">
        <w:rPr>
          <w:lang w:val="es-ES"/>
        </w:rPr>
        <w:t>Tal reducción es reflejo de una mayor priorización de las misiones, del recurso cada vez mayor, cuando procede, de la participación virtual y de una mejor coordinación de los viajes en toda la Unión. La Secretaría seguirá supervisando los gastos de viajes durante el bienio para asegurarse de que esa reducción se materializa al tiempo que la Unión puede llevar a cabo sus actividades esenciales.</w:t>
      </w:r>
    </w:p>
    <w:p w14:paraId="22214575" w14:textId="77777777" w:rsidR="00DB1D6B" w:rsidRPr="005131AC" w:rsidRDefault="00DB1D6B" w:rsidP="00DB1D6B">
      <w:pPr>
        <w:pStyle w:val="Heading2"/>
        <w:rPr>
          <w:lang w:val="es-ES"/>
        </w:rPr>
      </w:pPr>
      <w:r w:rsidRPr="005131AC">
        <w:rPr>
          <w:lang w:val="es-ES"/>
        </w:rPr>
        <w:t>2.3</w:t>
      </w:r>
      <w:r w:rsidRPr="005131AC">
        <w:rPr>
          <w:lang w:val="es-ES"/>
        </w:rPr>
        <w:tab/>
        <w:t>Acuerdos de Servicios Especiales (SSA)</w:t>
      </w:r>
    </w:p>
    <w:p w14:paraId="717250F3" w14:textId="77777777" w:rsidR="00DB1D6B" w:rsidRPr="005131AC" w:rsidRDefault="00DB1D6B" w:rsidP="00181142">
      <w:pPr>
        <w:jc w:val="both"/>
        <w:rPr>
          <w:lang w:val="es-ES"/>
        </w:rPr>
      </w:pPr>
      <w:r w:rsidRPr="005131AC">
        <w:rPr>
          <w:lang w:val="es-ES"/>
        </w:rPr>
        <w:t>La UIT recurre a contratos de consultoría de corta duración, Acuerdos de Servicios Especiales (SSA), para obtener los servicios de expertos especializados y dar apoyo a proyectos y tareas concretos que no exigen la dotación de personal permanente.</w:t>
      </w:r>
    </w:p>
    <w:p w14:paraId="49986400" w14:textId="77777777" w:rsidR="00DB1D6B" w:rsidRPr="005131AC" w:rsidRDefault="00DB1D6B" w:rsidP="00181142">
      <w:pPr>
        <w:jc w:val="both"/>
        <w:rPr>
          <w:lang w:val="es-ES"/>
        </w:rPr>
      </w:pPr>
      <w:r w:rsidRPr="005131AC">
        <w:rPr>
          <w:lang w:val="es-ES"/>
        </w:rPr>
        <w:t>Aunque los SSA siguen siendo un mecanismo importante para responder a necesidades puntuales de manera flexible y rentable, la Secretaría ha identificado oportunidades para disciplinar más estrictamente su utilización y reducir globalmente los gastos en este ámbito. Concretamente, el ejercicio de priorización descrito ha permitido coordinar mejor los recursos de personal de la Unión y reducir los eventos por iniciativa de la Secretaría, así como consolidar los servicios compartidos.</w:t>
      </w:r>
    </w:p>
    <w:p w14:paraId="7641393A" w14:textId="200AE533" w:rsidR="00DB1D6B" w:rsidRPr="005131AC" w:rsidRDefault="00DB1D6B" w:rsidP="00DB1D6B">
      <w:pPr>
        <w:rPr>
          <w:b/>
          <w:bCs/>
          <w:lang w:val="es-ES"/>
        </w:rPr>
      </w:pPr>
      <w:r w:rsidRPr="005131AC">
        <w:rPr>
          <w:b/>
          <w:bCs/>
          <w:lang w:val="es-ES"/>
        </w:rPr>
        <w:lastRenderedPageBreak/>
        <w:t>En este sentido, el presupuesto para el bienio 2026-2027 contempla una reducción de casi 2,1 millones de francos suizos de la partida asignada a los SSA.</w:t>
      </w:r>
    </w:p>
    <w:p w14:paraId="3F3D4F1F" w14:textId="77777777" w:rsidR="00DB1D6B" w:rsidRPr="005131AC" w:rsidRDefault="00DB1D6B" w:rsidP="00DB1D6B">
      <w:pPr>
        <w:pStyle w:val="Heading2"/>
        <w:rPr>
          <w:lang w:val="es-ES"/>
        </w:rPr>
      </w:pPr>
      <w:r w:rsidRPr="005131AC">
        <w:rPr>
          <w:lang w:val="es-ES"/>
        </w:rPr>
        <w:t>2.4</w:t>
      </w:r>
      <w:r w:rsidRPr="005131AC">
        <w:rPr>
          <w:lang w:val="es-ES"/>
        </w:rPr>
        <w:tab/>
        <w:t>Expansión de la automatización y la utilización de herramientas de IA</w:t>
      </w:r>
    </w:p>
    <w:p w14:paraId="2E112537" w14:textId="77777777" w:rsidR="00DB1D6B" w:rsidRPr="005131AC" w:rsidRDefault="00DB1D6B" w:rsidP="00181142">
      <w:pPr>
        <w:jc w:val="both"/>
        <w:rPr>
          <w:lang w:val="es-ES"/>
        </w:rPr>
      </w:pPr>
      <w:r w:rsidRPr="005131AC">
        <w:rPr>
          <w:lang w:val="es-ES"/>
        </w:rPr>
        <w:t>En paralelo a las reducciones de gastos descritas, la Secretaría procura ganar en eficiencia mediante una mayor automatización y utilización de herramientas digitales. Concretamente, la UIT está estudiando recurrir a las tecnologías de traducción e interpretación automáticas y mediante IA como complemento de los servicios lingüísticos existentes.</w:t>
      </w:r>
    </w:p>
    <w:p w14:paraId="62CD775C" w14:textId="77777777" w:rsidR="00DB1D6B" w:rsidRPr="005131AC" w:rsidRDefault="00DB1D6B" w:rsidP="00181142">
      <w:pPr>
        <w:jc w:val="both"/>
        <w:rPr>
          <w:lang w:val="es-ES"/>
        </w:rPr>
      </w:pPr>
      <w:r w:rsidRPr="005131AC">
        <w:rPr>
          <w:lang w:val="es-ES"/>
        </w:rPr>
        <w:t>Habida cuenta de que es necesario mantener la calidad y accesibilidad de los servicios lingüísticos, estas herramientas están destinadas a servir de apoyo a los expertos humanos, más que a sustituirlos. Se espera que su progresiva introducción permita una mayor eficacia operacional y permita al mismo tiempo alcanzar los objetivos globales de transformación digital de la Unión.</w:t>
      </w:r>
    </w:p>
    <w:p w14:paraId="7F68F017" w14:textId="77777777" w:rsidR="00DB1D6B" w:rsidRPr="005131AC" w:rsidRDefault="00DB1D6B" w:rsidP="00DB1D6B">
      <w:pPr>
        <w:pStyle w:val="Heading1"/>
        <w:rPr>
          <w:lang w:val="es-ES"/>
        </w:rPr>
      </w:pPr>
      <w:r w:rsidRPr="005131AC">
        <w:rPr>
          <w:lang w:val="es-ES"/>
        </w:rPr>
        <w:t>3</w:t>
      </w:r>
      <w:r w:rsidRPr="005131AC">
        <w:rPr>
          <w:lang w:val="es-ES"/>
        </w:rPr>
        <w:tab/>
        <w:t>Presupuesto de la UIT para 2026-2027</w:t>
      </w:r>
    </w:p>
    <w:p w14:paraId="77CFA33B" w14:textId="74D75680" w:rsidR="00DB1D6B" w:rsidRPr="005131AC" w:rsidRDefault="00DB1D6B" w:rsidP="00181142">
      <w:pPr>
        <w:jc w:val="both"/>
        <w:rPr>
          <w:lang w:val="es-ES"/>
        </w:rPr>
      </w:pPr>
      <w:r w:rsidRPr="005131AC">
        <w:rPr>
          <w:lang w:val="es-ES"/>
        </w:rPr>
        <w:t>Sobre la base de las medidas expuestas, se ha revisado el presupuesto de la UIT para el bienio 2026-2027 a fin de integrar la reducción de los gastos de viajes y SSA, que representan prácticamente la mitad de la reducción de 6 008 millones de francos suizos requerida.</w:t>
      </w:r>
    </w:p>
    <w:p w14:paraId="56F9A12A" w14:textId="7C2C993A" w:rsidR="00927F93" w:rsidRPr="005131AC" w:rsidRDefault="00DB1D6B" w:rsidP="00181142">
      <w:pPr>
        <w:jc w:val="both"/>
        <w:rPr>
          <w:lang w:val="es-ES"/>
        </w:rPr>
      </w:pPr>
      <w:r w:rsidRPr="005131AC">
        <w:rPr>
          <w:lang w:val="es-ES"/>
        </w:rPr>
        <w:t>Seguirán efectuándose ajustes a través del proceso de planificación operacional y de la supervisión constante de la ejecución presupuestaria a lo largo del periodo 2026-2027. Así, la reducción global de 6 008 millones de francos suizos se irá absorbiendo progresivamente a medida que las Oficinas y la Secretaría General vayan realizando los correspondientes ajustes, garantizando al mismo tiempo la ejecución del mandato fundamental de la UIT.</w:t>
      </w:r>
    </w:p>
    <w:p w14:paraId="012AFF0C" w14:textId="77777777" w:rsidR="00F92BED" w:rsidRPr="005131AC" w:rsidRDefault="00F92BED" w:rsidP="0032202E">
      <w:pPr>
        <w:pStyle w:val="Reasons"/>
        <w:rPr>
          <w:lang w:val="es-ES"/>
        </w:rPr>
      </w:pPr>
    </w:p>
    <w:p w14:paraId="6987168B" w14:textId="77777777" w:rsidR="00F92BED" w:rsidRPr="005131AC" w:rsidRDefault="00F92BED" w:rsidP="00F92BED">
      <w:pPr>
        <w:jc w:val="center"/>
        <w:rPr>
          <w:lang w:val="es-ES"/>
        </w:rPr>
      </w:pPr>
      <w:r w:rsidRPr="005131AC">
        <w:rPr>
          <w:lang w:val="es-ES"/>
        </w:rPr>
        <w:t>______________</w:t>
      </w:r>
    </w:p>
    <w:sectPr w:rsidR="00F92BED" w:rsidRPr="005131AC" w:rsidSect="00C538F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2324" w14:textId="77777777" w:rsidR="0046719A" w:rsidRDefault="0046719A">
      <w:r>
        <w:separator/>
      </w:r>
    </w:p>
  </w:endnote>
  <w:endnote w:type="continuationSeparator" w:id="0">
    <w:p w14:paraId="26674733" w14:textId="77777777" w:rsidR="0046719A" w:rsidRDefault="0046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E6CF381" w14:textId="77777777" w:rsidTr="00E31DCE">
      <w:trPr>
        <w:jc w:val="center"/>
      </w:trPr>
      <w:tc>
        <w:tcPr>
          <w:tcW w:w="1803" w:type="dxa"/>
          <w:vAlign w:val="center"/>
        </w:tcPr>
        <w:p w14:paraId="599A85A6" w14:textId="6B1416F2" w:rsidR="003273A4" w:rsidRDefault="002946E2" w:rsidP="003273A4">
          <w:pPr>
            <w:pStyle w:val="Header"/>
            <w:jc w:val="left"/>
            <w:rPr>
              <w:noProof/>
            </w:rPr>
          </w:pPr>
          <w:r>
            <w:rPr>
              <w:noProof/>
            </w:rPr>
            <w:t xml:space="preserve">gDoc </w:t>
          </w:r>
          <w:r w:rsidR="00181142">
            <w:rPr>
              <w:noProof/>
            </w:rPr>
            <w:t>2600703</w:t>
          </w:r>
        </w:p>
      </w:tc>
      <w:tc>
        <w:tcPr>
          <w:tcW w:w="8261" w:type="dxa"/>
        </w:tcPr>
        <w:p w14:paraId="180622AD" w14:textId="36423A5E"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B1D6B">
            <w:rPr>
              <w:bCs/>
            </w:rPr>
            <w:t>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4C67F97"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09BDA26" w14:textId="77777777" w:rsidTr="00E31DCE">
      <w:trPr>
        <w:jc w:val="center"/>
      </w:trPr>
      <w:tc>
        <w:tcPr>
          <w:tcW w:w="1803" w:type="dxa"/>
          <w:vAlign w:val="center"/>
        </w:tcPr>
        <w:p w14:paraId="07B49304"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578A698" w14:textId="2E133D1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B1D6B">
            <w:rPr>
              <w:bCs/>
            </w:rPr>
            <w:t>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60CE834"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D29F" w14:textId="77777777" w:rsidR="0046719A" w:rsidRDefault="0046719A">
      <w:r>
        <w:t>____________________</w:t>
      </w:r>
    </w:p>
  </w:footnote>
  <w:footnote w:type="continuationSeparator" w:id="0">
    <w:p w14:paraId="1C3E84E4" w14:textId="77777777" w:rsidR="0046719A" w:rsidRDefault="0046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74EB" w14:textId="77777777" w:rsidR="001559F5" w:rsidRPr="00B1560D" w:rsidRDefault="00B1560D" w:rsidP="00B1560D">
    <w:pPr>
      <w:pStyle w:val="Header"/>
    </w:pPr>
    <w:r>
      <w:rPr>
        <w:noProof/>
      </w:rPr>
      <w:drawing>
        <wp:inline distT="0" distB="0" distL="0" distR="0" wp14:anchorId="532D34E2" wp14:editId="0852AF34">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9A"/>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81142"/>
    <w:rsid w:val="001958F5"/>
    <w:rsid w:val="001B6E2B"/>
    <w:rsid w:val="001F14A2"/>
    <w:rsid w:val="00277DEA"/>
    <w:rsid w:val="002801AA"/>
    <w:rsid w:val="002946E2"/>
    <w:rsid w:val="002C3F32"/>
    <w:rsid w:val="002C4676"/>
    <w:rsid w:val="002C70B0"/>
    <w:rsid w:val="002F3CC4"/>
    <w:rsid w:val="003032E2"/>
    <w:rsid w:val="0031300A"/>
    <w:rsid w:val="003273A4"/>
    <w:rsid w:val="0034796E"/>
    <w:rsid w:val="0044774C"/>
    <w:rsid w:val="004571B0"/>
    <w:rsid w:val="00465C35"/>
    <w:rsid w:val="0046719A"/>
    <w:rsid w:val="00473962"/>
    <w:rsid w:val="004B5D49"/>
    <w:rsid w:val="004D3A3C"/>
    <w:rsid w:val="005131AC"/>
    <w:rsid w:val="00513630"/>
    <w:rsid w:val="00560125"/>
    <w:rsid w:val="00585553"/>
    <w:rsid w:val="005B34D9"/>
    <w:rsid w:val="005D0CCF"/>
    <w:rsid w:val="005F0915"/>
    <w:rsid w:val="005F3BCB"/>
    <w:rsid w:val="005F410F"/>
    <w:rsid w:val="0060149A"/>
    <w:rsid w:val="00601924"/>
    <w:rsid w:val="006447EA"/>
    <w:rsid w:val="0064481D"/>
    <w:rsid w:val="0064731F"/>
    <w:rsid w:val="0065674E"/>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7F4FDC"/>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D79B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CF7ABA"/>
    <w:rsid w:val="00D11ADD"/>
    <w:rsid w:val="00D2750E"/>
    <w:rsid w:val="00D375E0"/>
    <w:rsid w:val="00D50A36"/>
    <w:rsid w:val="00D62446"/>
    <w:rsid w:val="00DA4EA2"/>
    <w:rsid w:val="00DB1D6B"/>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090436"/>
  <w15:docId w15:val="{D6A423E9-4230-43F2-A5FB-EE546623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81142"/>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9/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tu.int/md/S25-CL-C-0119/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64/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md/S25-CL-C-0047/es" TargetMode="External"/><Relationship Id="rId4" Type="http://schemas.openxmlformats.org/officeDocument/2006/relationships/webSettings" Target="webSettings.xml"/><Relationship Id="rId9" Type="http://schemas.openxmlformats.org/officeDocument/2006/relationships/hyperlink" Target="https://www.itu.int/en/council/Documents/basic-texts-2023/DEC-005-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D5FE-3CAC-44CB-A21C-A8008208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5</TotalTime>
  <Pages>4</Pages>
  <Words>1701</Words>
  <Characters>9575</Characters>
  <Application>Microsoft Office Word</Application>
  <DocSecurity>0</DocSecurity>
  <Lines>156</Lines>
  <Paragraphs>54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11222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anual de ingresos y gastos de la ejecución del presupuesto para 2026, incluida la reducción global del presupuesto para 2026-2027</dc:title>
  <dc:subject>Consejo 2026 de la UIT</dc:subject>
  <cp:keywords>C26; C2026; Council 2026; PP26</cp:keywords>
  <dc:description/>
  <cp:lastPrinted>2006-03-24T09:51:00Z</cp:lastPrinted>
  <dcterms:created xsi:type="dcterms:W3CDTF">2026-04-07T11:40:00Z</dcterms:created>
  <dcterms:modified xsi:type="dcterms:W3CDTF">2026-04-07T11:44:00Z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