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37A4B409" w14:textId="77777777" w:rsidTr="00796BDB">
        <w:trPr>
          <w:cantSplit/>
          <w:trHeight w:val="23"/>
        </w:trPr>
        <w:tc>
          <w:tcPr>
            <w:tcW w:w="3969" w:type="dxa"/>
            <w:vMerge w:val="restart"/>
            <w:tcMar>
              <w:left w:w="0" w:type="dxa"/>
            </w:tcMar>
          </w:tcPr>
          <w:p w14:paraId="6D601ACF" w14:textId="18C1367B" w:rsidR="00D72F49" w:rsidRPr="00E85629" w:rsidRDefault="00D72F49" w:rsidP="00796BDB">
            <w:pPr>
              <w:tabs>
                <w:tab w:val="left" w:pos="851"/>
              </w:tabs>
              <w:spacing w:before="0" w:line="240" w:lineRule="atLeast"/>
              <w:rPr>
                <w:b/>
              </w:rPr>
            </w:pPr>
            <w:r w:rsidRPr="00122CE1">
              <w:rPr>
                <w:b/>
              </w:rPr>
              <w:t>Point de l'ordre du jour</w:t>
            </w:r>
            <w:r>
              <w:rPr>
                <w:b/>
              </w:rPr>
              <w:t>:</w:t>
            </w:r>
            <w:r w:rsidR="00A7124D">
              <w:rPr>
                <w:b/>
              </w:rPr>
              <w:t xml:space="preserve"> ADM 1</w:t>
            </w:r>
          </w:p>
        </w:tc>
        <w:tc>
          <w:tcPr>
            <w:tcW w:w="5245" w:type="dxa"/>
          </w:tcPr>
          <w:p w14:paraId="1AF15709" w14:textId="14E3A52F"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A7124D">
              <w:rPr>
                <w:b/>
              </w:rPr>
              <w:t>9</w:t>
            </w:r>
            <w:r>
              <w:rPr>
                <w:b/>
              </w:rPr>
              <w:t>-F</w:t>
            </w:r>
          </w:p>
        </w:tc>
      </w:tr>
      <w:tr w:rsidR="00D72F49" w:rsidRPr="00C049D7" w14:paraId="62C21B95" w14:textId="77777777" w:rsidTr="00796BDB">
        <w:trPr>
          <w:cantSplit/>
        </w:trPr>
        <w:tc>
          <w:tcPr>
            <w:tcW w:w="3969" w:type="dxa"/>
            <w:vMerge/>
          </w:tcPr>
          <w:p w14:paraId="449B86D9" w14:textId="77777777" w:rsidR="00D72F49" w:rsidRPr="00813E5E" w:rsidRDefault="00D72F49" w:rsidP="00796BDB">
            <w:pPr>
              <w:tabs>
                <w:tab w:val="left" w:pos="851"/>
              </w:tabs>
              <w:spacing w:line="240" w:lineRule="atLeast"/>
              <w:rPr>
                <w:b/>
              </w:rPr>
            </w:pPr>
          </w:p>
        </w:tc>
        <w:tc>
          <w:tcPr>
            <w:tcW w:w="5245" w:type="dxa"/>
          </w:tcPr>
          <w:p w14:paraId="1D911AE9" w14:textId="20D5CADC" w:rsidR="00D72F49" w:rsidRPr="00FC6D7D" w:rsidRDefault="00A7124D" w:rsidP="00796BDB">
            <w:pPr>
              <w:tabs>
                <w:tab w:val="left" w:pos="851"/>
              </w:tabs>
              <w:spacing w:before="0"/>
              <w:jc w:val="right"/>
              <w:rPr>
                <w:b/>
                <w:lang w:val="en-GB"/>
              </w:rPr>
            </w:pPr>
            <w:r>
              <w:rPr>
                <w:b/>
              </w:rPr>
              <w:t>27 mars 2026</w:t>
            </w:r>
          </w:p>
        </w:tc>
      </w:tr>
      <w:tr w:rsidR="00D72F49" w:rsidRPr="00813E5E" w14:paraId="16B8B33B" w14:textId="77777777" w:rsidTr="00796BDB">
        <w:trPr>
          <w:cantSplit/>
          <w:trHeight w:val="23"/>
        </w:trPr>
        <w:tc>
          <w:tcPr>
            <w:tcW w:w="3969" w:type="dxa"/>
            <w:vMerge/>
          </w:tcPr>
          <w:p w14:paraId="4BA91325" w14:textId="77777777" w:rsidR="00D72F49" w:rsidRPr="00FC6D7D" w:rsidRDefault="00D72F49" w:rsidP="00796BDB">
            <w:pPr>
              <w:tabs>
                <w:tab w:val="left" w:pos="851"/>
              </w:tabs>
              <w:spacing w:line="240" w:lineRule="atLeast"/>
              <w:rPr>
                <w:b/>
                <w:lang w:val="en-GB"/>
              </w:rPr>
            </w:pPr>
          </w:p>
        </w:tc>
        <w:tc>
          <w:tcPr>
            <w:tcW w:w="5245" w:type="dxa"/>
          </w:tcPr>
          <w:p w14:paraId="3050617D" w14:textId="77777777" w:rsidR="00D72F49" w:rsidRPr="00E85629" w:rsidRDefault="00D72F49" w:rsidP="00796BDB">
            <w:pPr>
              <w:tabs>
                <w:tab w:val="left" w:pos="851"/>
              </w:tabs>
              <w:spacing w:before="0" w:line="240" w:lineRule="atLeast"/>
              <w:jc w:val="right"/>
              <w:rPr>
                <w:b/>
              </w:rPr>
            </w:pPr>
            <w:r w:rsidRPr="00122CE1">
              <w:rPr>
                <w:b/>
                <w:lang w:val="fr-CH"/>
              </w:rPr>
              <w:t>Original: anglais</w:t>
            </w:r>
          </w:p>
        </w:tc>
      </w:tr>
      <w:tr w:rsidR="00D72F49" w:rsidRPr="00813E5E" w14:paraId="2161A2E8" w14:textId="77777777" w:rsidTr="00796BDB">
        <w:trPr>
          <w:cantSplit/>
          <w:trHeight w:val="23"/>
        </w:trPr>
        <w:tc>
          <w:tcPr>
            <w:tcW w:w="3969" w:type="dxa"/>
          </w:tcPr>
          <w:p w14:paraId="46C0A876" w14:textId="77777777" w:rsidR="00D72F49" w:rsidRPr="00813E5E" w:rsidRDefault="00D72F49" w:rsidP="00A6153C">
            <w:pPr>
              <w:tabs>
                <w:tab w:val="left" w:pos="851"/>
              </w:tabs>
              <w:spacing w:before="0" w:line="240" w:lineRule="atLeast"/>
              <w:rPr>
                <w:b/>
              </w:rPr>
            </w:pPr>
          </w:p>
        </w:tc>
        <w:tc>
          <w:tcPr>
            <w:tcW w:w="5245" w:type="dxa"/>
          </w:tcPr>
          <w:p w14:paraId="680BA263" w14:textId="77777777" w:rsidR="00D72F49" w:rsidRDefault="00D72F49" w:rsidP="00A6153C">
            <w:pPr>
              <w:tabs>
                <w:tab w:val="left" w:pos="851"/>
              </w:tabs>
              <w:spacing w:before="0" w:line="240" w:lineRule="atLeast"/>
              <w:jc w:val="right"/>
              <w:rPr>
                <w:b/>
              </w:rPr>
            </w:pPr>
          </w:p>
        </w:tc>
      </w:tr>
      <w:tr w:rsidR="00D72F49" w:rsidRPr="00122CE1" w14:paraId="32FD66FD" w14:textId="77777777" w:rsidTr="00796BDB">
        <w:trPr>
          <w:cantSplit/>
        </w:trPr>
        <w:tc>
          <w:tcPr>
            <w:tcW w:w="9214" w:type="dxa"/>
            <w:gridSpan w:val="2"/>
            <w:tcMar>
              <w:left w:w="0" w:type="dxa"/>
            </w:tcMar>
          </w:tcPr>
          <w:p w14:paraId="39B36A2F" w14:textId="77777777" w:rsidR="00D72F49" w:rsidRPr="00A6153C" w:rsidRDefault="00D72F49" w:rsidP="00295ED3">
            <w:pPr>
              <w:pStyle w:val="Source"/>
              <w:framePr w:hSpace="0" w:wrap="auto" w:vAnchor="margin" w:hAnchor="text" w:xAlign="left" w:yAlign="inline"/>
              <w:spacing w:before="360"/>
            </w:pPr>
            <w:r w:rsidRPr="00A6153C">
              <w:t xml:space="preserve">Rapport </w:t>
            </w:r>
            <w:r w:rsidR="00E95647" w:rsidRPr="00A6153C">
              <w:t xml:space="preserve">de la </w:t>
            </w:r>
            <w:r w:rsidRPr="00A6153C">
              <w:t>Secrétaire général</w:t>
            </w:r>
            <w:r w:rsidR="00E95647" w:rsidRPr="00A6153C">
              <w:t>e</w:t>
            </w:r>
          </w:p>
        </w:tc>
      </w:tr>
      <w:tr w:rsidR="00D72F49" w:rsidRPr="00813E5E" w14:paraId="3CA1867E" w14:textId="77777777" w:rsidTr="00577A32">
        <w:trPr>
          <w:cantSplit/>
        </w:trPr>
        <w:tc>
          <w:tcPr>
            <w:tcW w:w="9214" w:type="dxa"/>
            <w:gridSpan w:val="2"/>
            <w:tcMar>
              <w:left w:w="0" w:type="dxa"/>
            </w:tcMar>
          </w:tcPr>
          <w:p w14:paraId="3E64D08D" w14:textId="00D46144" w:rsidR="00D72F49" w:rsidRPr="00A7124D" w:rsidRDefault="00A6153C" w:rsidP="00A6153C">
            <w:pPr>
              <w:pStyle w:val="Subtitle"/>
              <w:framePr w:hSpace="0" w:wrap="auto" w:hAnchor="text" w:xAlign="left" w:yAlign="inline"/>
              <w:spacing w:after="120"/>
              <w:rPr>
                <w:sz w:val="32"/>
                <w:szCs w:val="32"/>
                <w:lang w:val="fr-FR"/>
              </w:rPr>
            </w:pPr>
            <w:r w:rsidRPr="002238F8">
              <w:rPr>
                <w:rFonts w:cstheme="minorHAnsi"/>
                <w:sz w:val="32"/>
                <w:szCs w:val="32"/>
                <w:lang w:val="fr-FR"/>
              </w:rPr>
              <w:t>EXAMEN ANNUEL DES PRODUITS ET DES CHARGES DANS LE CADRE DE LA MISE EN ŒUVRE DU BUDGET 2026, Y</w:t>
            </w:r>
            <w:r>
              <w:rPr>
                <w:rFonts w:cstheme="minorHAnsi"/>
                <w:sz w:val="32"/>
                <w:szCs w:val="32"/>
                <w:lang w:val="fr-FR"/>
              </w:rPr>
              <w:t xml:space="preserve"> </w:t>
            </w:r>
            <w:r w:rsidRPr="002238F8">
              <w:rPr>
                <w:rFonts w:cstheme="minorHAnsi"/>
                <w:sz w:val="32"/>
                <w:szCs w:val="32"/>
                <w:lang w:val="fr-FR"/>
              </w:rPr>
              <w:t>COMPRIS LA RÉDUCTION GLOBALE DU BUDGET POUR LA PÉRIODE 2026-2027</w:t>
            </w:r>
          </w:p>
        </w:tc>
      </w:tr>
      <w:tr w:rsidR="00D72F49" w:rsidRPr="00813E5E" w14:paraId="054048D7" w14:textId="77777777" w:rsidTr="00577A32">
        <w:trPr>
          <w:cantSplit/>
        </w:trPr>
        <w:tc>
          <w:tcPr>
            <w:tcW w:w="9214" w:type="dxa"/>
            <w:gridSpan w:val="2"/>
            <w:tcMar>
              <w:left w:w="0" w:type="dxa"/>
            </w:tcMar>
          </w:tcPr>
          <w:p w14:paraId="1BB15E60" w14:textId="77777777" w:rsidR="00D72F49" w:rsidRPr="0099485B" w:rsidRDefault="00F37FE5" w:rsidP="00A6153C">
            <w:pPr>
              <w:rPr>
                <w:b/>
                <w:bCs/>
                <w:sz w:val="26"/>
                <w:szCs w:val="26"/>
                <w:lang w:val="fr-CH"/>
              </w:rPr>
            </w:pPr>
            <w:r>
              <w:rPr>
                <w:b/>
                <w:bCs/>
                <w:sz w:val="26"/>
                <w:szCs w:val="26"/>
                <w:lang w:val="fr-CH"/>
              </w:rPr>
              <w:t>Objet</w:t>
            </w:r>
          </w:p>
          <w:p w14:paraId="27B436DE" w14:textId="53AD5B12" w:rsidR="00A7124D" w:rsidRDefault="00A7124D" w:rsidP="00A6153C">
            <w:pPr>
              <w:spacing w:before="100"/>
              <w:jc w:val="both"/>
              <w:rPr>
                <w:lang w:val="fr-CH"/>
              </w:rPr>
            </w:pPr>
            <w:r>
              <w:t xml:space="preserve">À sa session de 2025, le Conseil a examiné et approuvé, par sa </w:t>
            </w:r>
            <w:hyperlink r:id="rId7" w:history="1">
              <w:r w:rsidRPr="007E6E32">
                <w:t xml:space="preserve">Résolution </w:t>
              </w:r>
              <w:r w:rsidRPr="00282AD0">
                <w:rPr>
                  <w:rStyle w:val="Hyperlink"/>
                  <w:rFonts w:eastAsia="Times New Roman" w:cs="Times New Roman"/>
                  <w:szCs w:val="20"/>
                </w:rPr>
                <w:t>1435</w:t>
              </w:r>
            </w:hyperlink>
            <w:r>
              <w:t>, le budget biennal de l</w:t>
            </w:r>
            <w:r w:rsidR="0016081D">
              <w:t>'</w:t>
            </w:r>
            <w:r>
              <w:t>Union pour la période 2026-2027. Le budget approuvé comportait une réduction globale de 6</w:t>
            </w:r>
            <w:r w:rsidR="00354EED">
              <w:t xml:space="preserve"> </w:t>
            </w:r>
            <w:r>
              <w:t xml:space="preserve">008 millions CHF entre le niveau de charges approuvé et les produits prévus. Afin de présenter un budget équilibré, ce déficit a été répercuté sur l'enveloppe générale des charges sous la forme d'une réduction globale correspondante. À la suite des discussions menées lors de la réunion du </w:t>
            </w:r>
            <w:r w:rsidRPr="00006EFA">
              <w:t xml:space="preserve">Groupe de travail du Conseil sur les ressources financières et les ressources humaines (GTC-FHR) </w:t>
            </w:r>
            <w:r>
              <w:t>en janvier 2026, le Secrétariat a entrepris la mise en œuvre des mesures décrites dans le présent document</w:t>
            </w:r>
            <w:r w:rsidRPr="00DD7834">
              <w:rPr>
                <w:lang w:val="fr-CH"/>
              </w:rPr>
              <w:t>.</w:t>
            </w:r>
          </w:p>
          <w:p w14:paraId="47A99DFE" w14:textId="3D8997E8" w:rsidR="00A7124D" w:rsidRPr="00851354" w:rsidRDefault="00A7124D" w:rsidP="00A6153C">
            <w:pPr>
              <w:spacing w:before="100"/>
              <w:jc w:val="both"/>
              <w:rPr>
                <w:sz w:val="22"/>
                <w:szCs w:val="22"/>
              </w:rPr>
            </w:pPr>
            <w:r>
              <w:t>Le Comité de coordination (CoCo) a renforcé son rôle de supervision en mettant en place des mesures plus rigoureuses de suivi et de contrôle budgétaires, visant à garantir que les charges correspondent de près au budget approuvé et à l'objectif de réduction globale établi. Ces mesures comprennent un examen plus approfondi des plans de dépenses, un suivi renforcé de l'exécution du budget et une analyse plus régulière de l'évolution des charges, afin de garantir la mise en œuvre des mesures correctives qui s</w:t>
            </w:r>
            <w:r w:rsidR="0016081D">
              <w:t>'</w:t>
            </w:r>
            <w:r>
              <w:t>imposent, dans les meilleurs délais.</w:t>
            </w:r>
          </w:p>
          <w:p w14:paraId="511EEDB8" w14:textId="77777777" w:rsidR="00A7124D" w:rsidRPr="00851354" w:rsidRDefault="00A7124D" w:rsidP="00A6153C">
            <w:pPr>
              <w:spacing w:before="100"/>
              <w:jc w:val="both"/>
              <w:rPr>
                <w:sz w:val="22"/>
                <w:szCs w:val="22"/>
              </w:rPr>
            </w:pPr>
            <w:r>
              <w:t>Les progrès accomplis à ce jour, ainsi que les mesures en cours de mise en œuvre, sont présentés dans les sections suivantes.</w:t>
            </w:r>
          </w:p>
          <w:p w14:paraId="4EFA568B" w14:textId="77777777" w:rsidR="00D72F49" w:rsidRPr="00122CE1" w:rsidRDefault="00D72F49" w:rsidP="00A6153C">
            <w:pPr>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74D6F553" w14:textId="1B4CE1CF" w:rsidR="00D72F49" w:rsidRPr="0081058B" w:rsidRDefault="00A7124D" w:rsidP="00A6153C">
            <w:pPr>
              <w:spacing w:before="100"/>
            </w:pPr>
            <w:r w:rsidRPr="0081058B">
              <w:t xml:space="preserve">Le Conseil est invité </w:t>
            </w:r>
            <w:r w:rsidRPr="0081058B">
              <w:rPr>
                <w:b/>
                <w:bCs/>
              </w:rPr>
              <w:t>à prendre note</w:t>
            </w:r>
            <w:r w:rsidRPr="0081058B">
              <w:t xml:space="preserve"> du présent document.</w:t>
            </w:r>
          </w:p>
          <w:p w14:paraId="758E6164" w14:textId="3E26734F" w:rsidR="00D72F49" w:rsidRPr="00122CE1" w:rsidRDefault="00D72F49" w:rsidP="00A6153C">
            <w:pPr>
              <w:rPr>
                <w:b/>
                <w:bCs/>
                <w:sz w:val="26"/>
                <w:szCs w:val="26"/>
                <w:lang w:val="fr-CH"/>
              </w:rPr>
            </w:pPr>
            <w:r w:rsidRPr="00122CE1">
              <w:rPr>
                <w:b/>
                <w:bCs/>
                <w:sz w:val="26"/>
                <w:szCs w:val="26"/>
                <w:lang w:val="fr-CH"/>
              </w:rPr>
              <w:t xml:space="preserve">Lien pertinent avec le </w:t>
            </w:r>
            <w:r w:rsidR="00F37FE5">
              <w:rPr>
                <w:b/>
                <w:bCs/>
                <w:sz w:val="26"/>
                <w:szCs w:val="26"/>
                <w:lang w:val="fr-CH"/>
              </w:rPr>
              <w:t>p</w:t>
            </w:r>
            <w:r w:rsidRPr="00122CE1">
              <w:rPr>
                <w:b/>
                <w:bCs/>
                <w:sz w:val="26"/>
                <w:szCs w:val="26"/>
                <w:lang w:val="fr-CH"/>
              </w:rPr>
              <w:t>lan stratégique</w:t>
            </w:r>
          </w:p>
          <w:p w14:paraId="723B3D6D" w14:textId="4008297F" w:rsidR="00D72F49" w:rsidRPr="00122CE1" w:rsidRDefault="00A7124D" w:rsidP="00A6153C">
            <w:pPr>
              <w:spacing w:before="100"/>
              <w:rPr>
                <w:lang w:val="fr-CH"/>
              </w:rPr>
            </w:pPr>
            <w:r w:rsidRPr="0081058B">
              <w:t>Le budget de l'Union pour 2026 permet le financement des deux buts et des cinq priorités thématiques de l'UIT.</w:t>
            </w:r>
          </w:p>
          <w:p w14:paraId="65B0616D" w14:textId="77777777" w:rsidR="00E95647" w:rsidRDefault="00D72F49" w:rsidP="00A6153C">
            <w:pPr>
              <w:rPr>
                <w:b/>
                <w:bCs/>
                <w:sz w:val="26"/>
                <w:szCs w:val="26"/>
                <w:lang w:val="fr-CH"/>
              </w:rPr>
            </w:pPr>
            <w:r w:rsidRPr="00122CE1">
              <w:rPr>
                <w:b/>
                <w:bCs/>
                <w:sz w:val="26"/>
                <w:szCs w:val="26"/>
                <w:lang w:val="fr-CH"/>
              </w:rPr>
              <w:t>Incidences financières</w:t>
            </w:r>
          </w:p>
          <w:p w14:paraId="3A9682EA" w14:textId="32FC2EAA" w:rsidR="00D72F49" w:rsidRPr="00882919" w:rsidRDefault="00A7124D" w:rsidP="00A6153C">
            <w:pPr>
              <w:spacing w:before="100"/>
              <w:rPr>
                <w:szCs w:val="24"/>
              </w:rPr>
            </w:pPr>
            <w:r w:rsidRPr="0081058B">
              <w:t>La direction de l'UIT prendra toutes les mesures nécessaires pour garantir une mise en œuvre optimale du budget 2026.</w:t>
            </w:r>
          </w:p>
          <w:p w14:paraId="3B292F90" w14:textId="77777777" w:rsidR="00D72F49" w:rsidRPr="00813E5E" w:rsidRDefault="00D72F49" w:rsidP="00295ED3">
            <w:pPr>
              <w:spacing w:before="0"/>
              <w:rPr>
                <w:caps/>
                <w:sz w:val="22"/>
              </w:rPr>
            </w:pPr>
            <w:r w:rsidRPr="00813E5E">
              <w:rPr>
                <w:sz w:val="22"/>
              </w:rPr>
              <w:t>____________</w:t>
            </w:r>
            <w:r>
              <w:rPr>
                <w:sz w:val="22"/>
              </w:rPr>
              <w:t>______</w:t>
            </w:r>
          </w:p>
          <w:p w14:paraId="36127803" w14:textId="77777777" w:rsidR="00D72F49" w:rsidRDefault="00D72F49" w:rsidP="00A6153C">
            <w:pPr>
              <w:rPr>
                <w:b/>
                <w:bCs/>
                <w:sz w:val="26"/>
                <w:szCs w:val="26"/>
              </w:rPr>
            </w:pPr>
            <w:r w:rsidRPr="00F16BAB">
              <w:rPr>
                <w:b/>
                <w:bCs/>
                <w:sz w:val="26"/>
                <w:szCs w:val="26"/>
              </w:rPr>
              <w:t>Références</w:t>
            </w:r>
          </w:p>
          <w:p w14:paraId="7D92D69D" w14:textId="1D8488B4" w:rsidR="00D72F49" w:rsidRPr="00577A32" w:rsidRDefault="00A7124D" w:rsidP="00767C8A">
            <w:pPr>
              <w:pStyle w:val="Referencetext"/>
              <w:framePr w:hSpace="0" w:wrap="auto" w:vAnchor="margin" w:hAnchor="text" w:xAlign="left" w:yAlign="inline"/>
              <w:spacing w:before="100" w:after="100"/>
              <w:rPr>
                <w:sz w:val="24"/>
                <w:szCs w:val="24"/>
              </w:rPr>
            </w:pPr>
            <w:r w:rsidRPr="00A6153C">
              <w:rPr>
                <w:color w:val="000000"/>
              </w:rPr>
              <w:t xml:space="preserve">Résolution </w:t>
            </w:r>
            <w:hyperlink r:id="rId8" w:history="1">
              <w:r w:rsidRPr="00A6153C">
                <w:rPr>
                  <w:rStyle w:val="Hyperlink"/>
                  <w:rFonts w:eastAsia="Times New Roman" w:cs="Times New Roman"/>
                </w:rPr>
                <w:t>1435</w:t>
              </w:r>
            </w:hyperlink>
            <w:r w:rsidRPr="00A6153C">
              <w:t xml:space="preserve"> du Conseil (Budget biennal de l'Union internationale des télécommunications pour 2026-2027</w:t>
            </w:r>
            <w:proofErr w:type="gramStart"/>
            <w:r w:rsidRPr="00A6153C">
              <w:t>);</w:t>
            </w:r>
            <w:proofErr w:type="gramEnd"/>
            <w:r w:rsidRPr="00A6153C">
              <w:t xml:space="preserve"> </w:t>
            </w:r>
            <w:hyperlink r:id="rId9" w:history="1">
              <w:r w:rsidRPr="00A6153C">
                <w:t xml:space="preserve">Décision </w:t>
              </w:r>
              <w:r w:rsidRPr="00A6153C">
                <w:rPr>
                  <w:rStyle w:val="Hyperlink"/>
                  <w:rFonts w:eastAsia="Times New Roman" w:cs="Times New Roman"/>
                </w:rPr>
                <w:t>5</w:t>
              </w:r>
            </w:hyperlink>
            <w:r w:rsidRPr="00A6153C">
              <w:t xml:space="preserve"> (Rév. Bucarest, 2022) de la Conférence de plénipotentiaires.</w:t>
            </w:r>
          </w:p>
        </w:tc>
      </w:tr>
    </w:tbl>
    <w:p w14:paraId="6F22AD63"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09F33514" w14:textId="77777777" w:rsidR="00A7124D" w:rsidRPr="00A7124D" w:rsidRDefault="00A7124D" w:rsidP="0081058B">
      <w:pPr>
        <w:pStyle w:val="Heading1"/>
      </w:pPr>
      <w:r w:rsidRPr="00A7124D">
        <w:lastRenderedPageBreak/>
        <w:t>1</w:t>
      </w:r>
      <w:r w:rsidRPr="00A7124D">
        <w:tab/>
        <w:t>Contexte stratégique</w:t>
      </w:r>
    </w:p>
    <w:p w14:paraId="52480606" w14:textId="6BC4B5F0" w:rsidR="00A7124D" w:rsidRPr="00A7124D" w:rsidRDefault="00A7124D" w:rsidP="00295ED3">
      <w:pPr>
        <w:jc w:val="both"/>
      </w:pPr>
      <w:r w:rsidRPr="00A7124D">
        <w:t>À sa session de 2025, le Conseil a examiné et approuvé le projet de budget biennal de l</w:t>
      </w:r>
      <w:r w:rsidR="0016081D">
        <w:t>'</w:t>
      </w:r>
      <w:r w:rsidRPr="00A7124D">
        <w:t xml:space="preserve">Union pour la période 2026-2027, tel qu'il figure dans le Document </w:t>
      </w:r>
      <w:hyperlink r:id="rId10" w:history="1">
        <w:r w:rsidRPr="007E6E32">
          <w:rPr>
            <w:rStyle w:val="Hyperlink"/>
            <w:rFonts w:eastAsia="Times New Roman" w:cs="Times New Roman"/>
            <w:szCs w:val="20"/>
          </w:rPr>
          <w:t>C25/47</w:t>
        </w:r>
      </w:hyperlink>
      <w:r w:rsidRPr="00A7124D">
        <w:t>. Le projet de budget était initialement équilibré sur la base d</w:t>
      </w:r>
      <w:r w:rsidR="0016081D">
        <w:t>'</w:t>
      </w:r>
      <w:r w:rsidRPr="00A7124D">
        <w:t>une estimation des produits au titre du recouvrement des coûts s</w:t>
      </w:r>
      <w:r w:rsidR="0016081D">
        <w:t>'</w:t>
      </w:r>
      <w:r w:rsidRPr="00A7124D">
        <w:t xml:space="preserve">élevant à 67 592 millions CHF, telle que décrite dans une proposition du Secrétariat (Document </w:t>
      </w:r>
      <w:hyperlink r:id="rId11" w:history="1">
        <w:r w:rsidRPr="007E6E32">
          <w:rPr>
            <w:rStyle w:val="Hyperlink"/>
            <w:rFonts w:eastAsia="Times New Roman" w:cs="Times New Roman"/>
            <w:szCs w:val="20"/>
          </w:rPr>
          <w:t>C25/64</w:t>
        </w:r>
      </w:hyperlink>
      <w:r w:rsidRPr="00A7124D">
        <w:t>) qui visait à augmenter les droits à acquitter pour le traitement des fiches de notification des réseaux à satellite afin de couvrir le manque à gagner au titre du recouvrement des coûts. Ces propositions ont été examinées en même temps que celles soumises par le Groupe d</w:t>
      </w:r>
      <w:r w:rsidR="0016081D">
        <w:t>'</w:t>
      </w:r>
      <w:r w:rsidRPr="00A7124D">
        <w:t>experts sur la Décision 482 (EG-Dec482).</w:t>
      </w:r>
    </w:p>
    <w:p w14:paraId="301BF224" w14:textId="375498FD" w:rsidR="00A7124D" w:rsidRPr="00295ED3" w:rsidRDefault="00A7124D" w:rsidP="00295ED3">
      <w:pPr>
        <w:jc w:val="both"/>
        <w:rPr>
          <w:spacing w:val="-3"/>
        </w:rPr>
      </w:pPr>
      <w:r w:rsidRPr="00295ED3">
        <w:rPr>
          <w:spacing w:val="-3"/>
        </w:rPr>
        <w:t>Le Conseil a conclu que, même si une augmentation de ces droits semblait pertinente, il convenait d'examiner plus en détail le calcul des coûts fourni par le Secrétariat. Ce dernier a donc été prié de procéder à un examen approfondi de la méth</w:t>
      </w:r>
      <w:r w:rsidR="007E6E32" w:rsidRPr="00295ED3">
        <w:rPr>
          <w:spacing w:val="-3"/>
        </w:rPr>
        <w:t>od</w:t>
      </w:r>
      <w:r w:rsidRPr="00295ED3">
        <w:rPr>
          <w:spacing w:val="-3"/>
        </w:rPr>
        <w:t>e utilisée pour calculer les coûts de traitement des fiches de notification des réseaux à satellite, notamment le traitement des coûts indirects. Dans l</w:t>
      </w:r>
      <w:r w:rsidR="0016081D" w:rsidRPr="00295ED3">
        <w:rPr>
          <w:spacing w:val="-3"/>
        </w:rPr>
        <w:t>'</w:t>
      </w:r>
      <w:r w:rsidRPr="00295ED3">
        <w:rPr>
          <w:spacing w:val="-3"/>
        </w:rPr>
        <w:t>attente des résultats de cet examen, le Conseil a approuvé une augmentation provisoire plus faible des droits à acquitter pour le traitement de ces fiches, de 10,6% par rapport aux propositions soumises par le Groupe EG-Dec482 pour la période 2026-2027.</w:t>
      </w:r>
    </w:p>
    <w:p w14:paraId="3B252060" w14:textId="77777777" w:rsidR="00A7124D" w:rsidRPr="00A7124D" w:rsidRDefault="00A7124D" w:rsidP="00295ED3">
      <w:pPr>
        <w:jc w:val="both"/>
      </w:pPr>
      <w:r w:rsidRPr="00A7124D">
        <w:t>En conséquence de ces décisions, le Conseil a approuvé le budget biennal pour 2026-2027, compte tenu du montant des charges proposé par le Secrétariat, mais a chargé ce dernier de répercuter la réduction de 6 008 millions CHF sur les charges détaillées. Afin de présenter un budget équilibré, ce montant a été répercuté sur l'enveloppe approuvée des charges sous la forme d'une réduction globale. Le Secrétariat a été prié de rendre compte au GTC-FHR des mesures prises pour absorber cette réduction.</w:t>
      </w:r>
    </w:p>
    <w:p w14:paraId="1A57DFCA" w14:textId="49E876AF" w:rsidR="00A7124D" w:rsidRPr="00A7124D" w:rsidRDefault="00A7124D" w:rsidP="00295ED3">
      <w:pPr>
        <w:jc w:val="both"/>
      </w:pPr>
      <w:r w:rsidRPr="00A7124D">
        <w:t>À la suite des discussions menées lors de la réunion du GTC-FHR en janvier 2026, le Secrétariat a pris un certain nombre de mesures afin de mettre en œuvre les réductions requises. Comme indiqué ci-après, des modifications concrètes ont déjà été apportées au budget pour 2026-2027, notamment la réduction des frais de voyage et le recours à des contrats d</w:t>
      </w:r>
      <w:r w:rsidR="0016081D">
        <w:t>'</w:t>
      </w:r>
      <w:r w:rsidRPr="00A7124D">
        <w:t>engagement spéciaux (SSA), qui ensemble équivalent à environ la moitié de la réduction globale requise. Le Secrétariat continuera d</w:t>
      </w:r>
      <w:r w:rsidR="0016081D">
        <w:t>'</w:t>
      </w:r>
      <w:r w:rsidRPr="00A7124D">
        <w:t>assurer le suivi de la mise en œuvre de ces mesures au cours de l</w:t>
      </w:r>
      <w:r w:rsidR="0016081D">
        <w:t>'</w:t>
      </w:r>
      <w:r w:rsidRPr="00A7124D">
        <w:t>exercice biennal 2026-2027 et d</w:t>
      </w:r>
      <w:r w:rsidR="0016081D">
        <w:t>'</w:t>
      </w:r>
      <w:r w:rsidRPr="00A7124D">
        <w:t>ajuster les charges en tant que de besoin pour dégager les économies nécessaires.</w:t>
      </w:r>
    </w:p>
    <w:p w14:paraId="383104DA" w14:textId="337D3BD8" w:rsidR="00A7124D" w:rsidRPr="00A7124D" w:rsidRDefault="00A7124D" w:rsidP="00295ED3">
      <w:pPr>
        <w:jc w:val="both"/>
      </w:pPr>
      <w:r w:rsidRPr="00A7124D">
        <w:t>Le Secrétariat, par l</w:t>
      </w:r>
      <w:r w:rsidR="0016081D">
        <w:t>'</w:t>
      </w:r>
      <w:r w:rsidRPr="00A7124D">
        <w:t>intermédiaire du Comité de coordination, suit de près l</w:t>
      </w:r>
      <w:r w:rsidR="0016081D">
        <w:t>'</w:t>
      </w:r>
      <w:r w:rsidRPr="00A7124D">
        <w:t>évolution des produits, en particulier dans les domaines où des incertitudes subsistent. Il se pourrait que les produits tirés du recouvrement des coûts pour le traitement des fiches de notification des réseaux à satellite n</w:t>
      </w:r>
      <w:r w:rsidR="0016081D">
        <w:t>'</w:t>
      </w:r>
      <w:r w:rsidRPr="00A7124D">
        <w:t>atteignent pas le montant de 14 496 millions CHF par an actuellement prévu au budget. Par ailleurs, le Secrétariat évalue plus attentivement les produits tirés des publications afin de trouver des solutions possibles pour pallier d'éventuels manques à gagner. Afin de faciliter la gestion de ces risques en amont, des rapports mensuels de suivi financier sont établis et examinés par la haute direction.</w:t>
      </w:r>
    </w:p>
    <w:p w14:paraId="4B93E913" w14:textId="3A5D70E1" w:rsidR="00A7124D" w:rsidRPr="00A7124D" w:rsidRDefault="00A7124D" w:rsidP="00295ED3">
      <w:pPr>
        <w:jc w:val="both"/>
      </w:pPr>
      <w:r w:rsidRPr="00A7124D">
        <w:t>Il convient de noter qu'au moment de la rédaction du présent document, le premier trimestre de l'exercice 2026 n'était pas encore terminé. En conséquence, l</w:t>
      </w:r>
      <w:r w:rsidR="0016081D">
        <w:t>'</w:t>
      </w:r>
      <w:r w:rsidRPr="00A7124D">
        <w:t>évaluation par le Secrétariat de la réduction des charges et de l</w:t>
      </w:r>
      <w:r w:rsidR="0016081D">
        <w:t>'</w:t>
      </w:r>
      <w:r w:rsidRPr="00A7124D">
        <w:t>évolution des produits repose sur les premières mesures de mise en œuvre et sur des mesures de suivi précoces. Le Secrétariat présentera donc au Conseil, à sa session de 2026, des informations actualisées sur la mise en œuvre du budget, y compris les résultats financiers du premier trimestre et les projections connexes pour le reste de l</w:t>
      </w:r>
      <w:r w:rsidR="0016081D">
        <w:t>'</w:t>
      </w:r>
      <w:r w:rsidRPr="00A7124D">
        <w:t>exercice biennal.</w:t>
      </w:r>
    </w:p>
    <w:p w14:paraId="04615B7E" w14:textId="165BF03D" w:rsidR="00A7124D" w:rsidRPr="00A7124D" w:rsidRDefault="007E6E32" w:rsidP="007E6E32">
      <w:pPr>
        <w:pStyle w:val="Heading1"/>
      </w:pPr>
      <w:r>
        <w:lastRenderedPageBreak/>
        <w:t>2</w:t>
      </w:r>
      <w:r>
        <w:tab/>
      </w:r>
      <w:r w:rsidR="00A7124D" w:rsidRPr="00A7124D">
        <w:t>Méthodes de réduction des charges pour le budget 2026-2027</w:t>
      </w:r>
    </w:p>
    <w:p w14:paraId="25FF9F3B" w14:textId="7AA27430" w:rsidR="00A7124D" w:rsidRPr="00A7124D" w:rsidRDefault="00A7124D" w:rsidP="0081058B">
      <w:pPr>
        <w:pStyle w:val="Heading2"/>
      </w:pPr>
      <w:r w:rsidRPr="00A7124D">
        <w:t>2.1</w:t>
      </w:r>
      <w:r w:rsidRPr="00A7124D">
        <w:tab/>
        <w:t>Examen des priorités et regroupement dans le cadre de l</w:t>
      </w:r>
      <w:r w:rsidR="0016081D">
        <w:t>'</w:t>
      </w:r>
      <w:r w:rsidRPr="00A7124D">
        <w:t>exercice de planification opérationnelle</w:t>
      </w:r>
    </w:p>
    <w:p w14:paraId="5A8C6596" w14:textId="213E27BC" w:rsidR="00A7124D" w:rsidRPr="00A7124D" w:rsidRDefault="00A7124D" w:rsidP="00295ED3">
      <w:pPr>
        <w:jc w:val="both"/>
      </w:pPr>
      <w:r w:rsidRPr="00A7124D">
        <w:t>Après la session de 2025 du Conseil, le Secrétariat a lancé un vaste exercice de planification opérationnelle pour 2026. Dans le cadre de ce processus à l</w:t>
      </w:r>
      <w:r w:rsidR="0016081D">
        <w:t>'</w:t>
      </w:r>
      <w:r w:rsidRPr="00A7124D">
        <w:t>échelle de l</w:t>
      </w:r>
      <w:r w:rsidR="0016081D">
        <w:t>'</w:t>
      </w:r>
      <w:r w:rsidRPr="00A7124D">
        <w:t>Union, il a été demandé aux Bureaux et au Secrétariat général, au niveau des départements, de recenser et de documenter les effectifs et les ressources financières nécessaires pour obtenir les résultats attendus pour 2026, y compris les charges liées au personnel, aux voyages, au matériel et à l</w:t>
      </w:r>
      <w:r w:rsidR="0016081D">
        <w:t>'</w:t>
      </w:r>
      <w:r w:rsidRPr="00A7124D">
        <w:t>assistance à court terme.</w:t>
      </w:r>
    </w:p>
    <w:p w14:paraId="57220C73" w14:textId="77777777" w:rsidR="00A7124D" w:rsidRPr="00A7124D" w:rsidRDefault="00A7124D" w:rsidP="00295ED3">
      <w:pPr>
        <w:jc w:val="both"/>
      </w:pPr>
      <w:r w:rsidRPr="00A7124D">
        <w:t>Ce processus de planification opérationnelle constitue un mécanisme essentiel pour aligner les ressources sur les priorités et garantir que les ressources budgétaires limitées soient affectées aux activités les plus importantes de l'Union. En procédant à un examen systématique des activités prévues et de l'affectation des ressources, le Secrétariat peut recenser les possibilités de regroupement, de coordination et d'amélioration des méthodes de travail à l'échelle de l'Union.</w:t>
      </w:r>
    </w:p>
    <w:p w14:paraId="50447344" w14:textId="77777777" w:rsidR="00A7124D" w:rsidRPr="00A7124D" w:rsidRDefault="00A7124D" w:rsidP="00295ED3">
      <w:pPr>
        <w:jc w:val="both"/>
      </w:pPr>
      <w:r w:rsidRPr="00A7124D">
        <w:t>Le processus a déjà débouché sur un certain nombre de mesures de maîtrise des coûts, notamment la réduction du nombre de manifestations à l'initiative du Secrétariat, le regroupement de services communs et une meilleure coordination des axes de travail entre les Bureaux et le Secrétariat général. Ces mesures contribuent également à réduire les frais de voyage et le recours aux services de consultants à court terme décrits ci-dessous.</w:t>
      </w:r>
    </w:p>
    <w:p w14:paraId="6D06C939" w14:textId="77777777" w:rsidR="00A7124D" w:rsidRPr="00A7124D" w:rsidRDefault="00A7124D" w:rsidP="0081058B">
      <w:pPr>
        <w:pStyle w:val="Heading2"/>
      </w:pPr>
      <w:r w:rsidRPr="00A7124D">
        <w:t>2.2</w:t>
      </w:r>
      <w:r w:rsidRPr="00A7124D">
        <w:tab/>
        <w:t>Frais de voyage</w:t>
      </w:r>
    </w:p>
    <w:p w14:paraId="38628186" w14:textId="77777777" w:rsidR="00A7124D" w:rsidRPr="00A7124D" w:rsidRDefault="00A7124D" w:rsidP="00295ED3">
      <w:pPr>
        <w:jc w:val="both"/>
      </w:pPr>
      <w:r w:rsidRPr="00A7124D">
        <w:t>Les voyages du personnel constituent un élément essentiel des activités de l'UIT, car ils permettent à l'Union de fournir une assistance technique aux États Membres, de représenter l'UIT dans les principales instances internationales, de soutenir la gestion des activités régionales et de participer aux processus pertinents des Nations Unies.</w:t>
      </w:r>
    </w:p>
    <w:p w14:paraId="360FC839" w14:textId="5EC19E42" w:rsidR="00A7124D" w:rsidRPr="00A7124D" w:rsidRDefault="00A7124D" w:rsidP="00295ED3">
      <w:pPr>
        <w:jc w:val="both"/>
      </w:pPr>
      <w:r w:rsidRPr="00A7124D">
        <w:t xml:space="preserve">Toutefois, compte tenu des contraintes budgétaires actuelles et de l'examen des priorités décrit ci-dessus, le Secrétariat a décidé de réduire les frais de voyage financés sur le budget ordinaire. </w:t>
      </w:r>
      <w:r w:rsidRPr="008544F9">
        <w:rPr>
          <w:b/>
          <w:bCs/>
        </w:rPr>
        <w:t>Le budget pour l</w:t>
      </w:r>
      <w:r w:rsidR="0016081D" w:rsidRPr="008544F9">
        <w:rPr>
          <w:b/>
          <w:bCs/>
        </w:rPr>
        <w:t>'</w:t>
      </w:r>
      <w:r w:rsidRPr="008544F9">
        <w:rPr>
          <w:b/>
          <w:bCs/>
        </w:rPr>
        <w:t>exercice biennal 2026-2027 prévoit une réduction des frais de voyage d</w:t>
      </w:r>
      <w:r w:rsidR="0016081D" w:rsidRPr="008544F9">
        <w:rPr>
          <w:b/>
          <w:bCs/>
        </w:rPr>
        <w:t>'</w:t>
      </w:r>
      <w:r w:rsidRPr="008544F9">
        <w:rPr>
          <w:b/>
          <w:bCs/>
        </w:rPr>
        <w:t>environ 900 000 CHF</w:t>
      </w:r>
      <w:r w:rsidRPr="00A7124D">
        <w:t>.</w:t>
      </w:r>
    </w:p>
    <w:p w14:paraId="168104AE" w14:textId="0F977307" w:rsidR="00A7124D" w:rsidRPr="00A7124D" w:rsidRDefault="00A7124D" w:rsidP="00295ED3">
      <w:pPr>
        <w:jc w:val="both"/>
      </w:pPr>
      <w:r w:rsidRPr="00A7124D">
        <w:t>Cette réduction est le reflet d'une plus grande sélectivité dans le programme des missions, d'un recours accru à la participation virtuelle dans les cas appropriés et d'une meilleure coordination des voyages à l'échelle de l'Union. Le Secrétariat continuera à assurer le suivi des frais de voyage au cours de l'exercice biennal afin de garantir que l</w:t>
      </w:r>
      <w:r w:rsidR="0016081D">
        <w:t>'</w:t>
      </w:r>
      <w:r w:rsidRPr="00A7124D">
        <w:t>application de ces mesures de réduction n'entrave pas la capacité de l'Union à mener à bien ses activités fondamentales.</w:t>
      </w:r>
    </w:p>
    <w:p w14:paraId="6E9D561C" w14:textId="550914BA" w:rsidR="00A7124D" w:rsidRPr="00A7124D" w:rsidRDefault="00A7124D" w:rsidP="0081058B">
      <w:pPr>
        <w:pStyle w:val="Heading2"/>
      </w:pPr>
      <w:r w:rsidRPr="00A7124D">
        <w:t>2.3</w:t>
      </w:r>
      <w:r w:rsidRPr="00A7124D">
        <w:tab/>
        <w:t>Contrats d</w:t>
      </w:r>
      <w:r w:rsidR="0016081D">
        <w:t>'</w:t>
      </w:r>
      <w:r w:rsidRPr="00A7124D">
        <w:t>engagement spéciaux (SSA)</w:t>
      </w:r>
    </w:p>
    <w:p w14:paraId="24FD5447" w14:textId="77777777" w:rsidR="00A7124D" w:rsidRPr="00A7124D" w:rsidRDefault="00A7124D" w:rsidP="00796823">
      <w:pPr>
        <w:keepLines/>
      </w:pPr>
      <w:r w:rsidRPr="00A7124D">
        <w:t>L'UIT fait appel à des services de consultants à court terme dans le cadre de contrats d'engagement spéciaux (SSA), afin de bénéficier d'une expertise spécialisée et d'apporter un soutien à des projets et tâches spécifiques qui ne nécessitent pas de recourir au personnel permanent.</w:t>
      </w:r>
    </w:p>
    <w:p w14:paraId="2596F50C" w14:textId="77777777" w:rsidR="00A7124D" w:rsidRPr="00A7124D" w:rsidRDefault="00A7124D" w:rsidP="00295ED3">
      <w:pPr>
        <w:jc w:val="both"/>
      </w:pPr>
      <w:r w:rsidRPr="00A7124D">
        <w:t xml:space="preserve">Si les contrats SSA restent un mécanisme important pour répondre à des besoins spécifiques de manière souple et financièrement avantageuse, le Secrétariat a toutefois trouvé des moyens de mieux cadrer leur utilisation et de réduire les charges globales dans ce domaine. En particulier, l'examen des priorités décrit ci-dessus a permis d'améliorer la coordination des </w:t>
      </w:r>
      <w:r w:rsidRPr="00A7124D">
        <w:lastRenderedPageBreak/>
        <w:t>ressources en personnel à l'échelle de l'Union, ainsi que de réduire le nombre de manifestations organisées par le Secrétariat et de regrouper les services communs.</w:t>
      </w:r>
    </w:p>
    <w:p w14:paraId="2B438B40" w14:textId="14B24F19" w:rsidR="00A7124D" w:rsidRPr="0016081D" w:rsidRDefault="00A7124D" w:rsidP="00295ED3">
      <w:pPr>
        <w:jc w:val="both"/>
        <w:rPr>
          <w:b/>
          <w:bCs/>
        </w:rPr>
      </w:pPr>
      <w:r w:rsidRPr="0016081D">
        <w:rPr>
          <w:b/>
          <w:bCs/>
        </w:rPr>
        <w:t>Dans ce contexte, le budget pour l</w:t>
      </w:r>
      <w:r w:rsidR="0016081D">
        <w:rPr>
          <w:b/>
          <w:bCs/>
        </w:rPr>
        <w:t>'</w:t>
      </w:r>
      <w:r w:rsidRPr="0016081D">
        <w:rPr>
          <w:b/>
          <w:bCs/>
        </w:rPr>
        <w:t>exercice biennal 2026-2027 comprend une réduction d</w:t>
      </w:r>
      <w:r w:rsidR="0016081D">
        <w:rPr>
          <w:b/>
          <w:bCs/>
        </w:rPr>
        <w:t>'</w:t>
      </w:r>
      <w:r w:rsidRPr="0016081D">
        <w:rPr>
          <w:b/>
          <w:bCs/>
        </w:rPr>
        <w:t>environ 2,1 millions CHF sur le budget relatif aux contrats SSA</w:t>
      </w:r>
      <w:r w:rsidRPr="0016081D">
        <w:t>.</w:t>
      </w:r>
    </w:p>
    <w:p w14:paraId="5941F170" w14:textId="4C3AFE03" w:rsidR="00A7124D" w:rsidRPr="00A7124D" w:rsidRDefault="00A7124D" w:rsidP="0081058B">
      <w:pPr>
        <w:pStyle w:val="Heading2"/>
      </w:pPr>
      <w:r w:rsidRPr="00A7124D">
        <w:t>2.4</w:t>
      </w:r>
      <w:r w:rsidRPr="00A7124D">
        <w:tab/>
        <w:t>Utilisation accrue de l</w:t>
      </w:r>
      <w:r w:rsidR="0016081D">
        <w:t>'</w:t>
      </w:r>
      <w:r w:rsidRPr="00A7124D">
        <w:t>automatisation et du recours aux outils d</w:t>
      </w:r>
      <w:r w:rsidR="0016081D">
        <w:t>'</w:t>
      </w:r>
      <w:r w:rsidRPr="00A7124D">
        <w:t>IA</w:t>
      </w:r>
    </w:p>
    <w:p w14:paraId="51D831B3" w14:textId="50D43543" w:rsidR="00A7124D" w:rsidRPr="00A7124D" w:rsidRDefault="00A7124D" w:rsidP="00295ED3">
      <w:pPr>
        <w:jc w:val="both"/>
      </w:pPr>
      <w:r w:rsidRPr="00A7124D">
        <w:t>Outre les mesures de réduction des charges décrites ci-dessus, le Secrétariat poursuit sa démarche vers plus d'efficacité en développant le recours à l'automatisation et aux outils numériques. L'UIT étudie notamment l</w:t>
      </w:r>
      <w:r w:rsidR="0016081D">
        <w:t>'</w:t>
      </w:r>
      <w:r w:rsidRPr="00A7124D">
        <w:t>utilisation de technologies de traduction et d'interprétation automatisées et assistées par l'intelligence artificielle en complément des services linguistiques existants.</w:t>
      </w:r>
    </w:p>
    <w:p w14:paraId="6DF77BF6" w14:textId="77777777" w:rsidR="00A7124D" w:rsidRPr="00A7124D" w:rsidRDefault="00A7124D" w:rsidP="00295ED3">
      <w:pPr>
        <w:jc w:val="both"/>
      </w:pPr>
      <w:r w:rsidRPr="00A7124D">
        <w:t>Sachant qu'il est essentiel de préserver la qualité et l'accessibilité des services linguistiques, ces outils ont pour but de soutenir, et non de remplacer, l'expertise humaine. Leur mise en place progressive devrait contribuer à améliorer l'efficacité opérationnelle, tout en soutenant les objectifs plus larges de l'Union en matière de transformation numérique.</w:t>
      </w:r>
    </w:p>
    <w:p w14:paraId="4A5B87B3" w14:textId="77777777" w:rsidR="00A7124D" w:rsidRPr="00A7124D" w:rsidRDefault="00A7124D" w:rsidP="0081058B">
      <w:pPr>
        <w:pStyle w:val="Heading1"/>
      </w:pPr>
      <w:r w:rsidRPr="00A7124D">
        <w:t>3</w:t>
      </w:r>
      <w:r w:rsidRPr="00A7124D">
        <w:tab/>
        <w:t>Budget de l'Union pour l'année 2026-2027</w:t>
      </w:r>
    </w:p>
    <w:p w14:paraId="3471B745" w14:textId="27810136" w:rsidR="00A7124D" w:rsidRPr="00A7124D" w:rsidRDefault="00A7124D" w:rsidP="00295ED3">
      <w:pPr>
        <w:jc w:val="both"/>
      </w:pPr>
      <w:r w:rsidRPr="00A7124D">
        <w:t>Sur la base des mesures décrites ci-dessus, le budget de l</w:t>
      </w:r>
      <w:r w:rsidR="0016081D">
        <w:t>'</w:t>
      </w:r>
      <w:r w:rsidRPr="00A7124D">
        <w:t>UIT pour l</w:t>
      </w:r>
      <w:r w:rsidR="0016081D">
        <w:t>'</w:t>
      </w:r>
      <w:r w:rsidRPr="00A7124D">
        <w:t>exercice biennal</w:t>
      </w:r>
      <w:r w:rsidR="008544F9">
        <w:t> </w:t>
      </w:r>
      <w:r w:rsidRPr="00A7124D">
        <w:t>2026</w:t>
      </w:r>
      <w:r w:rsidR="0016081D">
        <w:noBreakHyphen/>
      </w:r>
      <w:r w:rsidRPr="00A7124D">
        <w:t>2027 a été révisé pour tenir compte des réductions des charges liées aux frais de voyage et aux contrats SSA, ce qui représente environ la moitié de la réduction requise de</w:t>
      </w:r>
      <w:r w:rsidR="002D721A">
        <w:t> </w:t>
      </w:r>
      <w:r w:rsidRPr="00A7124D">
        <w:t>6</w:t>
      </w:r>
      <w:r w:rsidR="0016081D">
        <w:t> </w:t>
      </w:r>
      <w:r w:rsidRPr="00A7124D">
        <w:t>008</w:t>
      </w:r>
      <w:r w:rsidR="0016081D">
        <w:t> </w:t>
      </w:r>
      <w:r w:rsidRPr="00A7124D">
        <w:t>millions CHF.</w:t>
      </w:r>
    </w:p>
    <w:p w14:paraId="2062B16B" w14:textId="22CE478D" w:rsidR="006A11AE" w:rsidRDefault="00A7124D" w:rsidP="00295ED3">
      <w:pPr>
        <w:jc w:val="both"/>
      </w:pPr>
      <w:r w:rsidRPr="00A7124D">
        <w:t>L</w:t>
      </w:r>
      <w:r w:rsidR="0016081D">
        <w:t>'</w:t>
      </w:r>
      <w:r w:rsidRPr="00A7124D">
        <w:t>examen des autres mesures d'ajustement se poursuivra dans le cadre du processus de planification opérationnelle et du suivi continu de l'exécution du budget pendant la période</w:t>
      </w:r>
      <w:r w:rsidR="008544F9">
        <w:t> </w:t>
      </w:r>
      <w:r w:rsidRPr="00A7124D">
        <w:t>2026-2027. La réduction globale de 6 008 millions de CHF est donc progressivement absorbée moyennant l</w:t>
      </w:r>
      <w:r w:rsidR="0016081D">
        <w:t>'</w:t>
      </w:r>
      <w:r w:rsidRPr="00A7124D">
        <w:t>application des mesures d'ajustement correspondantes au sein des Bureaux et du Secrétariat général, sans pour autant compromettre l'exécution des missions fondamentales de l'UIT.</w:t>
      </w:r>
    </w:p>
    <w:p w14:paraId="0DEE3C36" w14:textId="77777777" w:rsidR="00295ED3" w:rsidRPr="001370B2" w:rsidRDefault="00295ED3" w:rsidP="00295ED3">
      <w:pPr>
        <w:jc w:val="both"/>
      </w:pPr>
    </w:p>
    <w:p w14:paraId="12FB1D3B" w14:textId="77777777" w:rsidR="00897553" w:rsidRDefault="006A11AE" w:rsidP="002D2336">
      <w:pPr>
        <w:jc w:val="center"/>
      </w:pPr>
      <w:r>
        <w:t>______________</w:t>
      </w:r>
    </w:p>
    <w:sectPr w:rsidR="00897553" w:rsidSect="00767C8A">
      <w:headerReference w:type="even" r:id="rId12"/>
      <w:footerReference w:type="even" r:id="rId13"/>
      <w:footerReference w:type="default" r:id="rId14"/>
      <w:headerReference w:type="first" r:id="rId15"/>
      <w:footerReference w:type="first" r:id="rId16"/>
      <w:pgSz w:w="11907" w:h="16840" w:code="9"/>
      <w:pgMar w:top="1304" w:right="1418" w:bottom="1191" w:left="1418" w:header="567" w:footer="51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D166" w14:textId="77777777" w:rsidR="00A7124D" w:rsidRDefault="00A7124D">
      <w:r>
        <w:separator/>
      </w:r>
    </w:p>
  </w:endnote>
  <w:endnote w:type="continuationSeparator" w:id="0">
    <w:p w14:paraId="3A119906" w14:textId="77777777" w:rsidR="00A7124D" w:rsidRDefault="00A7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285D" w14:textId="1307858C" w:rsidR="00732045" w:rsidRDefault="002D721A">
    <w:pPr>
      <w:pStyle w:val="Footer"/>
    </w:pPr>
    <w:fldSimple w:instr=" FILENAME \p \* MERGEFORMAT ">
      <w:r>
        <w:t>P:\FRA\gDoc\SG\C26\2600703F.docx</w:t>
      </w:r>
    </w:fldSimple>
    <w:r w:rsidR="00732045">
      <w:tab/>
    </w:r>
    <w:r w:rsidR="002F1B76">
      <w:fldChar w:fldCharType="begin"/>
    </w:r>
    <w:r w:rsidR="00732045">
      <w:instrText xml:space="preserve"> savedate \@ dd.MM.yy </w:instrText>
    </w:r>
    <w:r w:rsidR="002F1B76">
      <w:fldChar w:fldCharType="separate"/>
    </w:r>
    <w:r w:rsidR="00561A95">
      <w:t>09.04.26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E42D1FE" w14:textId="77777777" w:rsidTr="00E31DCE">
      <w:trPr>
        <w:jc w:val="center"/>
      </w:trPr>
      <w:tc>
        <w:tcPr>
          <w:tcW w:w="1803" w:type="dxa"/>
          <w:vAlign w:val="center"/>
        </w:tcPr>
        <w:p w14:paraId="270CB722" w14:textId="2D4D6883" w:rsidR="00A51849" w:rsidRDefault="0081058B" w:rsidP="00A51849">
          <w:pPr>
            <w:pStyle w:val="Header"/>
            <w:jc w:val="left"/>
            <w:rPr>
              <w:noProof/>
            </w:rPr>
          </w:pPr>
          <w:r>
            <w:rPr>
              <w:noProof/>
            </w:rPr>
            <w:t>2600703</w:t>
          </w:r>
        </w:p>
      </w:tc>
      <w:tc>
        <w:tcPr>
          <w:tcW w:w="8261" w:type="dxa"/>
        </w:tcPr>
        <w:p w14:paraId="2DDA6433" w14:textId="2C042EB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7E6E32">
            <w:rPr>
              <w:bCs/>
            </w:rPr>
            <w:t>9</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47ED27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A0AF060" w14:textId="77777777" w:rsidTr="00E31DCE">
      <w:trPr>
        <w:jc w:val="center"/>
      </w:trPr>
      <w:tc>
        <w:tcPr>
          <w:tcW w:w="1803" w:type="dxa"/>
          <w:vAlign w:val="center"/>
        </w:tcPr>
        <w:p w14:paraId="339A6F7F"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46B432BA" w14:textId="28FD730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A7124D">
            <w:rPr>
              <w:bCs/>
            </w:rPr>
            <w:t>9</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0B44E71"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2B14" w14:textId="77777777" w:rsidR="00A7124D" w:rsidRDefault="00A7124D">
      <w:r>
        <w:t>____________________</w:t>
      </w:r>
    </w:p>
  </w:footnote>
  <w:footnote w:type="continuationSeparator" w:id="0">
    <w:p w14:paraId="7DF4DAFB" w14:textId="77777777" w:rsidR="00A7124D" w:rsidRDefault="00A7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504A"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6AC06F0"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366C" w14:textId="77777777" w:rsidR="00A51849" w:rsidRPr="001342E0" w:rsidRDefault="001342E0" w:rsidP="001342E0">
    <w:pPr>
      <w:pStyle w:val="Header"/>
    </w:pPr>
    <w:r>
      <w:rPr>
        <w:noProof/>
      </w:rPr>
      <w:drawing>
        <wp:inline distT="0" distB="0" distL="0" distR="0" wp14:anchorId="2908C143" wp14:editId="4FEADE69">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082290088">
    <w:abstractNumId w:val="9"/>
  </w:num>
  <w:num w:numId="2" w16cid:durableId="759763185">
    <w:abstractNumId w:val="7"/>
  </w:num>
  <w:num w:numId="3" w16cid:durableId="1213931683">
    <w:abstractNumId w:val="6"/>
  </w:num>
  <w:num w:numId="4" w16cid:durableId="1416129290">
    <w:abstractNumId w:val="5"/>
  </w:num>
  <w:num w:numId="5" w16cid:durableId="1480881720">
    <w:abstractNumId w:val="4"/>
  </w:num>
  <w:num w:numId="6" w16cid:durableId="309335853">
    <w:abstractNumId w:val="8"/>
  </w:num>
  <w:num w:numId="7" w16cid:durableId="1916472696">
    <w:abstractNumId w:val="3"/>
  </w:num>
  <w:num w:numId="8" w16cid:durableId="1932739647">
    <w:abstractNumId w:val="2"/>
  </w:num>
  <w:num w:numId="9" w16cid:durableId="359013085">
    <w:abstractNumId w:val="1"/>
  </w:num>
  <w:num w:numId="10" w16cid:durableId="239216223">
    <w:abstractNumId w:val="0"/>
  </w:num>
  <w:num w:numId="11" w16cid:durableId="87703451">
    <w:abstractNumId w:val="8"/>
  </w:num>
  <w:num w:numId="12" w16cid:durableId="448355157">
    <w:abstractNumId w:val="3"/>
  </w:num>
  <w:num w:numId="13" w16cid:durableId="1401177155">
    <w:abstractNumId w:val="2"/>
  </w:num>
  <w:num w:numId="14" w16cid:durableId="1887569771">
    <w:abstractNumId w:val="1"/>
  </w:num>
  <w:num w:numId="15" w16cid:durableId="36734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4D"/>
    <w:rsid w:val="00076A2C"/>
    <w:rsid w:val="000D0D0A"/>
    <w:rsid w:val="00103163"/>
    <w:rsid w:val="00106B19"/>
    <w:rsid w:val="001133EF"/>
    <w:rsid w:val="00115D93"/>
    <w:rsid w:val="001247A8"/>
    <w:rsid w:val="001342E0"/>
    <w:rsid w:val="001370B2"/>
    <w:rsid w:val="001378C0"/>
    <w:rsid w:val="0016081D"/>
    <w:rsid w:val="001658F9"/>
    <w:rsid w:val="0018694A"/>
    <w:rsid w:val="0019129B"/>
    <w:rsid w:val="001A3287"/>
    <w:rsid w:val="001A6508"/>
    <w:rsid w:val="001D4C31"/>
    <w:rsid w:val="001E4D21"/>
    <w:rsid w:val="00207CD1"/>
    <w:rsid w:val="00226657"/>
    <w:rsid w:val="002477A2"/>
    <w:rsid w:val="00263A51"/>
    <w:rsid w:val="00267E02"/>
    <w:rsid w:val="00271321"/>
    <w:rsid w:val="00277DEA"/>
    <w:rsid w:val="00295ED3"/>
    <w:rsid w:val="002A5D44"/>
    <w:rsid w:val="002C3F32"/>
    <w:rsid w:val="002C4E3D"/>
    <w:rsid w:val="002D2336"/>
    <w:rsid w:val="002D721A"/>
    <w:rsid w:val="002E0BC4"/>
    <w:rsid w:val="002F1B76"/>
    <w:rsid w:val="0033568E"/>
    <w:rsid w:val="00354EED"/>
    <w:rsid w:val="00355FF5"/>
    <w:rsid w:val="00361350"/>
    <w:rsid w:val="003C3FAE"/>
    <w:rsid w:val="004038CB"/>
    <w:rsid w:val="0040546F"/>
    <w:rsid w:val="004177BD"/>
    <w:rsid w:val="0042404A"/>
    <w:rsid w:val="0044618F"/>
    <w:rsid w:val="00465C35"/>
    <w:rsid w:val="0046769A"/>
    <w:rsid w:val="00475FB3"/>
    <w:rsid w:val="004C37A9"/>
    <w:rsid w:val="004D1D50"/>
    <w:rsid w:val="004F259E"/>
    <w:rsid w:val="004F633A"/>
    <w:rsid w:val="00504C7F"/>
    <w:rsid w:val="00511F1D"/>
    <w:rsid w:val="00520F36"/>
    <w:rsid w:val="00524E8D"/>
    <w:rsid w:val="00534E13"/>
    <w:rsid w:val="00540615"/>
    <w:rsid w:val="00540A6D"/>
    <w:rsid w:val="00553536"/>
    <w:rsid w:val="00561A95"/>
    <w:rsid w:val="00566679"/>
    <w:rsid w:val="00571EEA"/>
    <w:rsid w:val="00575417"/>
    <w:rsid w:val="005768E1"/>
    <w:rsid w:val="00577A32"/>
    <w:rsid w:val="005B1938"/>
    <w:rsid w:val="005C3890"/>
    <w:rsid w:val="005F7BFE"/>
    <w:rsid w:val="00600017"/>
    <w:rsid w:val="00602682"/>
    <w:rsid w:val="006235CA"/>
    <w:rsid w:val="0062366E"/>
    <w:rsid w:val="006643AB"/>
    <w:rsid w:val="006A11AE"/>
    <w:rsid w:val="006B224B"/>
    <w:rsid w:val="006F0A53"/>
    <w:rsid w:val="006F2DEF"/>
    <w:rsid w:val="0071402E"/>
    <w:rsid w:val="007210CD"/>
    <w:rsid w:val="00732045"/>
    <w:rsid w:val="0073275D"/>
    <w:rsid w:val="007369DB"/>
    <w:rsid w:val="00767C8A"/>
    <w:rsid w:val="0077110E"/>
    <w:rsid w:val="007956C2"/>
    <w:rsid w:val="00796823"/>
    <w:rsid w:val="00796BDB"/>
    <w:rsid w:val="007A187E"/>
    <w:rsid w:val="007C72C2"/>
    <w:rsid w:val="007D4436"/>
    <w:rsid w:val="007E6E32"/>
    <w:rsid w:val="007F257A"/>
    <w:rsid w:val="007F3665"/>
    <w:rsid w:val="00800037"/>
    <w:rsid w:val="0081058B"/>
    <w:rsid w:val="0082299A"/>
    <w:rsid w:val="0083391C"/>
    <w:rsid w:val="0084546D"/>
    <w:rsid w:val="008544F9"/>
    <w:rsid w:val="00861D73"/>
    <w:rsid w:val="00882919"/>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6153C"/>
    <w:rsid w:val="00A709FE"/>
    <w:rsid w:val="00A7124D"/>
    <w:rsid w:val="00A73C60"/>
    <w:rsid w:val="00A82767"/>
    <w:rsid w:val="00AA332F"/>
    <w:rsid w:val="00AA7BBB"/>
    <w:rsid w:val="00AB64A8"/>
    <w:rsid w:val="00AC0266"/>
    <w:rsid w:val="00AC0F1D"/>
    <w:rsid w:val="00AD24EC"/>
    <w:rsid w:val="00B27B00"/>
    <w:rsid w:val="00B309F9"/>
    <w:rsid w:val="00B32B60"/>
    <w:rsid w:val="00B51005"/>
    <w:rsid w:val="00B61619"/>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D375CD"/>
    <w:rsid w:val="00D37B53"/>
    <w:rsid w:val="00D553A2"/>
    <w:rsid w:val="00D72F49"/>
    <w:rsid w:val="00D774D3"/>
    <w:rsid w:val="00D904E8"/>
    <w:rsid w:val="00DA08C3"/>
    <w:rsid w:val="00DB5A3E"/>
    <w:rsid w:val="00DC22AA"/>
    <w:rsid w:val="00DD1A99"/>
    <w:rsid w:val="00DE62C6"/>
    <w:rsid w:val="00DF74DD"/>
    <w:rsid w:val="00E25AD0"/>
    <w:rsid w:val="00E4428F"/>
    <w:rsid w:val="00E4448E"/>
    <w:rsid w:val="00E47427"/>
    <w:rsid w:val="00E80630"/>
    <w:rsid w:val="00E93668"/>
    <w:rsid w:val="00E95647"/>
    <w:rsid w:val="00EA60F6"/>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E982B8"/>
  <w15:docId w15:val="{D17B620F-80F1-4774-AB88-F9298B3C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A6153C"/>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9/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tu.int/md/S25-CL-C-0119/fr"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5-CL-C-0064/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u.int/md/S25-CL-C-0047/fr" TargetMode="External"/><Relationship Id="rId4" Type="http://schemas.openxmlformats.org/officeDocument/2006/relationships/webSettings" Target="webSettings.xml"/><Relationship Id="rId9" Type="http://schemas.openxmlformats.org/officeDocument/2006/relationships/hyperlink" Target="https://www.itu.int/en/council/Documents/basic-texts-2023/DEC-005-E.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10</TotalTime>
  <Pages>4</Pages>
  <Words>1765</Words>
  <Characters>9980</Characters>
  <Application>Microsoft Office Word</Application>
  <DocSecurity>0</DocSecurity>
  <Lines>158</Lines>
  <Paragraphs>30</Paragraphs>
  <ScaleCrop>false</ScaleCrop>
  <HeadingPairs>
    <vt:vector size="2" baseType="variant">
      <vt:variant>
        <vt:lpstr>Title</vt:lpstr>
      </vt:variant>
      <vt:variant>
        <vt:i4>1</vt:i4>
      </vt:variant>
    </vt:vector>
  </HeadingPairs>
  <TitlesOfParts>
    <vt:vector size="1" baseType="lpstr">
      <vt:lpstr>Examen annuel des produits et des charges dans le cadre de la mise en œuvre du budget 2026, y compris la réduction globale du budget pour la période 2026-2027</vt:lpstr>
    </vt:vector>
  </TitlesOfParts>
  <Manager>Secrétariat général - Pool</Manager>
  <Company>Union internationale des télécommunications (UIT)</Company>
  <LinksUpToDate>false</LinksUpToDate>
  <CharactersWithSpaces>11715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annuel des produits et des charges dans le cadre de la mise en œuvre du budget 2026, y compris la réduction globale du budget pour la période 2026-2027</dc:title>
  <dc:subject>Conseil 2026 de l'UIT</dc:subject>
  <cp:keywords>C26; C2026; Council 2026; PP26</cp:keywords>
  <dc:description/>
  <cp:lastPrinted>2000-07-18T08:55:00Z</cp:lastPrinted>
  <dcterms:created xsi:type="dcterms:W3CDTF">2026-04-09T09:29:00Z</dcterms:created>
  <dcterms:modified xsi:type="dcterms:W3CDTF">2026-04-09T09:38:00Z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