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589" w:tblpY="2314"/>
        <w:tblW w:w="9214" w:type="dxa"/>
        <w:tblLayout w:type="fixed"/>
        <w:tblLook w:val="0000" w:firstRow="0" w:lastRow="0" w:firstColumn="0" w:lastColumn="0" w:noHBand="0" w:noVBand="0"/>
      </w:tblPr>
      <w:tblGrid>
        <w:gridCol w:w="3969"/>
        <w:gridCol w:w="5245"/>
      </w:tblGrid>
      <w:tr w:rsidR="00AD3606" w:rsidRPr="00C0458D" w14:paraId="27019F64" w14:textId="77777777" w:rsidTr="593E9343">
        <w:trPr>
          <w:cantSplit/>
          <w:trHeight w:val="23"/>
        </w:trPr>
        <w:tc>
          <w:tcPr>
            <w:tcW w:w="3969" w:type="dxa"/>
            <w:vMerge w:val="restart"/>
            <w:tcMar>
              <w:left w:w="0" w:type="dxa"/>
            </w:tcMar>
          </w:tcPr>
          <w:p w14:paraId="61645E1B" w14:textId="6AF3B9F5" w:rsidR="00AD3606" w:rsidRPr="00C0458D" w:rsidRDefault="00AD3606" w:rsidP="00954C49">
            <w:pPr>
              <w:tabs>
                <w:tab w:val="left" w:pos="851"/>
              </w:tabs>
              <w:spacing w:before="0" w:line="240" w:lineRule="atLeast"/>
              <w:rPr>
                <w:b/>
              </w:rPr>
            </w:pPr>
            <w:bookmarkStart w:id="0" w:name="dmeeting" w:colFirst="0" w:colLast="0"/>
            <w:bookmarkStart w:id="1" w:name="dnum" w:colFirst="1" w:colLast="1"/>
            <w:bookmarkStart w:id="2" w:name="_Hlk133421839"/>
            <w:bookmarkStart w:id="3" w:name="_Hlk133421856"/>
            <w:bookmarkStart w:id="4" w:name="_Hlk133422370"/>
            <w:bookmarkStart w:id="5" w:name="_Hlk133586559"/>
            <w:r w:rsidRPr="00C0458D">
              <w:rPr>
                <w:b/>
              </w:rPr>
              <w:t xml:space="preserve">Agenda item: </w:t>
            </w:r>
            <w:r w:rsidR="00953801">
              <w:rPr>
                <w:b/>
              </w:rPr>
              <w:t>ADM 1</w:t>
            </w:r>
          </w:p>
        </w:tc>
        <w:tc>
          <w:tcPr>
            <w:tcW w:w="5245" w:type="dxa"/>
          </w:tcPr>
          <w:p w14:paraId="627B15D6" w14:textId="5BD2E563" w:rsidR="00AD3606" w:rsidRPr="00C0458D" w:rsidRDefault="00AD3606" w:rsidP="00954C49">
            <w:pPr>
              <w:tabs>
                <w:tab w:val="left" w:pos="851"/>
              </w:tabs>
              <w:spacing w:before="0" w:line="240" w:lineRule="atLeast"/>
              <w:jc w:val="right"/>
              <w:rPr>
                <w:b/>
              </w:rPr>
            </w:pPr>
            <w:r w:rsidRPr="00C0458D">
              <w:rPr>
                <w:b/>
              </w:rPr>
              <w:t>Document C2</w:t>
            </w:r>
            <w:r w:rsidR="00DE532B">
              <w:rPr>
                <w:b/>
              </w:rPr>
              <w:t>6</w:t>
            </w:r>
            <w:r w:rsidRPr="00C0458D">
              <w:rPr>
                <w:b/>
              </w:rPr>
              <w:t>/</w:t>
            </w:r>
            <w:r w:rsidR="00D91D68">
              <w:rPr>
                <w:b/>
              </w:rPr>
              <w:t>9</w:t>
            </w:r>
            <w:r w:rsidRPr="00C0458D">
              <w:rPr>
                <w:b/>
              </w:rPr>
              <w:t>-E</w:t>
            </w:r>
          </w:p>
        </w:tc>
      </w:tr>
      <w:tr w:rsidR="00AD3606" w:rsidRPr="00C0458D" w14:paraId="65AB0567" w14:textId="77777777" w:rsidTr="593E9343">
        <w:trPr>
          <w:cantSplit/>
        </w:trPr>
        <w:tc>
          <w:tcPr>
            <w:tcW w:w="3969" w:type="dxa"/>
            <w:vMerge/>
          </w:tcPr>
          <w:p w14:paraId="044C8158" w14:textId="77777777" w:rsidR="00AD3606" w:rsidRPr="00C0458D" w:rsidRDefault="00AD3606" w:rsidP="00954C49">
            <w:pPr>
              <w:tabs>
                <w:tab w:val="left" w:pos="851"/>
              </w:tabs>
              <w:spacing w:line="240" w:lineRule="atLeast"/>
              <w:rPr>
                <w:b/>
              </w:rPr>
            </w:pPr>
            <w:bookmarkStart w:id="6" w:name="ddate" w:colFirst="1" w:colLast="1"/>
            <w:bookmarkEnd w:id="0"/>
            <w:bookmarkEnd w:id="1"/>
          </w:p>
        </w:tc>
        <w:tc>
          <w:tcPr>
            <w:tcW w:w="5245" w:type="dxa"/>
          </w:tcPr>
          <w:p w14:paraId="060AC16C" w14:textId="081CA8AC" w:rsidR="00AD3606" w:rsidRPr="00C0458D" w:rsidRDefault="00953801" w:rsidP="00954C49">
            <w:pPr>
              <w:tabs>
                <w:tab w:val="left" w:pos="851"/>
              </w:tabs>
              <w:spacing w:before="0"/>
              <w:jc w:val="right"/>
              <w:rPr>
                <w:b/>
              </w:rPr>
            </w:pPr>
            <w:r>
              <w:rPr>
                <w:b/>
              </w:rPr>
              <w:t>2</w:t>
            </w:r>
            <w:r w:rsidR="00D52FE1">
              <w:rPr>
                <w:b/>
              </w:rPr>
              <w:t>7</w:t>
            </w:r>
            <w:r>
              <w:rPr>
                <w:b/>
              </w:rPr>
              <w:t xml:space="preserve"> March 2026</w:t>
            </w:r>
          </w:p>
        </w:tc>
      </w:tr>
      <w:tr w:rsidR="00AD3606" w:rsidRPr="00C0458D" w14:paraId="2FF439A4" w14:textId="77777777" w:rsidTr="593E9343">
        <w:trPr>
          <w:cantSplit/>
          <w:trHeight w:val="23"/>
        </w:trPr>
        <w:tc>
          <w:tcPr>
            <w:tcW w:w="3969" w:type="dxa"/>
            <w:vMerge/>
          </w:tcPr>
          <w:p w14:paraId="6CFB30F5" w14:textId="77777777" w:rsidR="00AD3606" w:rsidRPr="00C0458D" w:rsidRDefault="00AD3606" w:rsidP="00954C49">
            <w:pPr>
              <w:tabs>
                <w:tab w:val="left" w:pos="851"/>
              </w:tabs>
              <w:spacing w:line="240" w:lineRule="atLeast"/>
              <w:rPr>
                <w:b/>
              </w:rPr>
            </w:pPr>
            <w:bookmarkStart w:id="7" w:name="dorlang" w:colFirst="1" w:colLast="1"/>
            <w:bookmarkEnd w:id="6"/>
          </w:p>
        </w:tc>
        <w:tc>
          <w:tcPr>
            <w:tcW w:w="5245" w:type="dxa"/>
          </w:tcPr>
          <w:p w14:paraId="7B922076" w14:textId="77777777" w:rsidR="00AD3606" w:rsidRPr="00C0458D" w:rsidRDefault="00AD3606" w:rsidP="00954C49">
            <w:pPr>
              <w:tabs>
                <w:tab w:val="left" w:pos="851"/>
              </w:tabs>
              <w:spacing w:before="0" w:line="240" w:lineRule="atLeast"/>
              <w:jc w:val="right"/>
              <w:rPr>
                <w:b/>
              </w:rPr>
            </w:pPr>
            <w:r w:rsidRPr="00C0458D">
              <w:rPr>
                <w:b/>
              </w:rPr>
              <w:t>Original: English</w:t>
            </w:r>
          </w:p>
        </w:tc>
      </w:tr>
      <w:tr w:rsidR="00AD3606" w:rsidRPr="00C0458D" w14:paraId="21388443" w14:textId="77777777" w:rsidTr="593E9343">
        <w:trPr>
          <w:cantSplit/>
        </w:trPr>
        <w:tc>
          <w:tcPr>
            <w:tcW w:w="9214" w:type="dxa"/>
            <w:gridSpan w:val="2"/>
            <w:tcMar>
              <w:left w:w="0" w:type="dxa"/>
            </w:tcMar>
          </w:tcPr>
          <w:p w14:paraId="4974CF10" w14:textId="77777777" w:rsidR="00AD3606" w:rsidRPr="00C0458D" w:rsidRDefault="00AD3606" w:rsidP="00D91D68">
            <w:pPr>
              <w:pStyle w:val="Source"/>
              <w:framePr w:hSpace="0" w:wrap="auto" w:vAnchor="margin" w:hAnchor="text" w:xAlign="left" w:yAlign="inline"/>
            </w:pPr>
            <w:bookmarkStart w:id="8" w:name="dsource" w:colFirst="0" w:colLast="0"/>
            <w:bookmarkEnd w:id="7"/>
            <w:r w:rsidRPr="00C0458D">
              <w:t>Report by the Secretary-General</w:t>
            </w:r>
          </w:p>
        </w:tc>
      </w:tr>
      <w:tr w:rsidR="00AD3606" w:rsidRPr="00C0458D" w14:paraId="2008114E" w14:textId="77777777" w:rsidTr="593E9343">
        <w:trPr>
          <w:cantSplit/>
        </w:trPr>
        <w:tc>
          <w:tcPr>
            <w:tcW w:w="9214" w:type="dxa"/>
            <w:gridSpan w:val="2"/>
            <w:tcMar>
              <w:left w:w="0" w:type="dxa"/>
            </w:tcMar>
          </w:tcPr>
          <w:p w14:paraId="1036C3F4" w14:textId="00124C64" w:rsidR="00AD3606" w:rsidRPr="00176F47" w:rsidRDefault="00D91D68" w:rsidP="00D91D68">
            <w:pPr>
              <w:pStyle w:val="Subtitle"/>
              <w:framePr w:hSpace="0" w:wrap="auto" w:xAlign="left" w:yAlign="inline"/>
            </w:pPr>
            <w:bookmarkStart w:id="9" w:name="dtitle1"/>
            <w:bookmarkEnd w:id="8"/>
            <w:r>
              <w:t>ANNUAL REVIEW OF REVENUE AND EXPENSES OF THE IMPLEMENTATION OF THE BUDGET 2026, INCLUDING THE GLOBAL REDUCTION OF THE BUDGET 2026-2027</w:t>
            </w:r>
          </w:p>
        </w:tc>
      </w:tr>
      <w:tr w:rsidR="00AD3606" w:rsidRPr="00C0458D" w14:paraId="58526C68" w14:textId="77777777" w:rsidTr="593E9343">
        <w:trPr>
          <w:cantSplit/>
        </w:trPr>
        <w:tc>
          <w:tcPr>
            <w:tcW w:w="9214" w:type="dxa"/>
            <w:gridSpan w:val="2"/>
            <w:tcBorders>
              <w:top w:val="single" w:sz="4" w:space="0" w:color="auto"/>
              <w:bottom w:val="single" w:sz="4" w:space="0" w:color="auto"/>
            </w:tcBorders>
            <w:tcMar>
              <w:left w:w="0" w:type="dxa"/>
            </w:tcMar>
          </w:tcPr>
          <w:p w14:paraId="708C9082" w14:textId="77777777" w:rsidR="00AD3606" w:rsidRPr="004033C0" w:rsidRDefault="00F16BAB" w:rsidP="00954C49">
            <w:pPr>
              <w:spacing w:before="160"/>
              <w:rPr>
                <w:b/>
                <w:bCs/>
                <w:sz w:val="22"/>
                <w:szCs w:val="22"/>
              </w:rPr>
            </w:pPr>
            <w:r w:rsidRPr="004033C0">
              <w:rPr>
                <w:b/>
                <w:bCs/>
                <w:sz w:val="22"/>
                <w:szCs w:val="22"/>
              </w:rPr>
              <w:t>Purpose</w:t>
            </w:r>
          </w:p>
          <w:p w14:paraId="537C1637" w14:textId="1E58C2EE" w:rsidR="5D4EABB3" w:rsidRPr="004033C0" w:rsidRDefault="5D4EABB3" w:rsidP="00BD26E6">
            <w:pPr>
              <w:spacing w:after="120"/>
              <w:jc w:val="both"/>
              <w:rPr>
                <w:sz w:val="22"/>
                <w:szCs w:val="22"/>
              </w:rPr>
            </w:pPr>
            <w:r w:rsidRPr="004033C0">
              <w:rPr>
                <w:rFonts w:eastAsia="Calibri" w:cs="Calibri"/>
                <w:sz w:val="22"/>
                <w:szCs w:val="22"/>
              </w:rPr>
              <w:t xml:space="preserve">At its 2025 session, the Council considered and approved the Biennial Budget of the Union for the period 2026–2027 </w:t>
            </w:r>
            <w:r w:rsidR="00E3639B" w:rsidRPr="004033C0">
              <w:rPr>
                <w:rFonts w:eastAsia="Calibri" w:cs="Calibri"/>
                <w:sz w:val="22"/>
                <w:szCs w:val="22"/>
              </w:rPr>
              <w:t xml:space="preserve">under Council </w:t>
            </w:r>
            <w:hyperlink r:id="rId11">
              <w:r w:rsidR="00882143" w:rsidRPr="7BAFA709">
                <w:rPr>
                  <w:rStyle w:val="Hyperlink"/>
                  <w:rFonts w:eastAsia="Calibri" w:cs="Calibri"/>
                  <w:sz w:val="22"/>
                  <w:szCs w:val="22"/>
                </w:rPr>
                <w:t>R</w:t>
              </w:r>
              <w:r w:rsidR="00E3639B" w:rsidRPr="7BAFA709">
                <w:rPr>
                  <w:rStyle w:val="Hyperlink"/>
                  <w:rFonts w:eastAsia="Calibri" w:cs="Calibri"/>
                  <w:sz w:val="22"/>
                  <w:szCs w:val="22"/>
                </w:rPr>
                <w:t>esolution 1435</w:t>
              </w:r>
            </w:hyperlink>
            <w:r w:rsidRPr="7BAFA709">
              <w:rPr>
                <w:rFonts w:eastAsia="Calibri" w:cs="Calibri"/>
                <w:sz w:val="22"/>
                <w:szCs w:val="22"/>
              </w:rPr>
              <w:t>.</w:t>
            </w:r>
            <w:r w:rsidRPr="004033C0">
              <w:rPr>
                <w:rFonts w:eastAsia="Calibri" w:cs="Calibri"/>
                <w:sz w:val="22"/>
                <w:szCs w:val="22"/>
              </w:rPr>
              <w:t xml:space="preserve"> The approved budget incorporated a </w:t>
            </w:r>
            <w:r w:rsidR="00F50F76" w:rsidRPr="004033C0">
              <w:rPr>
                <w:rFonts w:eastAsia="Calibri" w:cs="Calibri"/>
                <w:sz w:val="22"/>
                <w:szCs w:val="22"/>
              </w:rPr>
              <w:t>global reduction</w:t>
            </w:r>
            <w:r w:rsidRPr="004033C0">
              <w:rPr>
                <w:rFonts w:eastAsia="Calibri" w:cs="Calibri"/>
                <w:sz w:val="22"/>
                <w:szCs w:val="22"/>
              </w:rPr>
              <w:t xml:space="preserve"> of CHF</w:t>
            </w:r>
            <w:r w:rsidR="00F50F76" w:rsidRPr="004033C0">
              <w:rPr>
                <w:rFonts w:eastAsia="Calibri" w:cs="Calibri"/>
                <w:sz w:val="22"/>
                <w:szCs w:val="22"/>
              </w:rPr>
              <w:t> </w:t>
            </w:r>
            <w:r w:rsidRPr="004033C0">
              <w:rPr>
                <w:rFonts w:eastAsia="Calibri" w:cs="Calibri"/>
                <w:sz w:val="22"/>
                <w:szCs w:val="22"/>
              </w:rPr>
              <w:t>6.008</w:t>
            </w:r>
            <w:r w:rsidR="00F50F76" w:rsidRPr="004033C0">
              <w:rPr>
                <w:rFonts w:eastAsia="Calibri" w:cs="Calibri"/>
                <w:sz w:val="22"/>
                <w:szCs w:val="22"/>
              </w:rPr>
              <w:t> million</w:t>
            </w:r>
            <w:r w:rsidRPr="004033C0">
              <w:rPr>
                <w:rFonts w:eastAsia="Calibri" w:cs="Calibri"/>
                <w:sz w:val="22"/>
                <w:szCs w:val="22"/>
              </w:rPr>
              <w:t xml:space="preserve"> between the level of approved </w:t>
            </w:r>
            <w:r w:rsidR="008C3EFB">
              <w:rPr>
                <w:rFonts w:eastAsia="Calibri" w:cs="Calibri"/>
                <w:sz w:val="22"/>
                <w:szCs w:val="22"/>
              </w:rPr>
              <w:t>expense</w:t>
            </w:r>
            <w:r w:rsidR="000D65EA">
              <w:rPr>
                <w:rFonts w:eastAsia="Calibri" w:cs="Calibri"/>
                <w:sz w:val="22"/>
                <w:szCs w:val="22"/>
              </w:rPr>
              <w:t>s</w:t>
            </w:r>
            <w:r w:rsidRPr="004033C0">
              <w:rPr>
                <w:rFonts w:eastAsia="Calibri" w:cs="Calibri"/>
                <w:sz w:val="22"/>
                <w:szCs w:val="22"/>
              </w:rPr>
              <w:t xml:space="preserve"> and projected </w:t>
            </w:r>
            <w:r w:rsidR="00CF65C0" w:rsidRPr="004033C0">
              <w:rPr>
                <w:rFonts w:eastAsia="Calibri" w:cs="Calibri"/>
                <w:sz w:val="22"/>
                <w:szCs w:val="22"/>
              </w:rPr>
              <w:t>revenues</w:t>
            </w:r>
            <w:r w:rsidRPr="004033C0">
              <w:rPr>
                <w:rFonts w:eastAsia="Calibri" w:cs="Calibri"/>
                <w:sz w:val="22"/>
                <w:szCs w:val="22"/>
              </w:rPr>
              <w:t xml:space="preserve">. </w:t>
            </w:r>
            <w:r w:rsidR="0055311C" w:rsidRPr="004033C0">
              <w:rPr>
                <w:rFonts w:eastAsia="Calibri" w:cs="Calibri"/>
                <w:sz w:val="22"/>
                <w:szCs w:val="22"/>
              </w:rPr>
              <w:t>To</w:t>
            </w:r>
            <w:r w:rsidRPr="004033C0">
              <w:rPr>
                <w:rFonts w:eastAsia="Calibri" w:cs="Calibri"/>
                <w:sz w:val="22"/>
                <w:szCs w:val="22"/>
              </w:rPr>
              <w:t xml:space="preserve"> present a balanced budget, this shortfall was reflected through the inclusion of a corresponding global reduction within the overall </w:t>
            </w:r>
            <w:r w:rsidR="008C3EFB">
              <w:rPr>
                <w:rFonts w:eastAsia="Calibri" w:cs="Calibri"/>
                <w:sz w:val="22"/>
                <w:szCs w:val="22"/>
              </w:rPr>
              <w:t>expense</w:t>
            </w:r>
            <w:r w:rsidRPr="004033C0">
              <w:rPr>
                <w:rFonts w:eastAsia="Calibri" w:cs="Calibri"/>
                <w:sz w:val="22"/>
                <w:szCs w:val="22"/>
              </w:rPr>
              <w:t xml:space="preserve"> envelope.</w:t>
            </w:r>
            <w:r w:rsidR="004033C0">
              <w:rPr>
                <w:rFonts w:eastAsia="Calibri" w:cs="Calibri"/>
                <w:sz w:val="22"/>
                <w:szCs w:val="22"/>
              </w:rPr>
              <w:t xml:space="preserve"> </w:t>
            </w:r>
            <w:r w:rsidRPr="004033C0">
              <w:rPr>
                <w:rFonts w:eastAsia="Calibri" w:cs="Calibri"/>
                <w:sz w:val="22"/>
                <w:szCs w:val="22"/>
              </w:rPr>
              <w:t xml:space="preserve">Following the discussion held at the CWG-FHR session in January 2026, the </w:t>
            </w:r>
            <w:r w:rsidR="002343D2">
              <w:rPr>
                <w:rFonts w:eastAsia="Calibri" w:cs="Calibri"/>
                <w:sz w:val="22"/>
                <w:szCs w:val="22"/>
              </w:rPr>
              <w:t>s</w:t>
            </w:r>
            <w:r w:rsidRPr="004033C0">
              <w:rPr>
                <w:rFonts w:eastAsia="Calibri" w:cs="Calibri"/>
                <w:sz w:val="22"/>
                <w:szCs w:val="22"/>
              </w:rPr>
              <w:t xml:space="preserve">ecretariat has initiated the implementation of the measures </w:t>
            </w:r>
            <w:r w:rsidR="5EB12115" w:rsidRPr="7BAFA709">
              <w:rPr>
                <w:rFonts w:eastAsia="Calibri" w:cs="Calibri"/>
                <w:sz w:val="22"/>
                <w:szCs w:val="22"/>
              </w:rPr>
              <w:t>in this document</w:t>
            </w:r>
            <w:r w:rsidRPr="7BAFA709">
              <w:rPr>
                <w:rFonts w:eastAsia="Calibri" w:cs="Calibri"/>
                <w:sz w:val="22"/>
                <w:szCs w:val="22"/>
              </w:rPr>
              <w:t>.</w:t>
            </w:r>
          </w:p>
          <w:p w14:paraId="2A66CF12" w14:textId="7BFD445E" w:rsidR="5D4EABB3" w:rsidRPr="004033C0" w:rsidRDefault="003070D5" w:rsidP="00BD26E6">
            <w:pPr>
              <w:spacing w:after="120"/>
              <w:jc w:val="both"/>
              <w:rPr>
                <w:sz w:val="22"/>
                <w:szCs w:val="22"/>
              </w:rPr>
            </w:pPr>
            <w:r>
              <w:rPr>
                <w:rFonts w:eastAsia="Calibri" w:cs="Calibri"/>
                <w:sz w:val="22"/>
                <w:szCs w:val="22"/>
              </w:rPr>
              <w:t>T</w:t>
            </w:r>
            <w:r w:rsidR="5D4EABB3" w:rsidRPr="004033C0">
              <w:rPr>
                <w:rFonts w:eastAsia="Calibri" w:cs="Calibri"/>
                <w:sz w:val="22"/>
                <w:szCs w:val="22"/>
              </w:rPr>
              <w:t xml:space="preserve">he Coordination Committee (CoCo) has reinforced its oversight role through the introduction of more stringent budget monitoring and control measures, aimed at ensuring that </w:t>
            </w:r>
            <w:r w:rsidR="008C3EFB">
              <w:rPr>
                <w:rFonts w:eastAsia="Calibri" w:cs="Calibri"/>
                <w:sz w:val="22"/>
                <w:szCs w:val="22"/>
              </w:rPr>
              <w:t>expense</w:t>
            </w:r>
            <w:r w:rsidR="5D4EABB3" w:rsidRPr="004033C0">
              <w:rPr>
                <w:rFonts w:eastAsia="Calibri" w:cs="Calibri"/>
                <w:sz w:val="22"/>
                <w:szCs w:val="22"/>
              </w:rPr>
              <w:t xml:space="preserve"> is closely aligned with the approved </w:t>
            </w:r>
            <w:r w:rsidR="00D530ED" w:rsidRPr="004033C0">
              <w:rPr>
                <w:rFonts w:eastAsia="Calibri" w:cs="Calibri"/>
                <w:sz w:val="22"/>
                <w:szCs w:val="22"/>
              </w:rPr>
              <w:t>budget</w:t>
            </w:r>
            <w:r w:rsidR="5D4EABB3" w:rsidRPr="004033C0">
              <w:rPr>
                <w:rFonts w:eastAsia="Calibri" w:cs="Calibri"/>
                <w:sz w:val="22"/>
                <w:szCs w:val="22"/>
              </w:rPr>
              <w:t xml:space="preserve"> and the required global reduction. This includes enhanced scrutiny of spending plans, strengthened monitoring of budget execution, and more frequent review of </w:t>
            </w:r>
            <w:r w:rsidR="008C3EFB">
              <w:rPr>
                <w:rFonts w:eastAsia="Calibri" w:cs="Calibri"/>
                <w:sz w:val="22"/>
                <w:szCs w:val="22"/>
              </w:rPr>
              <w:t>expense</w:t>
            </w:r>
            <w:r w:rsidR="5D4EABB3" w:rsidRPr="004033C0">
              <w:rPr>
                <w:rFonts w:eastAsia="Calibri" w:cs="Calibri"/>
                <w:sz w:val="22"/>
                <w:szCs w:val="22"/>
              </w:rPr>
              <w:t xml:space="preserve"> trends to ensure timely corrective actions where necessary.</w:t>
            </w:r>
          </w:p>
          <w:p w14:paraId="462B7129" w14:textId="7BBBDB02" w:rsidR="5D4EABB3" w:rsidRPr="004033C0" w:rsidRDefault="5D4EABB3" w:rsidP="00BD26E6">
            <w:pPr>
              <w:spacing w:after="120"/>
              <w:jc w:val="both"/>
              <w:rPr>
                <w:sz w:val="22"/>
                <w:szCs w:val="22"/>
              </w:rPr>
            </w:pPr>
            <w:r w:rsidRPr="004033C0">
              <w:rPr>
                <w:rFonts w:eastAsia="Calibri" w:cs="Calibri"/>
                <w:sz w:val="22"/>
                <w:szCs w:val="22"/>
              </w:rPr>
              <w:t>Progress achieved to date, together with the measures being implemented, are presented in the following sections.</w:t>
            </w:r>
          </w:p>
          <w:p w14:paraId="5D3228C6" w14:textId="77777777" w:rsidR="00AD3606" w:rsidRPr="004033C0" w:rsidRDefault="00AD3606" w:rsidP="00954C49">
            <w:pPr>
              <w:spacing w:before="160"/>
              <w:rPr>
                <w:b/>
                <w:bCs/>
                <w:sz w:val="22"/>
                <w:szCs w:val="22"/>
              </w:rPr>
            </w:pPr>
            <w:r w:rsidRPr="004033C0">
              <w:rPr>
                <w:b/>
                <w:bCs/>
                <w:sz w:val="22"/>
                <w:szCs w:val="22"/>
              </w:rPr>
              <w:t>Action required</w:t>
            </w:r>
            <w:r w:rsidR="00F16BAB" w:rsidRPr="004033C0">
              <w:rPr>
                <w:b/>
                <w:bCs/>
                <w:sz w:val="22"/>
                <w:szCs w:val="22"/>
              </w:rPr>
              <w:t xml:space="preserve"> by the Council</w:t>
            </w:r>
          </w:p>
          <w:p w14:paraId="68530E97" w14:textId="5CFAA9CD" w:rsidR="00722551" w:rsidRPr="004033C0" w:rsidRDefault="00834F0F" w:rsidP="00954C49">
            <w:pPr>
              <w:rPr>
                <w:sz w:val="22"/>
                <w:szCs w:val="22"/>
              </w:rPr>
            </w:pPr>
            <w:r w:rsidRPr="004033C0">
              <w:rPr>
                <w:sz w:val="22"/>
                <w:szCs w:val="22"/>
              </w:rPr>
              <w:t xml:space="preserve">The Council is invited to </w:t>
            </w:r>
            <w:r w:rsidR="008E6467" w:rsidRPr="004033C0">
              <w:rPr>
                <w:b/>
                <w:bCs/>
                <w:sz w:val="22"/>
                <w:szCs w:val="22"/>
              </w:rPr>
              <w:t>note</w:t>
            </w:r>
            <w:r w:rsidR="0022174C" w:rsidRPr="004033C0">
              <w:rPr>
                <w:sz w:val="22"/>
                <w:szCs w:val="22"/>
              </w:rPr>
              <w:t xml:space="preserve"> this document</w:t>
            </w:r>
          </w:p>
          <w:p w14:paraId="5563AED1" w14:textId="77777777" w:rsidR="00722551" w:rsidRPr="004033C0" w:rsidRDefault="00722551" w:rsidP="00954C49">
            <w:pPr>
              <w:spacing w:before="160"/>
              <w:rPr>
                <w:b/>
                <w:bCs/>
                <w:sz w:val="22"/>
                <w:szCs w:val="22"/>
              </w:rPr>
            </w:pPr>
            <w:r w:rsidRPr="004033C0">
              <w:rPr>
                <w:b/>
                <w:bCs/>
                <w:sz w:val="22"/>
                <w:szCs w:val="22"/>
              </w:rPr>
              <w:t>Relevant link</w:t>
            </w:r>
            <w:r w:rsidR="00176F47" w:rsidRPr="004033C0">
              <w:rPr>
                <w:b/>
                <w:bCs/>
                <w:sz w:val="22"/>
                <w:szCs w:val="22"/>
              </w:rPr>
              <w:t>(s)</w:t>
            </w:r>
            <w:r w:rsidRPr="004033C0">
              <w:rPr>
                <w:b/>
                <w:bCs/>
                <w:sz w:val="22"/>
                <w:szCs w:val="22"/>
              </w:rPr>
              <w:t xml:space="preserve"> with the Strategic Plan</w:t>
            </w:r>
          </w:p>
          <w:p w14:paraId="71D26BE2" w14:textId="6AB16B38" w:rsidR="00C5229B" w:rsidRPr="004033C0" w:rsidRDefault="00C5229B" w:rsidP="00BD26E6">
            <w:pPr>
              <w:jc w:val="both"/>
              <w:rPr>
                <w:sz w:val="22"/>
                <w:szCs w:val="22"/>
              </w:rPr>
            </w:pPr>
            <w:r w:rsidRPr="004033C0">
              <w:rPr>
                <w:sz w:val="22"/>
                <w:szCs w:val="22"/>
              </w:rPr>
              <w:t>The 202</w:t>
            </w:r>
            <w:r w:rsidR="00D07D21" w:rsidRPr="004033C0">
              <w:rPr>
                <w:sz w:val="22"/>
                <w:szCs w:val="22"/>
              </w:rPr>
              <w:t>6</w:t>
            </w:r>
            <w:r w:rsidRPr="004033C0">
              <w:rPr>
                <w:sz w:val="22"/>
                <w:szCs w:val="22"/>
              </w:rPr>
              <w:t xml:space="preserve"> budget of the Union provides funding for the two goals and the five thematic priorities of the ITU.</w:t>
            </w:r>
          </w:p>
          <w:p w14:paraId="7C34DAAD" w14:textId="77777777" w:rsidR="00722551" w:rsidRPr="004033C0" w:rsidRDefault="00722551" w:rsidP="00954C49">
            <w:pPr>
              <w:spacing w:before="160"/>
              <w:rPr>
                <w:b/>
                <w:bCs/>
                <w:sz w:val="22"/>
                <w:szCs w:val="22"/>
              </w:rPr>
            </w:pPr>
            <w:r w:rsidRPr="004033C0">
              <w:rPr>
                <w:b/>
                <w:bCs/>
                <w:sz w:val="22"/>
                <w:szCs w:val="22"/>
              </w:rPr>
              <w:t>Financial implications</w:t>
            </w:r>
          </w:p>
          <w:p w14:paraId="37127870" w14:textId="119A3CFD" w:rsidR="00E866B7" w:rsidRPr="004033C0" w:rsidRDefault="00E866B7" w:rsidP="00BD26E6">
            <w:pPr>
              <w:jc w:val="both"/>
              <w:rPr>
                <w:sz w:val="22"/>
                <w:szCs w:val="22"/>
              </w:rPr>
            </w:pPr>
            <w:r w:rsidRPr="004033C0">
              <w:rPr>
                <w:sz w:val="22"/>
                <w:szCs w:val="22"/>
              </w:rPr>
              <w:t>The ITU management will take all necessary measures to ensure a sound and optimal implementation of the 202</w:t>
            </w:r>
            <w:r w:rsidR="000F6FD6" w:rsidRPr="004033C0">
              <w:rPr>
                <w:sz w:val="22"/>
                <w:szCs w:val="22"/>
              </w:rPr>
              <w:t>6</w:t>
            </w:r>
            <w:r w:rsidRPr="004033C0">
              <w:rPr>
                <w:sz w:val="22"/>
                <w:szCs w:val="22"/>
              </w:rPr>
              <w:t xml:space="preserve"> budget.</w:t>
            </w:r>
          </w:p>
          <w:p w14:paraId="6DAA204C" w14:textId="77777777" w:rsidR="00C0458D" w:rsidRPr="004033C0" w:rsidRDefault="00C0458D" w:rsidP="00D7669B">
            <w:pPr>
              <w:spacing w:before="0"/>
              <w:rPr>
                <w:sz w:val="22"/>
                <w:szCs w:val="22"/>
              </w:rPr>
            </w:pPr>
            <w:r w:rsidRPr="004033C0">
              <w:rPr>
                <w:sz w:val="22"/>
                <w:szCs w:val="22"/>
              </w:rPr>
              <w:t>_______________</w:t>
            </w:r>
          </w:p>
          <w:p w14:paraId="32A5FBF2" w14:textId="77777777" w:rsidR="00AD3606" w:rsidRPr="004033C0" w:rsidRDefault="00AD3606" w:rsidP="00954C49">
            <w:pPr>
              <w:spacing w:before="160"/>
              <w:rPr>
                <w:b/>
                <w:bCs/>
                <w:sz w:val="22"/>
                <w:szCs w:val="22"/>
              </w:rPr>
            </w:pPr>
            <w:r w:rsidRPr="004033C0">
              <w:rPr>
                <w:b/>
                <w:bCs/>
                <w:sz w:val="22"/>
                <w:szCs w:val="22"/>
              </w:rPr>
              <w:t>References</w:t>
            </w:r>
          </w:p>
          <w:p w14:paraId="24BF41F7" w14:textId="038448F3" w:rsidR="00AD3606" w:rsidRPr="00D91D68" w:rsidRDefault="00A65DB0" w:rsidP="00D7669B">
            <w:pPr>
              <w:spacing w:after="160"/>
              <w:rPr>
                <w:i/>
                <w:iCs/>
                <w:sz w:val="22"/>
                <w:szCs w:val="22"/>
              </w:rPr>
            </w:pPr>
            <w:r w:rsidRPr="00D91D68">
              <w:rPr>
                <w:i/>
                <w:iCs/>
                <w:sz w:val="22"/>
                <w:szCs w:val="22"/>
              </w:rPr>
              <w:t>Council Resolution</w:t>
            </w:r>
            <w:r w:rsidRPr="00D91D68">
              <w:rPr>
                <w:sz w:val="22"/>
                <w:szCs w:val="22"/>
              </w:rPr>
              <w:t xml:space="preserve"> </w:t>
            </w:r>
            <w:hyperlink r:id="rId12" w:history="1">
              <w:r w:rsidRPr="00D91D68">
                <w:rPr>
                  <w:rStyle w:val="Hyperlink"/>
                  <w:i/>
                  <w:iCs/>
                  <w:sz w:val="22"/>
                  <w:szCs w:val="22"/>
                </w:rPr>
                <w:t>14</w:t>
              </w:r>
              <w:r w:rsidR="00B5540D" w:rsidRPr="00D91D68">
                <w:rPr>
                  <w:rStyle w:val="Hyperlink"/>
                  <w:i/>
                  <w:iCs/>
                  <w:sz w:val="22"/>
                  <w:szCs w:val="22"/>
                </w:rPr>
                <w:t>35</w:t>
              </w:r>
            </w:hyperlink>
            <w:r w:rsidRPr="00D91D68">
              <w:rPr>
                <w:i/>
                <w:iCs/>
                <w:sz w:val="22"/>
                <w:szCs w:val="22"/>
              </w:rPr>
              <w:t xml:space="preserve"> – Biennial budget of the International Telecommunication Union for 202</w:t>
            </w:r>
            <w:r w:rsidR="002C244F" w:rsidRPr="00D91D68">
              <w:rPr>
                <w:i/>
                <w:iCs/>
                <w:sz w:val="22"/>
                <w:szCs w:val="22"/>
              </w:rPr>
              <w:t>6</w:t>
            </w:r>
            <w:r w:rsidRPr="00D91D68">
              <w:rPr>
                <w:i/>
                <w:iCs/>
                <w:sz w:val="22"/>
                <w:szCs w:val="22"/>
              </w:rPr>
              <w:t>-202</w:t>
            </w:r>
            <w:r w:rsidR="002C244F" w:rsidRPr="00D91D68">
              <w:rPr>
                <w:i/>
                <w:iCs/>
                <w:sz w:val="22"/>
                <w:szCs w:val="22"/>
              </w:rPr>
              <w:t>7</w:t>
            </w:r>
            <w:r w:rsidRPr="00D91D68">
              <w:rPr>
                <w:i/>
                <w:iCs/>
                <w:sz w:val="22"/>
                <w:szCs w:val="22"/>
              </w:rPr>
              <w:t xml:space="preserve">); Decision </w:t>
            </w:r>
            <w:hyperlink r:id="rId13" w:history="1">
              <w:r w:rsidRPr="00D91D68">
                <w:rPr>
                  <w:rStyle w:val="Hyperlink"/>
                  <w:i/>
                  <w:iCs/>
                  <w:sz w:val="22"/>
                  <w:szCs w:val="22"/>
                </w:rPr>
                <w:t>5 (Rev. Bucharest, 2022)</w:t>
              </w:r>
            </w:hyperlink>
            <w:r w:rsidRPr="00D91D68">
              <w:rPr>
                <w:i/>
                <w:iCs/>
                <w:sz w:val="22"/>
                <w:szCs w:val="22"/>
              </w:rPr>
              <w:t xml:space="preserve"> of the Plenipotentiary Conference</w:t>
            </w:r>
          </w:p>
        </w:tc>
      </w:tr>
    </w:tbl>
    <w:p w14:paraId="5045B62A" w14:textId="29D1E571" w:rsidR="00BB4B74" w:rsidRPr="00BB4B74" w:rsidRDefault="00D91D68" w:rsidP="00D91D68">
      <w:pPr>
        <w:pStyle w:val="Heading1"/>
      </w:pPr>
      <w:bookmarkStart w:id="10" w:name="_Hlk133421428"/>
      <w:bookmarkEnd w:id="2"/>
      <w:bookmarkEnd w:id="9"/>
      <w:r>
        <w:lastRenderedPageBreak/>
        <w:t>1</w:t>
      </w:r>
      <w:r>
        <w:tab/>
      </w:r>
      <w:r w:rsidR="00BB4B74" w:rsidRPr="00BB4B74">
        <w:t>Background</w:t>
      </w:r>
    </w:p>
    <w:p w14:paraId="1D6A4559" w14:textId="0DABC686" w:rsidR="00BB4B74" w:rsidRPr="00BB4B74" w:rsidRDefault="00BB4B74" w:rsidP="00D91D68">
      <w:pPr>
        <w:jc w:val="both"/>
      </w:pPr>
      <w:r w:rsidRPr="00BB4B74">
        <w:t>At its 2025 session, the Council considered and approved the Draft Biennial Budget of the Union for the period 2026</w:t>
      </w:r>
      <w:r w:rsidR="00D7669B">
        <w:t>-</w:t>
      </w:r>
      <w:r w:rsidRPr="00BB4B74">
        <w:t xml:space="preserve">2027 as presented in Document </w:t>
      </w:r>
      <w:hyperlink r:id="rId14" w:history="1">
        <w:r w:rsidRPr="00D7669B">
          <w:rPr>
            <w:rStyle w:val="Hyperlink"/>
          </w:rPr>
          <w:t>C25/47</w:t>
        </w:r>
      </w:hyperlink>
      <w:r w:rsidRPr="00BB4B74">
        <w:t>. The draft Budget was initially balanced based on estimated revenues from cost recovery of CHF</w:t>
      </w:r>
      <w:r w:rsidR="000C1ED0">
        <w:t> </w:t>
      </w:r>
      <w:r w:rsidRPr="00BB4B74">
        <w:t>67.</w:t>
      </w:r>
      <w:r w:rsidR="0068233C">
        <w:t>592</w:t>
      </w:r>
      <w:r w:rsidR="000C1ED0">
        <w:t> million</w:t>
      </w:r>
      <w:r w:rsidRPr="00BB4B74">
        <w:t xml:space="preserve">, aligned with a proposal by the </w:t>
      </w:r>
      <w:r w:rsidR="0000239F">
        <w:t>s</w:t>
      </w:r>
      <w:r w:rsidRPr="00BB4B74">
        <w:t xml:space="preserve">ecretariat in Document </w:t>
      </w:r>
      <w:hyperlink r:id="rId15" w:history="1">
        <w:r w:rsidRPr="00D7669B">
          <w:rPr>
            <w:rStyle w:val="Hyperlink"/>
          </w:rPr>
          <w:t>C25/64</w:t>
        </w:r>
      </w:hyperlink>
      <w:r w:rsidRPr="00BB4B74">
        <w:t xml:space="preserve"> for an increase in Satellite Network Filing (SNF) fees to address shortfalls in cost recovery. These proposals were considered alongside those submitted by the Expert Group on Decision 482</w:t>
      </w:r>
      <w:r w:rsidR="00EF21FB">
        <w:t xml:space="preserve"> (EG-Dec482)</w:t>
      </w:r>
      <w:r w:rsidRPr="00BB4B74">
        <w:t>.</w:t>
      </w:r>
    </w:p>
    <w:p w14:paraId="10F323E1" w14:textId="0FB03FDB" w:rsidR="00BB4B74" w:rsidRPr="00BB4B74" w:rsidRDefault="00BB4B74" w:rsidP="00D91D68">
      <w:pPr>
        <w:jc w:val="both"/>
      </w:pPr>
      <w:r w:rsidRPr="00BB4B74">
        <w:t xml:space="preserve">The Council concluded that, while an increase in SNF fees was warranted, the cost justification provided by the </w:t>
      </w:r>
      <w:r w:rsidR="00133DF1">
        <w:t>s</w:t>
      </w:r>
      <w:r w:rsidRPr="00BB4B74">
        <w:t xml:space="preserve">ecretariat required further review. The </w:t>
      </w:r>
      <w:r w:rsidR="00133DF1">
        <w:t>s</w:t>
      </w:r>
      <w:r w:rsidRPr="00BB4B74">
        <w:t xml:space="preserve">ecretariat was therefore directed to undertake a comprehensive review of the methodology used to calculate SNF costs, particularly </w:t>
      </w:r>
      <w:proofErr w:type="gramStart"/>
      <w:r w:rsidRPr="00BB4B74">
        <w:t>with regard to</w:t>
      </w:r>
      <w:proofErr w:type="gramEnd"/>
      <w:r w:rsidRPr="00BB4B74">
        <w:t xml:space="preserve"> the treatment of indirect costs. Pending the outcome of this review, the Council approved a smaller interim increase in SNF fees of 10.6</w:t>
      </w:r>
      <w:r w:rsidR="00D7669B">
        <w:t xml:space="preserve"> per cent</w:t>
      </w:r>
      <w:r w:rsidRPr="00BB4B74">
        <w:t xml:space="preserve"> above the proposals submitted by EG</w:t>
      </w:r>
      <w:r w:rsidR="00D7669B">
        <w:t>-Dec</w:t>
      </w:r>
      <w:r w:rsidRPr="00BB4B74">
        <w:t>482 for the 2026</w:t>
      </w:r>
      <w:r w:rsidR="00D7669B">
        <w:t>-</w:t>
      </w:r>
      <w:r w:rsidRPr="00BB4B74">
        <w:t>2027 period.</w:t>
      </w:r>
    </w:p>
    <w:p w14:paraId="5AB41939" w14:textId="009B36A6" w:rsidR="00BB4B74" w:rsidRPr="00BB4B74" w:rsidRDefault="00BB4B74" w:rsidP="00D91D68">
      <w:pPr>
        <w:jc w:val="both"/>
      </w:pPr>
      <w:r w:rsidRPr="00BB4B74">
        <w:t>As a result of these decisions, the Council approved the biennial budget for 2026</w:t>
      </w:r>
      <w:r w:rsidR="00D7669B">
        <w:t>-</w:t>
      </w:r>
      <w:r w:rsidRPr="00BB4B74">
        <w:t xml:space="preserve">2027 at the level of </w:t>
      </w:r>
      <w:r w:rsidR="008C3EFB">
        <w:t>expense</w:t>
      </w:r>
      <w:r w:rsidRPr="00BB4B74">
        <w:t xml:space="preserve"> proposed by the </w:t>
      </w:r>
      <w:r w:rsidR="00133DF1">
        <w:t>s</w:t>
      </w:r>
      <w:r w:rsidRPr="00BB4B74">
        <w:t xml:space="preserve">ecretariat but directed the </w:t>
      </w:r>
      <w:r w:rsidR="00133DF1">
        <w:t>s</w:t>
      </w:r>
      <w:r w:rsidRPr="00BB4B74">
        <w:t>ecretariat to absorb a reduction of CHF</w:t>
      </w:r>
      <w:r w:rsidR="008E445D">
        <w:t> </w:t>
      </w:r>
      <w:r w:rsidRPr="00BB4B74">
        <w:t>6.008</w:t>
      </w:r>
      <w:r w:rsidR="008E445D">
        <w:t> </w:t>
      </w:r>
      <w:r w:rsidRPr="00BB4B74">
        <w:t xml:space="preserve">million in detailed </w:t>
      </w:r>
      <w:r w:rsidR="008C3EFB">
        <w:t>expenses</w:t>
      </w:r>
      <w:r w:rsidRPr="00BB4B74">
        <w:t xml:space="preserve">. To present a balanced budget, this amount was reflected as a global reduction within the approved </w:t>
      </w:r>
      <w:r w:rsidR="008C3EFB">
        <w:t>expense</w:t>
      </w:r>
      <w:r w:rsidRPr="00BB4B74">
        <w:t xml:space="preserve"> envelope. The </w:t>
      </w:r>
      <w:r w:rsidR="00133DF1">
        <w:t>s</w:t>
      </w:r>
      <w:r w:rsidRPr="00BB4B74">
        <w:t xml:space="preserve">ecretariat was </w:t>
      </w:r>
      <w:r w:rsidRPr="00D52FE1">
        <w:rPr>
          <w:spacing w:val="-4"/>
        </w:rPr>
        <w:t>requested to report to the Council Working Group on Finance and Human Resources</w:t>
      </w:r>
      <w:r w:rsidRPr="00BB4B74">
        <w:t xml:space="preserve"> (CWG-FHR) on the steps taken to absorb this reduction.</w:t>
      </w:r>
    </w:p>
    <w:p w14:paraId="4A38792C" w14:textId="45020CBF" w:rsidR="00BB4B74" w:rsidRPr="00BB4B74" w:rsidRDefault="00BB4B74" w:rsidP="00D91D68">
      <w:pPr>
        <w:jc w:val="both"/>
      </w:pPr>
      <w:r w:rsidRPr="00BB4B74">
        <w:t xml:space="preserve">Following the discussion held at the CWG-FHR session in January 2026, the </w:t>
      </w:r>
      <w:r w:rsidR="00133DF1">
        <w:t>s</w:t>
      </w:r>
      <w:r w:rsidRPr="00BB4B74">
        <w:t xml:space="preserve">ecretariat initiated </w:t>
      </w:r>
      <w:proofErr w:type="gramStart"/>
      <w:r w:rsidRPr="00BB4B74">
        <w:t>a number of</w:t>
      </w:r>
      <w:proofErr w:type="gramEnd"/>
      <w:r w:rsidRPr="00BB4B74">
        <w:t xml:space="preserve"> measures to implement the required reductions. As described below, concrete adjustments have already been introduced in the budget for 2026</w:t>
      </w:r>
      <w:r w:rsidR="00D7669B">
        <w:t>-</w:t>
      </w:r>
      <w:r w:rsidRPr="00BB4B74">
        <w:t xml:space="preserve">2027, notably reductions in travel expenses and the use of </w:t>
      </w:r>
      <w:r w:rsidR="00DF0A6D">
        <w:t>Special Service Agreements</w:t>
      </w:r>
      <w:r w:rsidRPr="00BB4B74">
        <w:t xml:space="preserve"> (SSAs), which together represent approximately half of the overall reduction required. The </w:t>
      </w:r>
      <w:r w:rsidR="00133DF1">
        <w:t>s</w:t>
      </w:r>
      <w:r w:rsidRPr="00BB4B74">
        <w:t>ecretariat will continue to monitor the implementation of these measures during the 2026</w:t>
      </w:r>
      <w:r w:rsidR="00D7669B">
        <w:t>-</w:t>
      </w:r>
      <w:r w:rsidRPr="00BB4B74">
        <w:t xml:space="preserve">2027 biennium and adjust </w:t>
      </w:r>
      <w:r w:rsidR="008C3EFB">
        <w:t>expense</w:t>
      </w:r>
      <w:r w:rsidRPr="00BB4B74">
        <w:t xml:space="preserve"> as necessary to ensure that the required savings are achieved.</w:t>
      </w:r>
    </w:p>
    <w:p w14:paraId="738D622D" w14:textId="551C0D8B" w:rsidR="00BB4B74" w:rsidRPr="00BB4B74" w:rsidRDefault="00FC1307" w:rsidP="00D91D68">
      <w:pPr>
        <w:jc w:val="both"/>
      </w:pPr>
      <w:r>
        <w:t>T</w:t>
      </w:r>
      <w:r w:rsidR="00BB4B74" w:rsidRPr="00BB4B74">
        <w:t xml:space="preserve">he </w:t>
      </w:r>
      <w:r w:rsidR="00133DF1">
        <w:t>s</w:t>
      </w:r>
      <w:r w:rsidR="00BB4B74" w:rsidRPr="00BB4B74">
        <w:t>ecretariat</w:t>
      </w:r>
      <w:r>
        <w:t>,</w:t>
      </w:r>
      <w:r w:rsidR="00BB4B74" w:rsidRPr="00BB4B74">
        <w:t xml:space="preserve"> </w:t>
      </w:r>
      <w:r w:rsidR="00CB2D9B">
        <w:t>through the Coordination Committee (CoCo)</w:t>
      </w:r>
      <w:r w:rsidR="00BB4B74" w:rsidRPr="00BB4B74">
        <w:t xml:space="preserve"> is closely monitoring revenue performance, particularly in areas where uncertainties remain. </w:t>
      </w:r>
      <w:r w:rsidR="00FA35BD" w:rsidRPr="00BB4B74">
        <w:t>There</w:t>
      </w:r>
      <w:r w:rsidR="00BB4B74" w:rsidRPr="00BB4B74">
        <w:t xml:space="preserve"> is a risk that revenues from SNF cost recovery may not fully materialize at the level of CHF</w:t>
      </w:r>
      <w:r w:rsidR="001A0874">
        <w:t> </w:t>
      </w:r>
      <w:r w:rsidR="00BB4B74" w:rsidRPr="00BB4B74">
        <w:t>14.496</w:t>
      </w:r>
      <w:r w:rsidR="001A0874">
        <w:t> </w:t>
      </w:r>
      <w:r w:rsidR="00BB4B74" w:rsidRPr="00BB4B74">
        <w:t xml:space="preserve">million per year currently reflected in the budget. In addition, the </w:t>
      </w:r>
      <w:r w:rsidR="00133DF1">
        <w:t>s</w:t>
      </w:r>
      <w:r w:rsidR="00BB4B74" w:rsidRPr="00BB4B74">
        <w:t>ecretariat is reviewing publication revenues more closely to identify opportunities to address potential shortfalls. To support proactive management of these risks, monthly financial monitoring reports are being produced and reviewed by senior management.</w:t>
      </w:r>
    </w:p>
    <w:bookmarkEnd w:id="3"/>
    <w:bookmarkEnd w:id="4"/>
    <w:p w14:paraId="703D8329" w14:textId="4821B518" w:rsidR="00181F66" w:rsidRPr="0025554F" w:rsidRDefault="00181F66" w:rsidP="00D91D68">
      <w:pPr>
        <w:jc w:val="both"/>
      </w:pPr>
      <w:r w:rsidRPr="00EA6652">
        <w:t>It should be noted that, at the time of preparation of th</w:t>
      </w:r>
      <w:r>
        <w:t>is</w:t>
      </w:r>
      <w:r w:rsidRPr="00EA6652">
        <w:t xml:space="preserve"> document, the 2026 financial year has not yet completed its first quarter. As a result, the </w:t>
      </w:r>
      <w:r w:rsidR="00133DF1">
        <w:t>s</w:t>
      </w:r>
      <w:r w:rsidRPr="00EA6652">
        <w:t xml:space="preserve">ecretariat’s assessment of </w:t>
      </w:r>
      <w:r w:rsidR="008C3EFB">
        <w:t>expense</w:t>
      </w:r>
      <w:r w:rsidRPr="00EA6652">
        <w:t xml:space="preserve"> reductions and revenue performance is based on initial implementation measures and early monitoring. The </w:t>
      </w:r>
      <w:r w:rsidR="00133DF1">
        <w:t>s</w:t>
      </w:r>
      <w:r w:rsidRPr="00EA6652">
        <w:t xml:space="preserve">ecretariat will therefore provide </w:t>
      </w:r>
      <w:r w:rsidR="00405B16">
        <w:t xml:space="preserve">the </w:t>
      </w:r>
      <w:r w:rsidRPr="00EA6652">
        <w:t xml:space="preserve">Council with an update on budget implementation during </w:t>
      </w:r>
      <w:r w:rsidR="008A5899">
        <w:t>Council 2026</w:t>
      </w:r>
      <w:r w:rsidRPr="00EA6652">
        <w:t>, including first-quarter financial results and related projections for the remainder of the biennium.</w:t>
      </w:r>
    </w:p>
    <w:p w14:paraId="48027B3A" w14:textId="781E766E" w:rsidR="0025554F" w:rsidRDefault="0025554F" w:rsidP="00D91D68">
      <w:pPr>
        <w:pStyle w:val="Heading1"/>
      </w:pPr>
      <w:r w:rsidRPr="0025554F">
        <w:lastRenderedPageBreak/>
        <w:t>2</w:t>
      </w:r>
      <w:r w:rsidR="00D91D68">
        <w:tab/>
      </w:r>
      <w:r w:rsidRPr="0025554F">
        <w:t xml:space="preserve">Approaches to </w:t>
      </w:r>
      <w:r w:rsidR="00EF21FB" w:rsidRPr="0025554F">
        <w:t xml:space="preserve">reduction of expenses </w:t>
      </w:r>
      <w:r w:rsidRPr="0025554F">
        <w:t>for the 2026</w:t>
      </w:r>
      <w:r w:rsidR="00EF21FB">
        <w:t>-</w:t>
      </w:r>
      <w:r w:rsidRPr="0025554F">
        <w:t xml:space="preserve">2027 </w:t>
      </w:r>
      <w:r w:rsidR="00EF21FB" w:rsidRPr="0025554F">
        <w:t>budget</w:t>
      </w:r>
    </w:p>
    <w:p w14:paraId="223E3784" w14:textId="61D95EE6" w:rsidR="0025554F" w:rsidRPr="0025554F" w:rsidRDefault="0025554F" w:rsidP="00D91D68">
      <w:pPr>
        <w:pStyle w:val="Heading2"/>
      </w:pPr>
      <w:r w:rsidRPr="0025554F">
        <w:t>2.1</w:t>
      </w:r>
      <w:r w:rsidR="00D91D68">
        <w:tab/>
      </w:r>
      <w:r w:rsidRPr="0025554F">
        <w:t xml:space="preserve">Prioritization and </w:t>
      </w:r>
      <w:r w:rsidR="00EF21FB" w:rsidRPr="0025554F">
        <w:t>consolidation through the operational planning exercise</w:t>
      </w:r>
    </w:p>
    <w:p w14:paraId="47E47574" w14:textId="65979703" w:rsidR="0025554F" w:rsidRPr="0025554F" w:rsidRDefault="0025554F" w:rsidP="00D91D68">
      <w:pPr>
        <w:jc w:val="both"/>
      </w:pPr>
      <w:r w:rsidRPr="0025554F">
        <w:t xml:space="preserve">Following Council 2025, the </w:t>
      </w:r>
      <w:r w:rsidR="00133DF1">
        <w:t>s</w:t>
      </w:r>
      <w:r w:rsidRPr="0025554F">
        <w:t xml:space="preserve">ecretariat launched a comprehensive Operational Planning exercise for 2026. Through this </w:t>
      </w:r>
      <w:r w:rsidR="005E726D">
        <w:t>Union</w:t>
      </w:r>
      <w:r w:rsidRPr="0025554F">
        <w:t xml:space="preserve">-wide process, the Bureaux and the General </w:t>
      </w:r>
      <w:r w:rsidR="00133DF1">
        <w:t>s</w:t>
      </w:r>
      <w:r w:rsidRPr="0025554F">
        <w:t>ecretariat, at the departmental level, were requested to identify and document the staff effort and financial resources required to deliver their planned outputs in 2026, including staff costs, travel, equipment</w:t>
      </w:r>
      <w:r w:rsidR="00133DF1">
        <w:t>,</w:t>
      </w:r>
      <w:r w:rsidRPr="0025554F">
        <w:t xml:space="preserve"> and short-term assistance.</w:t>
      </w:r>
    </w:p>
    <w:p w14:paraId="227ACD51" w14:textId="389D7381" w:rsidR="0025554F" w:rsidRPr="0025554F" w:rsidRDefault="0025554F" w:rsidP="00D91D68">
      <w:pPr>
        <w:jc w:val="both"/>
      </w:pPr>
      <w:r w:rsidRPr="0025554F">
        <w:t xml:space="preserve">This operational planning process provides an essential mechanism for aligning resources with priorities and ensuring that limited budgetary resources are directed toward the Union’s most critical activities. By systematically reviewing planned activities and resource allocations, the </w:t>
      </w:r>
      <w:r w:rsidR="00133DF1">
        <w:t>s</w:t>
      </w:r>
      <w:r w:rsidRPr="0025554F">
        <w:t xml:space="preserve">ecretariat </w:t>
      </w:r>
      <w:r w:rsidR="007D0BC4" w:rsidRPr="0025554F">
        <w:t>can</w:t>
      </w:r>
      <w:r w:rsidRPr="0025554F">
        <w:t xml:space="preserve"> identify opportunities for consolidation, coordination</w:t>
      </w:r>
      <w:r w:rsidR="00511742">
        <w:t>,</w:t>
      </w:r>
      <w:r w:rsidRPr="0025554F">
        <w:t xml:space="preserve"> and improved working methods across the </w:t>
      </w:r>
      <w:r w:rsidR="005E726D">
        <w:t>Union</w:t>
      </w:r>
      <w:r w:rsidRPr="0025554F">
        <w:t>.</w:t>
      </w:r>
    </w:p>
    <w:p w14:paraId="5C235EA9" w14:textId="295F83F5" w:rsidR="0025554F" w:rsidRPr="00D7669B" w:rsidRDefault="0025554F" w:rsidP="00D91D68">
      <w:pPr>
        <w:jc w:val="both"/>
        <w:rPr>
          <w:spacing w:val="-2"/>
        </w:rPr>
      </w:pPr>
      <w:r w:rsidRPr="00D7669B">
        <w:rPr>
          <w:spacing w:val="-2"/>
        </w:rPr>
        <w:t xml:space="preserve">The process has already resulted in </w:t>
      </w:r>
      <w:proofErr w:type="gramStart"/>
      <w:r w:rsidRPr="00D7669B">
        <w:rPr>
          <w:spacing w:val="-2"/>
        </w:rPr>
        <w:t>a number of</w:t>
      </w:r>
      <w:proofErr w:type="gramEnd"/>
      <w:r w:rsidRPr="00D7669B">
        <w:rPr>
          <w:spacing w:val="-2"/>
        </w:rPr>
        <w:t xml:space="preserve"> cost-containment measures, including reductions in </w:t>
      </w:r>
      <w:r w:rsidR="00133DF1">
        <w:rPr>
          <w:spacing w:val="-2"/>
        </w:rPr>
        <w:t>s</w:t>
      </w:r>
      <w:r w:rsidRPr="00D7669B">
        <w:rPr>
          <w:spacing w:val="-2"/>
        </w:rPr>
        <w:t>ecretariat-initiated events, consolidation of shared services</w:t>
      </w:r>
      <w:r w:rsidR="00511742">
        <w:rPr>
          <w:spacing w:val="-2"/>
        </w:rPr>
        <w:t>,</w:t>
      </w:r>
      <w:r w:rsidRPr="00D7669B">
        <w:rPr>
          <w:spacing w:val="-2"/>
        </w:rPr>
        <w:t xml:space="preserve"> and improved coordination of workstreams across the Bureaux and the General Secretariat. These efforts are also contributing to the reductions in travel costs and short-term consultancies described below.</w:t>
      </w:r>
    </w:p>
    <w:p w14:paraId="3C1450B5" w14:textId="1CF11681" w:rsidR="0025554F" w:rsidRPr="0025554F" w:rsidRDefault="0025554F" w:rsidP="00D91D68">
      <w:pPr>
        <w:pStyle w:val="Heading2"/>
      </w:pPr>
      <w:r w:rsidRPr="0025554F">
        <w:t>2.2</w:t>
      </w:r>
      <w:r w:rsidR="00D91D68">
        <w:tab/>
      </w:r>
      <w:r w:rsidRPr="0025554F">
        <w:t xml:space="preserve">Travel </w:t>
      </w:r>
      <w:r w:rsidR="00EF21FB" w:rsidRPr="0025554F">
        <w:t>expenses</w:t>
      </w:r>
    </w:p>
    <w:p w14:paraId="7268FB0E" w14:textId="16C701E3" w:rsidR="0025554F" w:rsidRPr="00D7669B" w:rsidRDefault="0025554F" w:rsidP="00D91D68">
      <w:pPr>
        <w:jc w:val="both"/>
        <w:rPr>
          <w:spacing w:val="-2"/>
        </w:rPr>
      </w:pPr>
      <w:r w:rsidRPr="00D7669B">
        <w:rPr>
          <w:spacing w:val="-2"/>
        </w:rPr>
        <w:t xml:space="preserve">Staff travel remains an essential component of ITU’s work, enabling the </w:t>
      </w:r>
      <w:r w:rsidR="005E726D">
        <w:rPr>
          <w:spacing w:val="-2"/>
        </w:rPr>
        <w:t>Union</w:t>
      </w:r>
      <w:r w:rsidRPr="00D7669B">
        <w:rPr>
          <w:spacing w:val="-2"/>
        </w:rPr>
        <w:t xml:space="preserve"> to provide technical assistance to Member States, represent ITU in key international fora, support the management of regional activities</w:t>
      </w:r>
      <w:r w:rsidR="00511742">
        <w:rPr>
          <w:spacing w:val="-2"/>
        </w:rPr>
        <w:t>,</w:t>
      </w:r>
      <w:r w:rsidRPr="00D7669B">
        <w:rPr>
          <w:spacing w:val="-2"/>
        </w:rPr>
        <w:t xml:space="preserve"> and participate in relevant United Nations processes.</w:t>
      </w:r>
    </w:p>
    <w:p w14:paraId="407436FB" w14:textId="13290BC9" w:rsidR="0025554F" w:rsidRPr="0025554F" w:rsidRDefault="0025554F" w:rsidP="00D91D68">
      <w:pPr>
        <w:jc w:val="both"/>
        <w:rPr>
          <w:b/>
          <w:bCs/>
        </w:rPr>
      </w:pPr>
      <w:r w:rsidRPr="0025554F">
        <w:t xml:space="preserve">However, </w:t>
      </w:r>
      <w:proofErr w:type="gramStart"/>
      <w:r w:rsidRPr="0025554F">
        <w:t>in light of</w:t>
      </w:r>
      <w:proofErr w:type="gramEnd"/>
      <w:r w:rsidRPr="0025554F">
        <w:t xml:space="preserve"> the current budgetary constraints and the prioritization exercise described above, the </w:t>
      </w:r>
      <w:r w:rsidR="00511742">
        <w:t>s</w:t>
      </w:r>
      <w:r w:rsidRPr="0025554F">
        <w:t xml:space="preserve">ecretariat has introduced reductions in travel funded through the regular budget. </w:t>
      </w:r>
      <w:r w:rsidRPr="0025554F">
        <w:rPr>
          <w:b/>
          <w:bCs/>
        </w:rPr>
        <w:t>The budget for the 2026</w:t>
      </w:r>
      <w:r w:rsidR="00D7669B">
        <w:rPr>
          <w:b/>
          <w:bCs/>
        </w:rPr>
        <w:t>-</w:t>
      </w:r>
      <w:r w:rsidRPr="0025554F">
        <w:rPr>
          <w:b/>
          <w:bCs/>
        </w:rPr>
        <w:t xml:space="preserve">2027 biennium incorporates a reduction in travel </w:t>
      </w:r>
      <w:r w:rsidR="008C3EFB">
        <w:rPr>
          <w:b/>
          <w:bCs/>
        </w:rPr>
        <w:t>expense</w:t>
      </w:r>
      <w:r w:rsidRPr="0025554F">
        <w:rPr>
          <w:b/>
          <w:bCs/>
        </w:rPr>
        <w:t xml:space="preserve"> of approximately CHF 900</w:t>
      </w:r>
      <w:r w:rsidR="00D7669B">
        <w:rPr>
          <w:b/>
          <w:bCs/>
        </w:rPr>
        <w:t> </w:t>
      </w:r>
      <w:r w:rsidRPr="0025554F">
        <w:rPr>
          <w:b/>
          <w:bCs/>
        </w:rPr>
        <w:t>000.</w:t>
      </w:r>
    </w:p>
    <w:p w14:paraId="456E0E6E" w14:textId="7A4CD0D2" w:rsidR="0025554F" w:rsidRPr="00D7669B" w:rsidRDefault="0025554F" w:rsidP="00D91D68">
      <w:pPr>
        <w:jc w:val="both"/>
        <w:rPr>
          <w:spacing w:val="-2"/>
        </w:rPr>
      </w:pPr>
      <w:r w:rsidRPr="00D7669B">
        <w:rPr>
          <w:spacing w:val="-2"/>
        </w:rPr>
        <w:t xml:space="preserve">This reduction reflects tighter prioritization of missions, greater use of virtual participation where appropriate, and improved coordination of travel across the </w:t>
      </w:r>
      <w:r w:rsidR="005E726D">
        <w:rPr>
          <w:spacing w:val="-2"/>
        </w:rPr>
        <w:t>Union</w:t>
      </w:r>
      <w:r w:rsidRPr="00D7669B">
        <w:rPr>
          <w:spacing w:val="-2"/>
        </w:rPr>
        <w:t xml:space="preserve">. The </w:t>
      </w:r>
      <w:r w:rsidR="00511742">
        <w:rPr>
          <w:spacing w:val="-2"/>
        </w:rPr>
        <w:t>s</w:t>
      </w:r>
      <w:r w:rsidRPr="00D7669B">
        <w:rPr>
          <w:spacing w:val="-2"/>
        </w:rPr>
        <w:t xml:space="preserve">ecretariat will continue to monitor travel </w:t>
      </w:r>
      <w:r w:rsidR="008C3EFB">
        <w:rPr>
          <w:spacing w:val="-2"/>
        </w:rPr>
        <w:t>expenses</w:t>
      </w:r>
      <w:r w:rsidRPr="00D7669B">
        <w:rPr>
          <w:spacing w:val="-2"/>
        </w:rPr>
        <w:t xml:space="preserve"> during the biennium to ensure that these reductions are achieved while maintaining the Union’s ability to deliver its core activities.</w:t>
      </w:r>
    </w:p>
    <w:p w14:paraId="040E1636" w14:textId="4CFB256A" w:rsidR="0025554F" w:rsidRPr="0025554F" w:rsidRDefault="0025554F" w:rsidP="00D91D68">
      <w:pPr>
        <w:pStyle w:val="Heading2"/>
      </w:pPr>
      <w:r w:rsidRPr="0025554F">
        <w:t>2.3</w:t>
      </w:r>
      <w:r w:rsidR="00D91D68">
        <w:tab/>
      </w:r>
      <w:r w:rsidR="000B7FB3">
        <w:t>Special Service Agreements</w:t>
      </w:r>
      <w:r w:rsidR="00EF21FB" w:rsidRPr="0025554F">
        <w:t xml:space="preserve"> </w:t>
      </w:r>
      <w:r w:rsidRPr="0025554F">
        <w:t>(SSAs)</w:t>
      </w:r>
    </w:p>
    <w:p w14:paraId="2B76C2E0" w14:textId="77777777" w:rsidR="0025554F" w:rsidRPr="0025554F" w:rsidRDefault="0025554F" w:rsidP="00D91D68">
      <w:pPr>
        <w:jc w:val="both"/>
      </w:pPr>
      <w:r w:rsidRPr="0025554F">
        <w:t>The ITU engages short-term individual consultancies through Special Service Agreements (SSAs) to obtain specialized expertise and provide support for specific projects and tasks that do not require permanent staffing.</w:t>
      </w:r>
    </w:p>
    <w:p w14:paraId="061EDA21" w14:textId="244D7F5D" w:rsidR="0025554F" w:rsidRPr="0025554F" w:rsidRDefault="0025554F" w:rsidP="00D91D68">
      <w:pPr>
        <w:jc w:val="both"/>
      </w:pPr>
      <w:r w:rsidRPr="0025554F">
        <w:t xml:space="preserve">While SSAs remain an important mechanism for addressing targeted needs in a flexible </w:t>
      </w:r>
      <w:r w:rsidR="6DE56CF4">
        <w:t xml:space="preserve">and cost-effective </w:t>
      </w:r>
      <w:r w:rsidRPr="0025554F">
        <w:t xml:space="preserve">manner, the </w:t>
      </w:r>
      <w:r w:rsidR="00511742">
        <w:t>s</w:t>
      </w:r>
      <w:r w:rsidRPr="0025554F">
        <w:t xml:space="preserve">ecretariat has identified opportunities to strengthen discipline in their use and reduce overall </w:t>
      </w:r>
      <w:r w:rsidR="008C3EFB">
        <w:t>expense</w:t>
      </w:r>
      <w:r w:rsidRPr="0025554F">
        <w:t xml:space="preserve"> in this area. In particular, the prioritization exercise described above has enabled greater coordination of staff resources across the </w:t>
      </w:r>
      <w:r w:rsidR="005E726D">
        <w:t>Union</w:t>
      </w:r>
      <w:r w:rsidRPr="0025554F">
        <w:t xml:space="preserve">, as well as reductions in </w:t>
      </w:r>
      <w:r w:rsidR="00511742">
        <w:t>s</w:t>
      </w:r>
      <w:r w:rsidRPr="0025554F">
        <w:t>ecretariat-initiated events and consolidation of shared services.</w:t>
      </w:r>
    </w:p>
    <w:p w14:paraId="68A2D3CA" w14:textId="626DE1E8" w:rsidR="0025554F" w:rsidRPr="0025554F" w:rsidRDefault="0025554F" w:rsidP="00D91D68">
      <w:pPr>
        <w:jc w:val="both"/>
        <w:rPr>
          <w:b/>
          <w:bCs/>
        </w:rPr>
      </w:pPr>
      <w:r w:rsidRPr="0025554F">
        <w:rPr>
          <w:b/>
          <w:bCs/>
        </w:rPr>
        <w:t>In this context, the budget for the 2026</w:t>
      </w:r>
      <w:r w:rsidR="00D7669B">
        <w:rPr>
          <w:b/>
          <w:bCs/>
        </w:rPr>
        <w:t>-</w:t>
      </w:r>
      <w:r w:rsidRPr="0025554F">
        <w:rPr>
          <w:b/>
          <w:bCs/>
        </w:rPr>
        <w:t xml:space="preserve">2027 biennium incorporates a reduction of approximately CHF 2.1 million in </w:t>
      </w:r>
      <w:r w:rsidR="00C61C89">
        <w:rPr>
          <w:b/>
          <w:bCs/>
        </w:rPr>
        <w:t>budget</w:t>
      </w:r>
      <w:r w:rsidRPr="0025554F">
        <w:rPr>
          <w:b/>
          <w:bCs/>
        </w:rPr>
        <w:t xml:space="preserve"> related to SSAs.</w:t>
      </w:r>
    </w:p>
    <w:p w14:paraId="47A57366" w14:textId="0423053A" w:rsidR="00181F66" w:rsidRPr="00181F66" w:rsidRDefault="00181F66" w:rsidP="00D91D68">
      <w:pPr>
        <w:pStyle w:val="Heading2"/>
      </w:pPr>
      <w:r w:rsidRPr="00181F66">
        <w:lastRenderedPageBreak/>
        <w:t>2.4</w:t>
      </w:r>
      <w:r w:rsidR="00D91D68">
        <w:tab/>
      </w:r>
      <w:r w:rsidRPr="00181F66">
        <w:t xml:space="preserve">Expansion of </w:t>
      </w:r>
      <w:r w:rsidR="00EF21FB" w:rsidRPr="00181F66">
        <w:t>automation and the us</w:t>
      </w:r>
      <w:r w:rsidRPr="00181F66">
        <w:t xml:space="preserve">e of AI </w:t>
      </w:r>
      <w:r w:rsidR="00EF21FB" w:rsidRPr="00181F66">
        <w:t>tools</w:t>
      </w:r>
    </w:p>
    <w:p w14:paraId="3148ECD1" w14:textId="0DDA682D" w:rsidR="00181F66" w:rsidRPr="00181F66" w:rsidRDefault="00181F66" w:rsidP="00D91D68">
      <w:pPr>
        <w:jc w:val="both"/>
      </w:pPr>
      <w:r w:rsidRPr="00181F66">
        <w:t xml:space="preserve">In parallel with the </w:t>
      </w:r>
      <w:r w:rsidR="008C3EFB">
        <w:t>expense</w:t>
      </w:r>
      <w:r w:rsidRPr="00181F66">
        <w:t xml:space="preserve"> reductions described above, the </w:t>
      </w:r>
      <w:r w:rsidR="00511742">
        <w:t>s</w:t>
      </w:r>
      <w:r w:rsidRPr="00181F66">
        <w:t xml:space="preserve">ecretariat is pursuing efficiency gains through the expanded use of automation and digital tools. </w:t>
      </w:r>
      <w:proofErr w:type="gramStart"/>
      <w:r w:rsidRPr="00181F66">
        <w:t>In particular, ITU</w:t>
      </w:r>
      <w:proofErr w:type="gramEnd"/>
      <w:r w:rsidRPr="00181F66">
        <w:t xml:space="preserve"> is exploring the use of automated and AI-supported translation and interpretation technologies to complement existing language services.</w:t>
      </w:r>
    </w:p>
    <w:p w14:paraId="55B1E2D2" w14:textId="38208F3F" w:rsidR="00181F66" w:rsidRPr="00181F66" w:rsidRDefault="00181F66" w:rsidP="00D91D68">
      <w:pPr>
        <w:jc w:val="both"/>
      </w:pPr>
      <w:r w:rsidRPr="00181F66">
        <w:t>Recognizing the need to maintain the quality and accessibility of language services, these tools are intended to support —</w:t>
      </w:r>
      <w:r w:rsidR="00CF1DED">
        <w:t xml:space="preserve"> </w:t>
      </w:r>
      <w:r w:rsidRPr="00181F66">
        <w:t>rather than replace</w:t>
      </w:r>
      <w:r w:rsidR="00CF1DED">
        <w:t xml:space="preserve"> </w:t>
      </w:r>
      <w:r w:rsidRPr="00181F66">
        <w:t>— human expertise. Their progressive introduction is expected to contribute to improved operational efficiency while supporting the Union’s broader digital transformation objectives.</w:t>
      </w:r>
    </w:p>
    <w:p w14:paraId="47B3ECFB" w14:textId="3B6B9D13" w:rsidR="00181F66" w:rsidRPr="00181F66" w:rsidRDefault="00181F66" w:rsidP="00D91D68">
      <w:pPr>
        <w:pStyle w:val="Heading1"/>
      </w:pPr>
      <w:r w:rsidRPr="00181F66">
        <w:t>3</w:t>
      </w:r>
      <w:r w:rsidR="00D91D68">
        <w:tab/>
      </w:r>
      <w:r w:rsidRPr="00181F66">
        <w:t xml:space="preserve">ITU </w:t>
      </w:r>
      <w:r w:rsidR="00EF21FB" w:rsidRPr="00181F66">
        <w:t xml:space="preserve">budget </w:t>
      </w:r>
      <w:r w:rsidRPr="00181F66">
        <w:t>for 2026</w:t>
      </w:r>
      <w:r w:rsidR="00EF21FB">
        <w:t>-</w:t>
      </w:r>
      <w:r w:rsidRPr="00181F66">
        <w:t>2027</w:t>
      </w:r>
    </w:p>
    <w:p w14:paraId="5C97350B" w14:textId="37D472DC" w:rsidR="00181F66" w:rsidRPr="00181F66" w:rsidRDefault="007D0BC4" w:rsidP="00D91D68">
      <w:pPr>
        <w:jc w:val="both"/>
      </w:pPr>
      <w:r w:rsidRPr="00181F66">
        <w:t>Based on</w:t>
      </w:r>
      <w:r w:rsidR="00181F66" w:rsidRPr="00181F66">
        <w:t xml:space="preserve"> the measures described above, the ITU budget for the 2026</w:t>
      </w:r>
      <w:r w:rsidR="00EF21FB">
        <w:t>-</w:t>
      </w:r>
      <w:r w:rsidR="00181F66" w:rsidRPr="00181F66">
        <w:t xml:space="preserve">2027 biennium has been revised to incorporate reductions in travel and </w:t>
      </w:r>
      <w:r w:rsidR="00E20ABE">
        <w:t>SSAs</w:t>
      </w:r>
      <w:r w:rsidR="00181F66" w:rsidRPr="00181F66">
        <w:t xml:space="preserve"> </w:t>
      </w:r>
      <w:r w:rsidR="008C3EFB">
        <w:t>expenses</w:t>
      </w:r>
      <w:r w:rsidR="00181F66" w:rsidRPr="00181F66">
        <w:t>, representing approximately half of the required reduction of CHF 6.008 million.</w:t>
      </w:r>
    </w:p>
    <w:p w14:paraId="2FDADB5C" w14:textId="2A5F31F5" w:rsidR="00181F66" w:rsidRPr="00181F66" w:rsidRDefault="5CFB7477" w:rsidP="00D91D68">
      <w:pPr>
        <w:jc w:val="both"/>
      </w:pPr>
      <w:r>
        <w:t>The remaining adjustments will continue to be addressed through the operational planning process and ongoing monitoring of budget implementation during the 2026</w:t>
      </w:r>
      <w:r w:rsidR="68E62F21">
        <w:t>-</w:t>
      </w:r>
      <w:r>
        <w:t>2027 period. The global reduction of CHF</w:t>
      </w:r>
      <w:r w:rsidR="76FD923D">
        <w:t> </w:t>
      </w:r>
      <w:r>
        <w:t>6.008</w:t>
      </w:r>
      <w:r w:rsidR="76FD923D">
        <w:t> </w:t>
      </w:r>
      <w:r>
        <w:t>million is therefore being progressively absorbed through corresponding adjustments across the Bureaux and the General Secretariat while ensuring the continued delivery of ITU’s core mandates.</w:t>
      </w:r>
    </w:p>
    <w:bookmarkEnd w:id="5"/>
    <w:bookmarkEnd w:id="10"/>
    <w:p w14:paraId="217A20CD" w14:textId="77777777" w:rsidR="007A3FCD" w:rsidRPr="00C0458D" w:rsidRDefault="007A3FCD" w:rsidP="00D52FE1">
      <w:pPr>
        <w:spacing w:before="840"/>
        <w:jc w:val="center"/>
      </w:pPr>
      <w:r>
        <w:t>______________</w:t>
      </w:r>
    </w:p>
    <w:sectPr w:rsidR="007A3FCD" w:rsidRPr="00C0458D" w:rsidSect="00AD3606">
      <w:footerReference w:type="default" r:id="rId16"/>
      <w:headerReference w:type="first" r:id="rId17"/>
      <w:footerReference w:type="first" r:id="rId18"/>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B7B0E7" w14:textId="77777777" w:rsidR="009711C8" w:rsidRDefault="009711C8">
      <w:r>
        <w:separator/>
      </w:r>
    </w:p>
  </w:endnote>
  <w:endnote w:type="continuationSeparator" w:id="0">
    <w:p w14:paraId="337FF507" w14:textId="77777777" w:rsidR="009711C8" w:rsidRDefault="009711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EE49E8" w:rsidRPr="00784011" w14:paraId="3F43724F" w14:textId="77777777">
      <w:trPr>
        <w:jc w:val="center"/>
      </w:trPr>
      <w:tc>
        <w:tcPr>
          <w:tcW w:w="1803" w:type="dxa"/>
          <w:vAlign w:val="center"/>
        </w:tcPr>
        <w:p w14:paraId="6595CA0F" w14:textId="77777777" w:rsidR="00EE49E8" w:rsidRDefault="00C6520B" w:rsidP="00EE49E8">
          <w:pPr>
            <w:pStyle w:val="Header"/>
            <w:jc w:val="left"/>
            <w:rPr>
              <w:noProof/>
            </w:rPr>
          </w:pPr>
          <w:r>
            <w:rPr>
              <w:noProof/>
            </w:rPr>
            <w:t>gDoc #</w:t>
          </w:r>
        </w:p>
      </w:tc>
      <w:tc>
        <w:tcPr>
          <w:tcW w:w="8261" w:type="dxa"/>
        </w:tcPr>
        <w:p w14:paraId="3E7590DE" w14:textId="2CAFB9D8" w:rsidR="00EE49E8" w:rsidRPr="00E06FD5" w:rsidRDefault="00EE49E8" w:rsidP="001F5569">
          <w:pPr>
            <w:pStyle w:val="Header"/>
            <w:tabs>
              <w:tab w:val="left" w:pos="6731"/>
              <w:tab w:val="right" w:pos="8505"/>
              <w:tab w:val="right" w:pos="9639"/>
            </w:tabs>
            <w:jc w:val="left"/>
            <w:rPr>
              <w:rFonts w:ascii="Arial" w:hAnsi="Arial" w:cs="Arial"/>
              <w:b/>
              <w:bCs/>
              <w:szCs w:val="18"/>
            </w:rPr>
          </w:pPr>
          <w:r>
            <w:rPr>
              <w:bCs/>
            </w:rPr>
            <w:tab/>
          </w:r>
          <w:r w:rsidRPr="00623AE3">
            <w:rPr>
              <w:bCs/>
            </w:rPr>
            <w:t>C</w:t>
          </w:r>
          <w:r>
            <w:rPr>
              <w:bCs/>
            </w:rPr>
            <w:t>2</w:t>
          </w:r>
          <w:r w:rsidR="00DE532B">
            <w:rPr>
              <w:bCs/>
            </w:rPr>
            <w:t>6</w:t>
          </w:r>
          <w:r w:rsidRPr="00623AE3">
            <w:rPr>
              <w:bCs/>
            </w:rPr>
            <w:t>/</w:t>
          </w:r>
          <w:r w:rsidR="00D91D68">
            <w:rPr>
              <w:bCs/>
            </w:rPr>
            <w:t>9</w:t>
          </w:r>
          <w:r w:rsidRPr="00623AE3">
            <w:rPr>
              <w:bCs/>
            </w:rPr>
            <w:t>-E</w:t>
          </w:r>
          <w:r>
            <w:rPr>
              <w:bCs/>
            </w:rPr>
            <w:tab/>
          </w:r>
          <w:r>
            <w:fldChar w:fldCharType="begin"/>
          </w:r>
          <w:r>
            <w:instrText>PAGE</w:instrText>
          </w:r>
          <w:r>
            <w:fldChar w:fldCharType="separate"/>
          </w:r>
          <w:r>
            <w:t>1</w:t>
          </w:r>
          <w:r>
            <w:rPr>
              <w:noProof/>
            </w:rPr>
            <w:fldChar w:fldCharType="end"/>
          </w:r>
        </w:p>
      </w:tc>
    </w:tr>
  </w:tbl>
  <w:p w14:paraId="19851C7D" w14:textId="77777777" w:rsidR="00EE49E8" w:rsidRPr="00DB1936" w:rsidRDefault="00EE49E8" w:rsidP="00EE49E8">
    <w:pPr>
      <w:pStyle w:val="Header"/>
      <w:tabs>
        <w:tab w:val="left" w:pos="8080"/>
        <w:tab w:val="right" w:pos="9072"/>
      </w:tabs>
      <w:jc w:val="left"/>
      <w:rPr>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3"/>
      <w:gridCol w:w="8261"/>
    </w:tblGrid>
    <w:tr w:rsidR="00EE49E8" w:rsidRPr="00784011" w14:paraId="26FC2068" w14:textId="77777777" w:rsidTr="006B77F1">
      <w:trPr>
        <w:jc w:val="center"/>
      </w:trPr>
      <w:tc>
        <w:tcPr>
          <w:tcW w:w="1803" w:type="dxa"/>
          <w:vAlign w:val="center"/>
        </w:tcPr>
        <w:p w14:paraId="7478A3BA" w14:textId="77777777" w:rsidR="00EE49E8" w:rsidRPr="006B77F1" w:rsidRDefault="00DE532B" w:rsidP="00EE49E8">
          <w:pPr>
            <w:pStyle w:val="Header"/>
            <w:jc w:val="left"/>
            <w:rPr>
              <w:noProof/>
            </w:rPr>
          </w:pPr>
          <w:hyperlink r:id="rId1" w:history="1">
            <w:r>
              <w:rPr>
                <w:rStyle w:val="Hyperlink"/>
                <w:u w:val="none"/>
              </w:rPr>
              <w:t>council.itu.int/2026</w:t>
            </w:r>
          </w:hyperlink>
        </w:p>
      </w:tc>
      <w:tc>
        <w:tcPr>
          <w:tcW w:w="8261" w:type="dxa"/>
        </w:tcPr>
        <w:p w14:paraId="532E017E" w14:textId="2C670E6D" w:rsidR="00EE49E8" w:rsidRPr="00E06FD5" w:rsidRDefault="00EE49E8" w:rsidP="001F5569">
          <w:pPr>
            <w:pStyle w:val="Header"/>
            <w:tabs>
              <w:tab w:val="left" w:pos="6731"/>
              <w:tab w:val="right" w:pos="8505"/>
              <w:tab w:val="right" w:pos="9639"/>
            </w:tabs>
            <w:jc w:val="left"/>
            <w:rPr>
              <w:rFonts w:ascii="Arial" w:hAnsi="Arial" w:cs="Arial"/>
              <w:b/>
              <w:bCs/>
              <w:szCs w:val="18"/>
            </w:rPr>
          </w:pPr>
          <w:r>
            <w:rPr>
              <w:bCs/>
            </w:rPr>
            <w:tab/>
          </w:r>
          <w:r w:rsidRPr="00623AE3">
            <w:rPr>
              <w:bCs/>
            </w:rPr>
            <w:t>C</w:t>
          </w:r>
          <w:r>
            <w:rPr>
              <w:bCs/>
            </w:rPr>
            <w:t>2</w:t>
          </w:r>
          <w:r w:rsidR="00DE532B">
            <w:rPr>
              <w:bCs/>
            </w:rPr>
            <w:t>6</w:t>
          </w:r>
          <w:r w:rsidRPr="00623AE3">
            <w:rPr>
              <w:bCs/>
            </w:rPr>
            <w:t>/</w:t>
          </w:r>
          <w:r w:rsidR="00D91D68">
            <w:rPr>
              <w:bCs/>
            </w:rPr>
            <w:t>9</w:t>
          </w:r>
          <w:r w:rsidRPr="00623AE3">
            <w:rPr>
              <w:bCs/>
            </w:rPr>
            <w:t>-E</w:t>
          </w:r>
          <w:r>
            <w:rPr>
              <w:bCs/>
            </w:rPr>
            <w:tab/>
          </w:r>
          <w:r>
            <w:fldChar w:fldCharType="begin"/>
          </w:r>
          <w:r>
            <w:instrText>PAGE</w:instrText>
          </w:r>
          <w:r>
            <w:fldChar w:fldCharType="separate"/>
          </w:r>
          <w:r>
            <w:t>1</w:t>
          </w:r>
          <w:r>
            <w:rPr>
              <w:noProof/>
            </w:rPr>
            <w:fldChar w:fldCharType="end"/>
          </w:r>
        </w:p>
      </w:tc>
    </w:tr>
  </w:tbl>
  <w:p w14:paraId="31740342" w14:textId="77777777" w:rsidR="00A514A4" w:rsidRPr="00623AE3" w:rsidRDefault="00A514A4" w:rsidP="00EE49E8">
    <w:pPr>
      <w:pStyle w:val="Header"/>
      <w:tabs>
        <w:tab w:val="left" w:pos="8080"/>
        <w:tab w:val="right" w:pos="9072"/>
      </w:tabs>
      <w:jc w:val="right"/>
      <w:rPr>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94B45C" w14:textId="77777777" w:rsidR="009711C8" w:rsidRDefault="009711C8">
      <w:r>
        <w:t>____________________</w:t>
      </w:r>
    </w:p>
  </w:footnote>
  <w:footnote w:type="continuationSeparator" w:id="0">
    <w:p w14:paraId="641CC131" w14:textId="77777777" w:rsidR="009711C8" w:rsidRDefault="009711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468EF" w14:textId="24152C43" w:rsidR="00AD3606" w:rsidRPr="00512087" w:rsidRDefault="00512087" w:rsidP="0049369C">
    <w:pPr>
      <w:pStyle w:val="Header"/>
    </w:pPr>
    <w:r>
      <w:rPr>
        <w:noProof/>
      </w:rPr>
      <w:drawing>
        <wp:inline distT="0" distB="0" distL="0" distR="0" wp14:anchorId="5B4FCA86" wp14:editId="1FAECDCE">
          <wp:extent cx="5760085" cy="840740"/>
          <wp:effectExtent l="0" t="0" r="0" b="0"/>
          <wp:docPr id="9987911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8791133" name="Picture 998791133"/>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num w:numId="1" w16cid:durableId="13748162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grammar="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228"/>
    <w:rsid w:val="0000239F"/>
    <w:rsid w:val="000210D4"/>
    <w:rsid w:val="000215DF"/>
    <w:rsid w:val="00037AA0"/>
    <w:rsid w:val="00047D26"/>
    <w:rsid w:val="0006007D"/>
    <w:rsid w:val="00063016"/>
    <w:rsid w:val="00066795"/>
    <w:rsid w:val="0007130A"/>
    <w:rsid w:val="00071793"/>
    <w:rsid w:val="000720BA"/>
    <w:rsid w:val="00076AF6"/>
    <w:rsid w:val="00085CF2"/>
    <w:rsid w:val="00087B16"/>
    <w:rsid w:val="000A098E"/>
    <w:rsid w:val="000B1705"/>
    <w:rsid w:val="000B58C6"/>
    <w:rsid w:val="000B7FB3"/>
    <w:rsid w:val="000C0802"/>
    <w:rsid w:val="000C1ED0"/>
    <w:rsid w:val="000D65EA"/>
    <w:rsid w:val="000D75B2"/>
    <w:rsid w:val="000E372C"/>
    <w:rsid w:val="000E3A28"/>
    <w:rsid w:val="000F5DDB"/>
    <w:rsid w:val="000F6FD6"/>
    <w:rsid w:val="00110F95"/>
    <w:rsid w:val="001121F5"/>
    <w:rsid w:val="00133DF1"/>
    <w:rsid w:val="001400DC"/>
    <w:rsid w:val="00140CE1"/>
    <w:rsid w:val="0015189A"/>
    <w:rsid w:val="0016150F"/>
    <w:rsid w:val="0017539C"/>
    <w:rsid w:val="00175AC2"/>
    <w:rsid w:val="0017609F"/>
    <w:rsid w:val="00176F47"/>
    <w:rsid w:val="001810BD"/>
    <w:rsid w:val="00181F66"/>
    <w:rsid w:val="001A0874"/>
    <w:rsid w:val="001A3154"/>
    <w:rsid w:val="001A7D1D"/>
    <w:rsid w:val="001B0B86"/>
    <w:rsid w:val="001B51DD"/>
    <w:rsid w:val="001C628E"/>
    <w:rsid w:val="001D1216"/>
    <w:rsid w:val="001E0F7B"/>
    <w:rsid w:val="001F09C0"/>
    <w:rsid w:val="001F2620"/>
    <w:rsid w:val="001F5569"/>
    <w:rsid w:val="001F5763"/>
    <w:rsid w:val="001F76A6"/>
    <w:rsid w:val="00203F6D"/>
    <w:rsid w:val="0020487B"/>
    <w:rsid w:val="002119FD"/>
    <w:rsid w:val="002130E0"/>
    <w:rsid w:val="0022174C"/>
    <w:rsid w:val="00221F46"/>
    <w:rsid w:val="002343D2"/>
    <w:rsid w:val="00235300"/>
    <w:rsid w:val="0025554F"/>
    <w:rsid w:val="00260696"/>
    <w:rsid w:val="00264425"/>
    <w:rsid w:val="00265875"/>
    <w:rsid w:val="0027016C"/>
    <w:rsid w:val="002721EE"/>
    <w:rsid w:val="0027303B"/>
    <w:rsid w:val="00273286"/>
    <w:rsid w:val="002767BD"/>
    <w:rsid w:val="00277DEA"/>
    <w:rsid w:val="0028109B"/>
    <w:rsid w:val="002916B4"/>
    <w:rsid w:val="002965A3"/>
    <w:rsid w:val="002A0615"/>
    <w:rsid w:val="002A133E"/>
    <w:rsid w:val="002A2188"/>
    <w:rsid w:val="002B1F58"/>
    <w:rsid w:val="002B33B9"/>
    <w:rsid w:val="002B44C5"/>
    <w:rsid w:val="002C1C7A"/>
    <w:rsid w:val="002C244F"/>
    <w:rsid w:val="002C3F32"/>
    <w:rsid w:val="002C54E2"/>
    <w:rsid w:val="002C64B9"/>
    <w:rsid w:val="002E0695"/>
    <w:rsid w:val="002E65EB"/>
    <w:rsid w:val="002F50BF"/>
    <w:rsid w:val="0030160F"/>
    <w:rsid w:val="003070D5"/>
    <w:rsid w:val="003106A5"/>
    <w:rsid w:val="003109FA"/>
    <w:rsid w:val="00320223"/>
    <w:rsid w:val="00322D0D"/>
    <w:rsid w:val="00353CC6"/>
    <w:rsid w:val="00361465"/>
    <w:rsid w:val="00361AA9"/>
    <w:rsid w:val="00372D9C"/>
    <w:rsid w:val="003762F6"/>
    <w:rsid w:val="003772E2"/>
    <w:rsid w:val="003877F5"/>
    <w:rsid w:val="003936D3"/>
    <w:rsid w:val="003942D4"/>
    <w:rsid w:val="003958A8"/>
    <w:rsid w:val="003A39B8"/>
    <w:rsid w:val="003B29C2"/>
    <w:rsid w:val="003B3B66"/>
    <w:rsid w:val="003B4FAF"/>
    <w:rsid w:val="003C00D5"/>
    <w:rsid w:val="003C2533"/>
    <w:rsid w:val="003D5A7F"/>
    <w:rsid w:val="003D7C00"/>
    <w:rsid w:val="003F0228"/>
    <w:rsid w:val="003F0C2F"/>
    <w:rsid w:val="00400CA4"/>
    <w:rsid w:val="004033C0"/>
    <w:rsid w:val="0040435A"/>
    <w:rsid w:val="00405B16"/>
    <w:rsid w:val="00415D80"/>
    <w:rsid w:val="00416A24"/>
    <w:rsid w:val="00430F0E"/>
    <w:rsid w:val="00431D9E"/>
    <w:rsid w:val="00433CE8"/>
    <w:rsid w:val="00434A5C"/>
    <w:rsid w:val="00441E50"/>
    <w:rsid w:val="00451618"/>
    <w:rsid w:val="00453079"/>
    <w:rsid w:val="004544D9"/>
    <w:rsid w:val="0046006F"/>
    <w:rsid w:val="00460B05"/>
    <w:rsid w:val="00472520"/>
    <w:rsid w:val="00472BAD"/>
    <w:rsid w:val="00484009"/>
    <w:rsid w:val="00490E72"/>
    <w:rsid w:val="00491157"/>
    <w:rsid w:val="00491BA9"/>
    <w:rsid w:val="00491BF2"/>
    <w:rsid w:val="004921C8"/>
    <w:rsid w:val="0049369C"/>
    <w:rsid w:val="00495615"/>
    <w:rsid w:val="00495B0B"/>
    <w:rsid w:val="004A1B8B"/>
    <w:rsid w:val="004C795A"/>
    <w:rsid w:val="004D1851"/>
    <w:rsid w:val="004D599D"/>
    <w:rsid w:val="004E2EA5"/>
    <w:rsid w:val="004E3AEB"/>
    <w:rsid w:val="004E53B5"/>
    <w:rsid w:val="004F732F"/>
    <w:rsid w:val="0050223C"/>
    <w:rsid w:val="00502B81"/>
    <w:rsid w:val="005112E9"/>
    <w:rsid w:val="00511742"/>
    <w:rsid w:val="00512087"/>
    <w:rsid w:val="005243FF"/>
    <w:rsid w:val="0053154A"/>
    <w:rsid w:val="00537C4B"/>
    <w:rsid w:val="005464B9"/>
    <w:rsid w:val="0055311C"/>
    <w:rsid w:val="00560D13"/>
    <w:rsid w:val="00564FBC"/>
    <w:rsid w:val="00577CFF"/>
    <w:rsid w:val="005800BC"/>
    <w:rsid w:val="00582442"/>
    <w:rsid w:val="00583026"/>
    <w:rsid w:val="00586409"/>
    <w:rsid w:val="005C4823"/>
    <w:rsid w:val="005C791A"/>
    <w:rsid w:val="005D7B93"/>
    <w:rsid w:val="005E726D"/>
    <w:rsid w:val="005F3269"/>
    <w:rsid w:val="0061071E"/>
    <w:rsid w:val="00623AE3"/>
    <w:rsid w:val="00632D53"/>
    <w:rsid w:val="006413B8"/>
    <w:rsid w:val="00642C08"/>
    <w:rsid w:val="00642EAF"/>
    <w:rsid w:val="00646873"/>
    <w:rsid w:val="0064737F"/>
    <w:rsid w:val="0065006D"/>
    <w:rsid w:val="006535F1"/>
    <w:rsid w:val="0065557D"/>
    <w:rsid w:val="00660D50"/>
    <w:rsid w:val="00662984"/>
    <w:rsid w:val="006666C9"/>
    <w:rsid w:val="006716BB"/>
    <w:rsid w:val="00676F28"/>
    <w:rsid w:val="0068233C"/>
    <w:rsid w:val="00683C61"/>
    <w:rsid w:val="00691952"/>
    <w:rsid w:val="00692E94"/>
    <w:rsid w:val="006A2F4B"/>
    <w:rsid w:val="006A7ECF"/>
    <w:rsid w:val="006B00C5"/>
    <w:rsid w:val="006B1859"/>
    <w:rsid w:val="006B6680"/>
    <w:rsid w:val="006B6DCC"/>
    <w:rsid w:val="006B77F1"/>
    <w:rsid w:val="006C4B54"/>
    <w:rsid w:val="006C7558"/>
    <w:rsid w:val="006C7AD2"/>
    <w:rsid w:val="006F3F48"/>
    <w:rsid w:val="006F6FF7"/>
    <w:rsid w:val="00702DEF"/>
    <w:rsid w:val="00706861"/>
    <w:rsid w:val="00711BEF"/>
    <w:rsid w:val="0071640F"/>
    <w:rsid w:val="00720631"/>
    <w:rsid w:val="00722551"/>
    <w:rsid w:val="00732190"/>
    <w:rsid w:val="0075051B"/>
    <w:rsid w:val="007572E6"/>
    <w:rsid w:val="00765C89"/>
    <w:rsid w:val="0077110E"/>
    <w:rsid w:val="00782287"/>
    <w:rsid w:val="00793188"/>
    <w:rsid w:val="00794545"/>
    <w:rsid w:val="00794D34"/>
    <w:rsid w:val="00796856"/>
    <w:rsid w:val="007A2C45"/>
    <w:rsid w:val="007A3FCD"/>
    <w:rsid w:val="007A7572"/>
    <w:rsid w:val="007B19CF"/>
    <w:rsid w:val="007B2C63"/>
    <w:rsid w:val="007D01AF"/>
    <w:rsid w:val="007D0BC4"/>
    <w:rsid w:val="007E33FC"/>
    <w:rsid w:val="007F307C"/>
    <w:rsid w:val="007F3123"/>
    <w:rsid w:val="00813E5E"/>
    <w:rsid w:val="00820ED8"/>
    <w:rsid w:val="0083488A"/>
    <w:rsid w:val="00834F0F"/>
    <w:rsid w:val="0083581B"/>
    <w:rsid w:val="0084546D"/>
    <w:rsid w:val="008514CF"/>
    <w:rsid w:val="0085163E"/>
    <w:rsid w:val="00863874"/>
    <w:rsid w:val="00864AFF"/>
    <w:rsid w:val="00865925"/>
    <w:rsid w:val="00882143"/>
    <w:rsid w:val="008A5899"/>
    <w:rsid w:val="008A5F55"/>
    <w:rsid w:val="008B219A"/>
    <w:rsid w:val="008B4A6A"/>
    <w:rsid w:val="008C03EB"/>
    <w:rsid w:val="008C3EFB"/>
    <w:rsid w:val="008C7E27"/>
    <w:rsid w:val="008E445D"/>
    <w:rsid w:val="008E6467"/>
    <w:rsid w:val="008E67B3"/>
    <w:rsid w:val="008F26E6"/>
    <w:rsid w:val="008F6C85"/>
    <w:rsid w:val="008F7448"/>
    <w:rsid w:val="0090147A"/>
    <w:rsid w:val="009173EF"/>
    <w:rsid w:val="00932906"/>
    <w:rsid w:val="00935B5E"/>
    <w:rsid w:val="00941EC4"/>
    <w:rsid w:val="00953801"/>
    <w:rsid w:val="00954C49"/>
    <w:rsid w:val="00961B0B"/>
    <w:rsid w:val="00962D33"/>
    <w:rsid w:val="009711C8"/>
    <w:rsid w:val="009842A1"/>
    <w:rsid w:val="00985C7E"/>
    <w:rsid w:val="00993350"/>
    <w:rsid w:val="009A6B71"/>
    <w:rsid w:val="009A76A8"/>
    <w:rsid w:val="009B38C3"/>
    <w:rsid w:val="009B4494"/>
    <w:rsid w:val="009D05E5"/>
    <w:rsid w:val="009E17BD"/>
    <w:rsid w:val="009E485A"/>
    <w:rsid w:val="009F47EB"/>
    <w:rsid w:val="00A03E7F"/>
    <w:rsid w:val="00A04CEC"/>
    <w:rsid w:val="00A076AA"/>
    <w:rsid w:val="00A109AF"/>
    <w:rsid w:val="00A27F92"/>
    <w:rsid w:val="00A32257"/>
    <w:rsid w:val="00A36D20"/>
    <w:rsid w:val="00A514A4"/>
    <w:rsid w:val="00A55622"/>
    <w:rsid w:val="00A56175"/>
    <w:rsid w:val="00A65DB0"/>
    <w:rsid w:val="00A66010"/>
    <w:rsid w:val="00A74117"/>
    <w:rsid w:val="00A83502"/>
    <w:rsid w:val="00A9184F"/>
    <w:rsid w:val="00A94A1C"/>
    <w:rsid w:val="00A94BAB"/>
    <w:rsid w:val="00A96D52"/>
    <w:rsid w:val="00AA5384"/>
    <w:rsid w:val="00AD15B3"/>
    <w:rsid w:val="00AD3606"/>
    <w:rsid w:val="00AD4A3D"/>
    <w:rsid w:val="00AE69FF"/>
    <w:rsid w:val="00AF6E49"/>
    <w:rsid w:val="00B0031A"/>
    <w:rsid w:val="00B04136"/>
    <w:rsid w:val="00B04A67"/>
    <w:rsid w:val="00B05702"/>
    <w:rsid w:val="00B0583C"/>
    <w:rsid w:val="00B343C2"/>
    <w:rsid w:val="00B40A81"/>
    <w:rsid w:val="00B44910"/>
    <w:rsid w:val="00B47736"/>
    <w:rsid w:val="00B50EA1"/>
    <w:rsid w:val="00B52B83"/>
    <w:rsid w:val="00B5540D"/>
    <w:rsid w:val="00B72267"/>
    <w:rsid w:val="00B76EB6"/>
    <w:rsid w:val="00B7737B"/>
    <w:rsid w:val="00B824C8"/>
    <w:rsid w:val="00B84B9D"/>
    <w:rsid w:val="00B912D8"/>
    <w:rsid w:val="00B9131F"/>
    <w:rsid w:val="00BA2CA7"/>
    <w:rsid w:val="00BA3443"/>
    <w:rsid w:val="00BB0646"/>
    <w:rsid w:val="00BB4B74"/>
    <w:rsid w:val="00BC2487"/>
    <w:rsid w:val="00BC251A"/>
    <w:rsid w:val="00BC4A20"/>
    <w:rsid w:val="00BD032B"/>
    <w:rsid w:val="00BD26E6"/>
    <w:rsid w:val="00BD2922"/>
    <w:rsid w:val="00BD37EB"/>
    <w:rsid w:val="00BE01C6"/>
    <w:rsid w:val="00BE2640"/>
    <w:rsid w:val="00BF1FDE"/>
    <w:rsid w:val="00C01189"/>
    <w:rsid w:val="00C0458D"/>
    <w:rsid w:val="00C0610A"/>
    <w:rsid w:val="00C15DEE"/>
    <w:rsid w:val="00C226F5"/>
    <w:rsid w:val="00C3342D"/>
    <w:rsid w:val="00C335AF"/>
    <w:rsid w:val="00C374DE"/>
    <w:rsid w:val="00C46612"/>
    <w:rsid w:val="00C46F1D"/>
    <w:rsid w:val="00C47AD4"/>
    <w:rsid w:val="00C5229B"/>
    <w:rsid w:val="00C52D81"/>
    <w:rsid w:val="00C55198"/>
    <w:rsid w:val="00C61C89"/>
    <w:rsid w:val="00C6520B"/>
    <w:rsid w:val="00C65E93"/>
    <w:rsid w:val="00C869D6"/>
    <w:rsid w:val="00CA2077"/>
    <w:rsid w:val="00CA6393"/>
    <w:rsid w:val="00CA7995"/>
    <w:rsid w:val="00CB18FF"/>
    <w:rsid w:val="00CB2D9B"/>
    <w:rsid w:val="00CC0047"/>
    <w:rsid w:val="00CD0C08"/>
    <w:rsid w:val="00CD17F4"/>
    <w:rsid w:val="00CE03FB"/>
    <w:rsid w:val="00CE433C"/>
    <w:rsid w:val="00CF0161"/>
    <w:rsid w:val="00CF1DED"/>
    <w:rsid w:val="00CF33F3"/>
    <w:rsid w:val="00CF4A2B"/>
    <w:rsid w:val="00CF65C0"/>
    <w:rsid w:val="00D024CA"/>
    <w:rsid w:val="00D06183"/>
    <w:rsid w:val="00D07D21"/>
    <w:rsid w:val="00D22C42"/>
    <w:rsid w:val="00D52FE1"/>
    <w:rsid w:val="00D530ED"/>
    <w:rsid w:val="00D5621F"/>
    <w:rsid w:val="00D63949"/>
    <w:rsid w:val="00D65041"/>
    <w:rsid w:val="00D71332"/>
    <w:rsid w:val="00D73F7D"/>
    <w:rsid w:val="00D7669B"/>
    <w:rsid w:val="00D91D68"/>
    <w:rsid w:val="00D97F69"/>
    <w:rsid w:val="00DA2739"/>
    <w:rsid w:val="00DB0949"/>
    <w:rsid w:val="00DB1936"/>
    <w:rsid w:val="00DB384B"/>
    <w:rsid w:val="00DC17F6"/>
    <w:rsid w:val="00DD386C"/>
    <w:rsid w:val="00DE532B"/>
    <w:rsid w:val="00DF0189"/>
    <w:rsid w:val="00DF0A6D"/>
    <w:rsid w:val="00DF377F"/>
    <w:rsid w:val="00DF5DC8"/>
    <w:rsid w:val="00DF5EEC"/>
    <w:rsid w:val="00DF77F2"/>
    <w:rsid w:val="00E06FD5"/>
    <w:rsid w:val="00E10E80"/>
    <w:rsid w:val="00E124F0"/>
    <w:rsid w:val="00E20ABE"/>
    <w:rsid w:val="00E227F3"/>
    <w:rsid w:val="00E23E28"/>
    <w:rsid w:val="00E242FB"/>
    <w:rsid w:val="00E3639B"/>
    <w:rsid w:val="00E3760E"/>
    <w:rsid w:val="00E37E71"/>
    <w:rsid w:val="00E42E30"/>
    <w:rsid w:val="00E47124"/>
    <w:rsid w:val="00E545C6"/>
    <w:rsid w:val="00E60F04"/>
    <w:rsid w:val="00E65B24"/>
    <w:rsid w:val="00E854E4"/>
    <w:rsid w:val="00E866B7"/>
    <w:rsid w:val="00E866F5"/>
    <w:rsid w:val="00E86DBF"/>
    <w:rsid w:val="00E969AF"/>
    <w:rsid w:val="00E96AD0"/>
    <w:rsid w:val="00EA0EE3"/>
    <w:rsid w:val="00EA6652"/>
    <w:rsid w:val="00EB0D6F"/>
    <w:rsid w:val="00EB2232"/>
    <w:rsid w:val="00EC5337"/>
    <w:rsid w:val="00ED474E"/>
    <w:rsid w:val="00ED5C6F"/>
    <w:rsid w:val="00ED7A1C"/>
    <w:rsid w:val="00EE49E8"/>
    <w:rsid w:val="00EF21FB"/>
    <w:rsid w:val="00F04944"/>
    <w:rsid w:val="00F1018B"/>
    <w:rsid w:val="00F16BAB"/>
    <w:rsid w:val="00F2150A"/>
    <w:rsid w:val="00F231D8"/>
    <w:rsid w:val="00F329D9"/>
    <w:rsid w:val="00F44C00"/>
    <w:rsid w:val="00F45D2C"/>
    <w:rsid w:val="00F46C5F"/>
    <w:rsid w:val="00F4786C"/>
    <w:rsid w:val="00F50F76"/>
    <w:rsid w:val="00F52684"/>
    <w:rsid w:val="00F632C0"/>
    <w:rsid w:val="00F641E1"/>
    <w:rsid w:val="00F7182F"/>
    <w:rsid w:val="00F80A9A"/>
    <w:rsid w:val="00F92386"/>
    <w:rsid w:val="00F94A63"/>
    <w:rsid w:val="00FA1C28"/>
    <w:rsid w:val="00FA35BD"/>
    <w:rsid w:val="00FA50A3"/>
    <w:rsid w:val="00FA7140"/>
    <w:rsid w:val="00FB1279"/>
    <w:rsid w:val="00FB6906"/>
    <w:rsid w:val="00FB6B76"/>
    <w:rsid w:val="00FB7596"/>
    <w:rsid w:val="00FB7816"/>
    <w:rsid w:val="00FC1307"/>
    <w:rsid w:val="00FC2C95"/>
    <w:rsid w:val="00FE4077"/>
    <w:rsid w:val="00FE500D"/>
    <w:rsid w:val="00FE77D2"/>
    <w:rsid w:val="00FF39B1"/>
    <w:rsid w:val="00FF6EA1"/>
    <w:rsid w:val="027C9D53"/>
    <w:rsid w:val="2BD75FCA"/>
    <w:rsid w:val="2C557F23"/>
    <w:rsid w:val="4B1D93CE"/>
    <w:rsid w:val="526E8455"/>
    <w:rsid w:val="593E9343"/>
    <w:rsid w:val="5CFB7477"/>
    <w:rsid w:val="5D4EABB3"/>
    <w:rsid w:val="5EB12115"/>
    <w:rsid w:val="68E62F21"/>
    <w:rsid w:val="6DE56CF4"/>
    <w:rsid w:val="76FD923D"/>
    <w:rsid w:val="79B9B569"/>
    <w:rsid w:val="7B82A5FA"/>
    <w:rsid w:val="7BAFA70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9DA2C7"/>
  <w15:docId w15:val="{C9D21449-2EA2-423F-B963-261CAEA14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54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B9131F"/>
    <w:pPr>
      <w:keepNext/>
      <w:keepLines/>
      <w:spacing w:before="360"/>
      <w:ind w:left="567" w:hanging="567"/>
      <w:outlineLvl w:val="0"/>
    </w:pPr>
    <w:rPr>
      <w:b/>
      <w:sz w:val="28"/>
    </w:rPr>
  </w:style>
  <w:style w:type="paragraph" w:styleId="Heading2">
    <w:name w:val="heading 2"/>
    <w:basedOn w:val="Heading1"/>
    <w:next w:val="Normal"/>
    <w:qFormat/>
    <w:rsid w:val="00B9131F"/>
    <w:pPr>
      <w:spacing w:before="240"/>
      <w:outlineLvl w:val="1"/>
    </w:pPr>
    <w:rPr>
      <w:sz w:val="24"/>
    </w:rPr>
  </w:style>
  <w:style w:type="paragraph" w:styleId="Heading3">
    <w:name w:val="heading 3"/>
    <w:basedOn w:val="Heading1"/>
    <w:next w:val="Normal"/>
    <w:qFormat/>
    <w:rsid w:val="00B9131F"/>
    <w:pPr>
      <w:spacing w:before="200"/>
      <w:outlineLvl w:val="2"/>
    </w:pPr>
    <w:rPr>
      <w:sz w:val="24"/>
    </w:rPr>
  </w:style>
  <w:style w:type="paragraph" w:styleId="Heading4">
    <w:name w:val="heading 4"/>
    <w:basedOn w:val="Heading3"/>
    <w:next w:val="Normal"/>
    <w:qFormat/>
    <w:rsid w:val="00B9131F"/>
    <w:pPr>
      <w:ind w:left="1134" w:hanging="1134"/>
      <w:outlineLvl w:val="3"/>
    </w:pPr>
  </w:style>
  <w:style w:type="paragraph" w:styleId="Heading5">
    <w:name w:val="heading 5"/>
    <w:basedOn w:val="Heading4"/>
    <w:next w:val="Normal"/>
    <w:qFormat/>
    <w:rsid w:val="00B9131F"/>
    <w:pPr>
      <w:outlineLvl w:val="4"/>
    </w:pPr>
  </w:style>
  <w:style w:type="paragraph" w:styleId="Heading6">
    <w:name w:val="heading 6"/>
    <w:basedOn w:val="Heading4"/>
    <w:next w:val="Normal"/>
    <w:qFormat/>
    <w:rsid w:val="00B9131F"/>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B9131F"/>
    <w:pPr>
      <w:ind w:left="1701" w:hanging="1701"/>
      <w:outlineLvl w:val="7"/>
    </w:pPr>
  </w:style>
  <w:style w:type="paragraph" w:styleId="Heading9">
    <w:name w:val="heading 9"/>
    <w:basedOn w:val="Heading4"/>
    <w:next w:val="Normal"/>
    <w:qFormat/>
    <w:rsid w:val="00B9131F"/>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B9131F"/>
    <w:rPr>
      <w:rFonts w:asciiTheme="minorHAnsi" w:hAnsiTheme="minorHAnsi"/>
      <w:sz w:val="24"/>
    </w:rPr>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5800BC"/>
    <w:pPr>
      <w:tabs>
        <w:tab w:val="clear" w:pos="567"/>
        <w:tab w:val="clear" w:pos="1134"/>
        <w:tab w:val="clear" w:pos="1701"/>
        <w:tab w:val="clear" w:pos="2268"/>
        <w:tab w:val="clear" w:pos="2835"/>
      </w:tabs>
      <w:spacing w:before="0"/>
      <w:jc w:val="center"/>
    </w:pPr>
    <w:rPr>
      <w:color w:val="7F7F7F" w:themeColor="text1" w:themeTint="80"/>
      <w:sz w:val="18"/>
    </w:rPr>
  </w:style>
  <w:style w:type="character" w:styleId="FootnoteReference">
    <w:name w:val="footnote reference"/>
    <w:basedOn w:val="DefaultParagraphFont"/>
    <w:rsid w:val="00813E5E"/>
    <w:rPr>
      <w:rFonts w:ascii="Calibri" w:hAnsi="Calibri"/>
      <w:position w:val="6"/>
      <w:sz w:val="16"/>
    </w:rPr>
  </w:style>
  <w:style w:type="paragraph" w:styleId="FootnoteText">
    <w:name w:val="footnote text"/>
    <w:basedOn w:val="Normal"/>
    <w:rsid w:val="00D024CA"/>
    <w:pPr>
      <w:keepLines/>
      <w:tabs>
        <w:tab w:val="left" w:pos="284"/>
      </w:tabs>
      <w:ind w:left="284" w:hanging="284"/>
    </w:pPr>
    <w:rPr>
      <w:sz w:val="22"/>
    </w:rPr>
  </w:style>
  <w:style w:type="paragraph" w:styleId="NormalIndent">
    <w:name w:val="Normal Indent"/>
    <w:basedOn w:val="Normal"/>
    <w:rsid w:val="00813E5E"/>
    <w:pPr>
      <w:ind w:left="567"/>
    </w:pPr>
  </w:style>
  <w:style w:type="paragraph" w:customStyle="1" w:styleId="enumlev1">
    <w:name w:val="enumlev1"/>
    <w:basedOn w:val="Normal"/>
    <w:qFormat/>
    <w:rsid w:val="001A3154"/>
    <w:pPr>
      <w:spacing w:before="80"/>
      <w:ind w:left="567" w:hanging="567"/>
    </w:pPr>
  </w:style>
  <w:style w:type="paragraph" w:customStyle="1" w:styleId="enumlev2">
    <w:name w:val="enumlev2"/>
    <w:basedOn w:val="enumlev1"/>
    <w:qFormat/>
    <w:rsid w:val="001A3154"/>
    <w:pPr>
      <w:ind w:left="1134"/>
    </w:pPr>
  </w:style>
  <w:style w:type="paragraph" w:customStyle="1" w:styleId="enumlev3">
    <w:name w:val="enumlev3"/>
    <w:basedOn w:val="enumlev2"/>
    <w:qFormat/>
    <w:rsid w:val="00813E5E"/>
    <w:pPr>
      <w:ind w:left="1701"/>
    </w:pPr>
  </w:style>
  <w:style w:type="paragraph" w:customStyle="1" w:styleId="Normalaftertitle">
    <w:name w:val="Normal after title"/>
    <w:basedOn w:val="Normal"/>
    <w:next w:val="Normal"/>
    <w:rsid w:val="00813E5E"/>
    <w:pPr>
      <w:spacing w:before="240"/>
    </w:pPr>
  </w:style>
  <w:style w:type="character" w:customStyle="1" w:styleId="HeaderChar">
    <w:name w:val="Header Char"/>
    <w:basedOn w:val="DefaultParagraphFont"/>
    <w:link w:val="Header"/>
    <w:uiPriority w:val="99"/>
    <w:rsid w:val="005800BC"/>
    <w:rPr>
      <w:rFonts w:ascii="Calibri" w:hAnsi="Calibri"/>
      <w:color w:val="7F7F7F" w:themeColor="text1" w:themeTint="80"/>
      <w:sz w:val="18"/>
      <w:lang w:val="en-GB" w:eastAsia="en-US"/>
    </w:r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D91D68"/>
    <w:pPr>
      <w:framePr w:hSpace="181" w:wrap="around" w:vAnchor="page" w:hAnchor="page" w:x="1589" w:y="2314"/>
      <w:spacing w:before="480"/>
    </w:pPr>
    <w:rPr>
      <w:b/>
      <w:sz w:val="34"/>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table" w:styleId="TableGrid">
    <w:name w:val="Table Grid"/>
    <w:basedOn w:val="TableNormal"/>
    <w:uiPriority w:val="39"/>
    <w:rsid w:val="00AD360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B9131F"/>
    <w:rPr>
      <w:color w:val="4F81BD" w:themeColor="accent1"/>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B9131F"/>
    <w:pPr>
      <w:spacing w:before="160"/>
      <w:ind w:left="0" w:firstLine="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2C54E2"/>
    <w:pPr>
      <w:framePr w:wrap="around"/>
      <w:spacing w:before="240"/>
    </w:pPr>
    <w:rPr>
      <w:b w:val="0"/>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qFormat/>
    <w:rsid w:val="00221F46"/>
    <w:pPr>
      <w:keepNext/>
      <w:keepLines/>
      <w:spacing w:before="720"/>
      <w:jc w:val="center"/>
    </w:pPr>
    <w:rPr>
      <w:caps/>
      <w:sz w:val="28"/>
    </w:rPr>
  </w:style>
  <w:style w:type="paragraph" w:customStyle="1" w:styleId="Annextitle">
    <w:name w:val="Annex_title"/>
    <w:basedOn w:val="Normal"/>
    <w:next w:val="Normal"/>
    <w:qFormat/>
    <w:rsid w:val="00221F46"/>
    <w:pPr>
      <w:keepNext/>
      <w:keepLines/>
      <w:spacing w:after="240"/>
      <w:jc w:val="center"/>
    </w:pPr>
    <w:rPr>
      <w:b/>
      <w:sz w:val="28"/>
    </w:rPr>
  </w:style>
  <w:style w:type="paragraph" w:customStyle="1" w:styleId="Annexref">
    <w:name w:val="Annex_ref"/>
    <w:basedOn w:val="Normal"/>
    <w:next w:val="Annextitle"/>
    <w:qFormat/>
    <w:rsid w:val="00221F46"/>
    <w:pPr>
      <w:keepNext/>
      <w:keepLines/>
      <w:jc w:val="center"/>
    </w:pPr>
  </w:style>
  <w:style w:type="paragraph" w:customStyle="1" w:styleId="Call">
    <w:name w:val="Call"/>
    <w:basedOn w:val="Normal"/>
    <w:next w:val="Normal"/>
    <w:qFormat/>
    <w:rsid w:val="00F641E1"/>
    <w:pPr>
      <w:keepNext/>
      <w:keepLines/>
      <w:tabs>
        <w:tab w:val="clear" w:pos="1134"/>
        <w:tab w:val="clear" w:pos="1701"/>
        <w:tab w:val="clear" w:pos="2268"/>
        <w:tab w:val="clear" w:pos="2835"/>
      </w:tabs>
      <w:spacing w:before="160"/>
      <w:ind w:left="567"/>
    </w:pPr>
    <w:rPr>
      <w:i/>
    </w:rPr>
  </w:style>
  <w:style w:type="paragraph" w:customStyle="1" w:styleId="Subtitle">
    <w:name w:val="Sub_title"/>
    <w:basedOn w:val="Title1"/>
    <w:qFormat/>
    <w:rsid w:val="00176F47"/>
    <w:pPr>
      <w:framePr w:wrap="around" w:vAnchor="margin" w:hAnchor="text" w:x="1821" w:y="2317"/>
      <w:spacing w:before="120" w:after="120"/>
    </w:pPr>
    <w:rPr>
      <w:sz w:val="32"/>
      <w:szCs w:val="32"/>
    </w:rPr>
  </w:style>
  <w:style w:type="paragraph" w:customStyle="1" w:styleId="Figure">
    <w:name w:val="Figure"/>
    <w:basedOn w:val="Normal"/>
    <w:next w:val="Figuretitle"/>
    <w:qFormat/>
    <w:rsid w:val="001A3154"/>
    <w:pPr>
      <w:spacing w:after="240"/>
      <w:jc w:val="center"/>
    </w:pPr>
  </w:style>
  <w:style w:type="paragraph" w:customStyle="1" w:styleId="Figuretitle">
    <w:name w:val="Figure_title"/>
    <w:basedOn w:val="Tabletitle"/>
    <w:next w:val="Normalaftertitle"/>
    <w:qFormat/>
    <w:rsid w:val="001A3154"/>
    <w:pPr>
      <w:spacing w:before="120" w:after="0"/>
    </w:pPr>
  </w:style>
  <w:style w:type="paragraph" w:customStyle="1" w:styleId="Tabletitle">
    <w:name w:val="Table_title"/>
    <w:basedOn w:val="TableNo"/>
    <w:next w:val="Tabletext"/>
    <w:rsid w:val="00813E5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813E5E"/>
    <w:pPr>
      <w:keepNext/>
      <w:spacing w:before="560" w:after="120"/>
      <w:jc w:val="center"/>
    </w:pPr>
    <w:rPr>
      <w:caps/>
    </w:rPr>
  </w:style>
  <w:style w:type="paragraph" w:customStyle="1" w:styleId="Tabletext">
    <w:name w:val="Table_text"/>
    <w:basedOn w:val="Normal"/>
    <w:rsid w:val="00813E5E"/>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qFormat/>
    <w:rsid w:val="00B9131F"/>
    <w:pPr>
      <w:spacing w:before="20" w:after="240"/>
    </w:pPr>
    <w:rPr>
      <w:sz w:val="20"/>
    </w:rPr>
  </w:style>
  <w:style w:type="paragraph" w:customStyle="1" w:styleId="FigureNo">
    <w:name w:val="Figure_No"/>
    <w:basedOn w:val="Normal"/>
    <w:next w:val="Figuretitle"/>
    <w:qFormat/>
    <w:rsid w:val="001A3154"/>
    <w:pPr>
      <w:keepNext/>
      <w:keepLines/>
      <w:spacing w:before="480"/>
      <w:jc w:val="center"/>
    </w:pPr>
    <w:rPr>
      <w:caps/>
    </w:rPr>
  </w:style>
  <w:style w:type="paragraph" w:customStyle="1" w:styleId="Figurewithouttitle">
    <w:name w:val="Figure_without_title"/>
    <w:basedOn w:val="Figure"/>
    <w:next w:val="Normalaftertitle"/>
    <w:rsid w:val="001A3154"/>
  </w:style>
  <w:style w:type="paragraph" w:customStyle="1" w:styleId="Headingi">
    <w:name w:val="Heading_i"/>
    <w:basedOn w:val="Heading3"/>
    <w:next w:val="Normal"/>
    <w:rsid w:val="00B9131F"/>
    <w:pPr>
      <w:spacing w:before="160"/>
      <w:ind w:left="0" w:firstLine="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Tablehead">
    <w:name w:val="Table_head"/>
    <w:basedOn w:val="Tabletext"/>
    <w:rsid w:val="00813E5E"/>
    <w:pPr>
      <w:spacing w:before="120" w:after="120"/>
      <w:jc w:val="center"/>
    </w:pPr>
    <w:rPr>
      <w:b/>
    </w:rPr>
  </w:style>
  <w:style w:type="paragraph" w:customStyle="1" w:styleId="Tablelegend">
    <w:name w:val="Table_legend"/>
    <w:basedOn w:val="Tabletext"/>
    <w:rsid w:val="00813E5E"/>
    <w:pPr>
      <w:spacing w:before="120"/>
    </w:p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qFormat/>
    <w:rsid w:val="00F641E1"/>
    <w:pPr>
      <w:keepNext/>
      <w:keepLines/>
      <w:tabs>
        <w:tab w:val="clear" w:pos="567"/>
        <w:tab w:val="clear" w:pos="1134"/>
        <w:tab w:val="clear" w:pos="1701"/>
        <w:tab w:val="clear" w:pos="2268"/>
        <w:tab w:val="clear" w:pos="2835"/>
      </w:tabs>
      <w:spacing w:before="360"/>
      <w:jc w:val="center"/>
    </w:pPr>
    <w:rPr>
      <w:b/>
    </w:rPr>
  </w:style>
  <w:style w:type="paragraph" w:customStyle="1" w:styleId="ArtNo">
    <w:name w:val="Art_No"/>
    <w:basedOn w:val="Normal"/>
    <w:next w:val="Arttitle"/>
    <w:qFormat/>
    <w:rsid w:val="00F641E1"/>
    <w:pPr>
      <w:keepNext/>
      <w:keepLines/>
      <w:tabs>
        <w:tab w:val="clear" w:pos="567"/>
        <w:tab w:val="clear" w:pos="1134"/>
        <w:tab w:val="clear" w:pos="1701"/>
        <w:tab w:val="clear" w:pos="2268"/>
        <w:tab w:val="clear" w:pos="2835"/>
      </w:tabs>
      <w:spacing w:before="480"/>
      <w:jc w:val="center"/>
    </w:pPr>
    <w:rPr>
      <w:caps/>
      <w:sz w:val="28"/>
    </w:rPr>
  </w:style>
  <w:style w:type="paragraph" w:customStyle="1" w:styleId="Arttitle">
    <w:name w:val="Art_title"/>
    <w:basedOn w:val="Normal"/>
    <w:next w:val="Normal"/>
    <w:qFormat/>
    <w:rsid w:val="00F641E1"/>
    <w:pPr>
      <w:keepNext/>
      <w:keepLines/>
      <w:tabs>
        <w:tab w:val="clear" w:pos="567"/>
        <w:tab w:val="clear" w:pos="1134"/>
        <w:tab w:val="clear" w:pos="1701"/>
        <w:tab w:val="clear" w:pos="2268"/>
        <w:tab w:val="clear" w:pos="2835"/>
      </w:tabs>
      <w:spacing w:after="240"/>
      <w:jc w:val="center"/>
    </w:pPr>
    <w:rPr>
      <w:b/>
      <w:sz w:val="28"/>
    </w:rPr>
  </w:style>
  <w:style w:type="paragraph" w:customStyle="1" w:styleId="ChapNo">
    <w:name w:val="Chap_No"/>
    <w:basedOn w:val="ArtNo"/>
    <w:next w:val="Chaptitle"/>
    <w:qFormat/>
    <w:rsid w:val="00813E5E"/>
  </w:style>
  <w:style w:type="paragraph" w:customStyle="1" w:styleId="Chaptitle">
    <w:name w:val="Chap_title"/>
    <w:basedOn w:val="Arttitle"/>
    <w:next w:val="Normal"/>
    <w:qFormat/>
    <w:rsid w:val="001A3154"/>
  </w:style>
  <w:style w:type="character" w:styleId="UnresolvedMention">
    <w:name w:val="Unresolved Mention"/>
    <w:basedOn w:val="DefaultParagraphFont"/>
    <w:uiPriority w:val="99"/>
    <w:semiHidden/>
    <w:unhideWhenUsed/>
    <w:rsid w:val="00BF1FDE"/>
    <w:rPr>
      <w:color w:val="605E5C"/>
      <w:shd w:val="clear" w:color="auto" w:fill="E1DFDD"/>
    </w:rPr>
  </w:style>
  <w:style w:type="character" w:styleId="PlaceholderText">
    <w:name w:val="Placeholder Text"/>
    <w:basedOn w:val="DefaultParagraphFont"/>
    <w:uiPriority w:val="99"/>
    <w:semiHidden/>
    <w:rsid w:val="00CA7995"/>
    <w:rPr>
      <w:color w:val="666666"/>
    </w:rPr>
  </w:style>
  <w:style w:type="paragraph" w:customStyle="1" w:styleId="Reasons">
    <w:name w:val="Reasons"/>
    <w:basedOn w:val="Normal"/>
    <w:qFormat/>
    <w:rsid w:val="007A3FCD"/>
    <w:pPr>
      <w:tabs>
        <w:tab w:val="clear" w:pos="567"/>
        <w:tab w:val="clear" w:pos="1134"/>
        <w:tab w:val="clear" w:pos="1701"/>
        <w:tab w:val="clear" w:pos="2268"/>
        <w:tab w:val="clear" w:pos="2835"/>
      </w:tabs>
      <w:overflowPunct/>
      <w:autoSpaceDE/>
      <w:autoSpaceDN/>
      <w:adjustRightInd/>
      <w:spacing w:before="0"/>
      <w:textAlignment w:val="auto"/>
    </w:pPr>
    <w:rPr>
      <w:rFonts w:ascii="Times New Roman" w:hAnsi="Times New Roman"/>
      <w:lang w:val="en-US"/>
    </w:rPr>
  </w:style>
  <w:style w:type="paragraph" w:styleId="Revision">
    <w:name w:val="Revision"/>
    <w:hidden/>
    <w:uiPriority w:val="99"/>
    <w:semiHidden/>
    <w:rsid w:val="002965A3"/>
    <w:rPr>
      <w:rFonts w:ascii="Calibri" w:hAnsi="Calibri"/>
      <w:sz w:val="24"/>
      <w:lang w:val="en-GB" w:eastAsia="en-US"/>
    </w:rPr>
  </w:style>
  <w:style w:type="paragraph" w:styleId="CommentText">
    <w:name w:val="annotation text"/>
    <w:basedOn w:val="Normal"/>
    <w:link w:val="CommentTextChar"/>
    <w:unhideWhenUsed/>
    <w:rPr>
      <w:sz w:val="20"/>
    </w:rPr>
  </w:style>
  <w:style w:type="character" w:customStyle="1" w:styleId="CommentTextChar">
    <w:name w:val="Comment Text Char"/>
    <w:basedOn w:val="DefaultParagraphFont"/>
    <w:link w:val="CommentText"/>
    <w:rPr>
      <w:rFonts w:ascii="Calibri" w:hAnsi="Calibri"/>
      <w:lang w:val="en-GB" w:eastAsia="en-US"/>
    </w:rPr>
  </w:style>
  <w:style w:type="character" w:styleId="CommentReference">
    <w:name w:val="annotation reference"/>
    <w:basedOn w:val="DefaultParagraphFont"/>
    <w:semiHidden/>
    <w:unhideWhenUsed/>
    <w:rPr>
      <w:sz w:val="16"/>
      <w:szCs w:val="16"/>
    </w:rPr>
  </w:style>
  <w:style w:type="paragraph" w:styleId="CommentSubject">
    <w:name w:val="annotation subject"/>
    <w:basedOn w:val="CommentText"/>
    <w:next w:val="CommentText"/>
    <w:link w:val="CommentSubjectChar"/>
    <w:semiHidden/>
    <w:unhideWhenUsed/>
    <w:rsid w:val="001F2620"/>
    <w:rPr>
      <w:b/>
      <w:bCs/>
    </w:rPr>
  </w:style>
  <w:style w:type="character" w:customStyle="1" w:styleId="CommentSubjectChar">
    <w:name w:val="Comment Subject Char"/>
    <w:basedOn w:val="CommentTextChar"/>
    <w:link w:val="CommentSubject"/>
    <w:semiHidden/>
    <w:rsid w:val="001F2620"/>
    <w:rPr>
      <w:rFonts w:ascii="Calibri" w:hAnsi="Calibri"/>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1"/>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tu.int/en/council/Documents/basic-texts-2023/DEC-005-E.pdf"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tu.int/md/S25-CL-C-0119/en"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tu.int/md/S25-CL-C-0119/en" TargetMode="External"/><Relationship Id="rId5" Type="http://schemas.openxmlformats.org/officeDocument/2006/relationships/numbering" Target="numbering.xml"/><Relationship Id="rId15" Type="http://schemas.openxmlformats.org/officeDocument/2006/relationships/hyperlink" Target="https://www.itu.int/md/S25-CL-C-0064/en"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md/S25-CL-C-0047/en"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14E447ED7B9DA4C9F10BB2808D9DCA9" ma:contentTypeVersion="4" ma:contentTypeDescription="Create a new document." ma:contentTypeScope="" ma:versionID="9be68409d3c2ab4dff34705b6aa0e722">
  <xsd:schema xmlns:xsd="http://www.w3.org/2001/XMLSchema" xmlns:xs="http://www.w3.org/2001/XMLSchema" xmlns:p="http://schemas.microsoft.com/office/2006/metadata/properties" xmlns:ns2="a4c22657-7647-457b-a399-8471255bb166" targetNamespace="http://schemas.microsoft.com/office/2006/metadata/properties" ma:root="true" ma:fieldsID="985c4305570bd1295e0dfd082e17e564" ns2:_="">
    <xsd:import namespace="a4c22657-7647-457b-a399-8471255bb16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TobereviewedatCoC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c22657-7647-457b-a399-8471255bb1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TobereviewedatCoCo" ma:index="11" nillable="true" ma:displayName="CoCo" ma:format="Dropdown" ma:internalName="TobereviewedatCoCo">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obereviewedatCoCo xmlns="a4c22657-7647-457b-a399-8471255bb166">Yes</TobereviewedatCoCo>
  </documentManagement>
</p:properties>
</file>

<file path=customXml/itemProps1.xml><?xml version="1.0" encoding="utf-8"?>
<ds:datastoreItem xmlns:ds="http://schemas.openxmlformats.org/officeDocument/2006/customXml" ds:itemID="{A498F23A-63A6-4386-A898-AEB0FE77792A}">
  <ds:schemaRefs>
    <ds:schemaRef ds:uri="http://schemas.microsoft.com/sharepoint/v3/contenttype/forms"/>
  </ds:schemaRefs>
</ds:datastoreItem>
</file>

<file path=customXml/itemProps2.xml><?xml version="1.0" encoding="utf-8"?>
<ds:datastoreItem xmlns:ds="http://schemas.openxmlformats.org/officeDocument/2006/customXml" ds:itemID="{58BDD211-43B2-4503-B0C9-3C61DCA38D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c22657-7647-457b-a399-8471255bb1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602B4DE-FC73-46C6-BFF6-6457901D364E}">
  <ds:schemaRefs>
    <ds:schemaRef ds:uri="http://schemas.openxmlformats.org/officeDocument/2006/bibliography"/>
  </ds:schemaRefs>
</ds:datastoreItem>
</file>

<file path=customXml/itemProps4.xml><?xml version="1.0" encoding="utf-8"?>
<ds:datastoreItem xmlns:ds="http://schemas.openxmlformats.org/officeDocument/2006/customXml" ds:itemID="{27CA2C9C-8ADA-420B-B73C-479384479E9E}">
  <ds:schemaRefs>
    <ds:schemaRef ds:uri="http://schemas.microsoft.com/office/2006/documentManagement/types"/>
    <ds:schemaRef ds:uri="http://purl.org/dc/dcmitype/"/>
    <ds:schemaRef ds:uri="http://purl.org/dc/terms/"/>
    <ds:schemaRef ds:uri="a4c22657-7647-457b-a399-8471255bb166"/>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1391</Words>
  <Characters>8646</Characters>
  <Application>Microsoft Office Word</Application>
  <DocSecurity>0</DocSecurity>
  <Lines>141</Lines>
  <Paragraphs>55</Paragraphs>
  <ScaleCrop>false</ScaleCrop>
  <HeadingPairs>
    <vt:vector size="2" baseType="variant">
      <vt:variant>
        <vt:lpstr>Title</vt:lpstr>
      </vt:variant>
      <vt:variant>
        <vt:i4>1</vt:i4>
      </vt:variant>
    </vt:vector>
  </HeadingPairs>
  <TitlesOfParts>
    <vt:vector size="1" baseType="lpstr">
      <vt:lpstr>Annual review of revenue and expenses of the implementation of the budget 2026, including the global reduction of the budget 2026-2027</vt:lpstr>
    </vt:vector>
  </TitlesOfParts>
  <Manager>General Secretariat</Manager>
  <Company>International Telecommunication Union (ITU)</Company>
  <LinksUpToDate>false</LinksUpToDate>
  <CharactersWithSpaces>9982</CharactersWithSpaces>
  <SharedDoc>false</SharedDoc>
  <HLinks>
    <vt:vector size="36" baseType="variant">
      <vt:variant>
        <vt:i4>7536698</vt:i4>
      </vt:variant>
      <vt:variant>
        <vt:i4>12</vt:i4>
      </vt:variant>
      <vt:variant>
        <vt:i4>0</vt:i4>
      </vt:variant>
      <vt:variant>
        <vt:i4>5</vt:i4>
      </vt:variant>
      <vt:variant>
        <vt:lpwstr>https://www.itu.int/md/S25-CL-C-0064/en</vt:lpwstr>
      </vt:variant>
      <vt:variant>
        <vt:lpwstr/>
      </vt:variant>
      <vt:variant>
        <vt:i4>7340088</vt:i4>
      </vt:variant>
      <vt:variant>
        <vt:i4>9</vt:i4>
      </vt:variant>
      <vt:variant>
        <vt:i4>0</vt:i4>
      </vt:variant>
      <vt:variant>
        <vt:i4>5</vt:i4>
      </vt:variant>
      <vt:variant>
        <vt:lpwstr>https://www.itu.int/md/S25-CL-C-0047/en</vt:lpwstr>
      </vt:variant>
      <vt:variant>
        <vt:lpwstr/>
      </vt:variant>
      <vt:variant>
        <vt:i4>7209061</vt:i4>
      </vt:variant>
      <vt:variant>
        <vt:i4>6</vt:i4>
      </vt:variant>
      <vt:variant>
        <vt:i4>0</vt:i4>
      </vt:variant>
      <vt:variant>
        <vt:i4>5</vt:i4>
      </vt:variant>
      <vt:variant>
        <vt:lpwstr>https://www.itu.int/en/council/Documents/basic-texts-2023/DEC-005-E.pdf</vt:lpwstr>
      </vt:variant>
      <vt:variant>
        <vt:lpwstr/>
      </vt:variant>
      <vt:variant>
        <vt:i4>8323133</vt:i4>
      </vt:variant>
      <vt:variant>
        <vt:i4>3</vt:i4>
      </vt:variant>
      <vt:variant>
        <vt:i4>0</vt:i4>
      </vt:variant>
      <vt:variant>
        <vt:i4>5</vt:i4>
      </vt:variant>
      <vt:variant>
        <vt:lpwstr>https://www.itu.int/md/S25-CL-C-0119/en</vt:lpwstr>
      </vt:variant>
      <vt:variant>
        <vt:lpwstr/>
      </vt:variant>
      <vt:variant>
        <vt:i4>8323133</vt:i4>
      </vt:variant>
      <vt:variant>
        <vt:i4>0</vt:i4>
      </vt:variant>
      <vt:variant>
        <vt:i4>0</vt:i4>
      </vt:variant>
      <vt:variant>
        <vt:i4>5</vt:i4>
      </vt:variant>
      <vt:variant>
        <vt:lpwstr>https://www.itu.int/md/S25-CL-C-0119/en</vt:lpwstr>
      </vt:variant>
      <vt:variant>
        <vt:lpwstr/>
      </vt:variant>
      <vt:variant>
        <vt:i4>25</vt:i4>
      </vt:variant>
      <vt:variant>
        <vt:i4>3</vt:i4>
      </vt:variant>
      <vt:variant>
        <vt:i4>0</vt:i4>
      </vt:variant>
      <vt:variant>
        <vt:i4>5</vt:i4>
      </vt:variant>
      <vt:variant>
        <vt:lpwstr>https://council.itu.int/2026/en/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review of revenue and expenses of the implementation of the budget 2026, including the global reduction of the budget 2026-2027</dc:title>
  <dc:subject>ITU Council 2026</dc:subject>
  <dc:creator/>
  <cp:keywords>C26; C2026; Council 2026; PP26</cp:keywords>
  <dc:description/>
  <cp:lastModifiedBy>GBS</cp:lastModifiedBy>
  <cp:revision>4</cp:revision>
  <cp:lastPrinted>2000-07-19T16:30:00Z</cp:lastPrinted>
  <dcterms:created xsi:type="dcterms:W3CDTF">2026-03-27T16:43:00Z</dcterms:created>
  <dcterms:modified xsi:type="dcterms:W3CDTF">2026-03-27T16:46:00Z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PE_C08.DOT</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GrammarlyDocumentId">
    <vt:lpwstr>caebc3b039d2086fae139bdca98a6c61c028c4ec16ce6ef236d196610d84ef77</vt:lpwstr>
  </property>
  <property fmtid="{D5CDD505-2E9C-101B-9397-08002B2CF9AE}" pid="9" name="ContentTypeId">
    <vt:lpwstr>0x010100814E447ED7B9DA4C9F10BB2808D9DCA9</vt:lpwstr>
  </property>
  <property fmtid="{D5CDD505-2E9C-101B-9397-08002B2CF9AE}" pid="10" name="docLang">
    <vt:lpwstr>en</vt:lpwstr>
  </property>
</Properties>
</file>