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9421071" w14:textId="77777777" w:rsidTr="004B6E51">
        <w:tc>
          <w:tcPr>
            <w:tcW w:w="6105" w:type="dxa"/>
          </w:tcPr>
          <w:p w14:paraId="7CD5DD5C" w14:textId="2FCA4975" w:rsidR="007B0AA0" w:rsidRPr="007B0AA0" w:rsidRDefault="007B0AA0" w:rsidP="00F363FE">
            <w:pPr>
              <w:spacing w:before="60" w:after="60" w:line="260" w:lineRule="exact"/>
              <w:rPr>
                <w:b/>
                <w:bCs/>
                <w:rtl/>
              </w:rPr>
            </w:pPr>
            <w:r w:rsidRPr="007B0AA0">
              <w:rPr>
                <w:rFonts w:hint="cs"/>
                <w:b/>
                <w:bCs/>
                <w:rtl/>
                <w:lang w:bidi="ar-EG"/>
              </w:rPr>
              <w:t>بند جدول الأعمال:</w:t>
            </w:r>
            <w:r w:rsidR="00391F9C">
              <w:rPr>
                <w:rFonts w:hint="cs"/>
                <w:b/>
                <w:bCs/>
                <w:rtl/>
              </w:rPr>
              <w:t xml:space="preserve"> </w:t>
            </w:r>
            <w:r w:rsidR="00391F9C">
              <w:rPr>
                <w:b/>
              </w:rPr>
              <w:t>ADM 1</w:t>
            </w:r>
          </w:p>
        </w:tc>
        <w:tc>
          <w:tcPr>
            <w:tcW w:w="2966" w:type="dxa"/>
          </w:tcPr>
          <w:p w14:paraId="339A15C6" w14:textId="7AA2BA9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91F9C">
              <w:rPr>
                <w:b/>
                <w:bCs/>
                <w:lang w:bidi="ar-EG"/>
              </w:rPr>
              <w:t>9</w:t>
            </w:r>
            <w:r w:rsidRPr="007B0AA0">
              <w:rPr>
                <w:b/>
                <w:bCs/>
                <w:lang w:bidi="ar-EG"/>
              </w:rPr>
              <w:t>-A</w:t>
            </w:r>
          </w:p>
        </w:tc>
      </w:tr>
      <w:tr w:rsidR="007B0AA0" w14:paraId="7C4B8905" w14:textId="77777777" w:rsidTr="004B6E51">
        <w:tc>
          <w:tcPr>
            <w:tcW w:w="6105" w:type="dxa"/>
          </w:tcPr>
          <w:p w14:paraId="367D8BC7" w14:textId="77777777" w:rsidR="007B0AA0" w:rsidRPr="007B0AA0" w:rsidRDefault="007B0AA0" w:rsidP="00F363FE">
            <w:pPr>
              <w:spacing w:before="60" w:after="60" w:line="260" w:lineRule="exact"/>
              <w:rPr>
                <w:b/>
                <w:bCs/>
                <w:rtl/>
                <w:lang w:bidi="ar-EG"/>
              </w:rPr>
            </w:pPr>
          </w:p>
        </w:tc>
        <w:tc>
          <w:tcPr>
            <w:tcW w:w="2966" w:type="dxa"/>
          </w:tcPr>
          <w:p w14:paraId="09682B23" w14:textId="53FB270A" w:rsidR="007B0AA0" w:rsidRPr="00391F9C" w:rsidRDefault="00391F9C" w:rsidP="00F363FE">
            <w:pPr>
              <w:spacing w:before="60" w:after="60" w:line="260" w:lineRule="exact"/>
              <w:rPr>
                <w:b/>
                <w:bCs/>
              </w:rPr>
            </w:pPr>
            <w:r>
              <w:rPr>
                <w:b/>
                <w:bCs/>
                <w:lang w:bidi="ar-EG"/>
              </w:rPr>
              <w:t>27</w:t>
            </w:r>
            <w:r>
              <w:rPr>
                <w:rFonts w:hint="cs"/>
                <w:b/>
                <w:bCs/>
                <w:rtl/>
              </w:rPr>
              <w:t xml:space="preserve"> مارس </w:t>
            </w:r>
            <w:r>
              <w:rPr>
                <w:b/>
                <w:bCs/>
              </w:rPr>
              <w:t>2026</w:t>
            </w:r>
          </w:p>
        </w:tc>
      </w:tr>
      <w:tr w:rsidR="007B0AA0" w14:paraId="5CFD1366" w14:textId="77777777" w:rsidTr="004B6E51">
        <w:tc>
          <w:tcPr>
            <w:tcW w:w="6105" w:type="dxa"/>
          </w:tcPr>
          <w:p w14:paraId="78D48491" w14:textId="77777777" w:rsidR="007B0AA0" w:rsidRPr="007B0AA0" w:rsidRDefault="007B0AA0" w:rsidP="00F363FE">
            <w:pPr>
              <w:spacing w:before="60" w:after="60" w:line="260" w:lineRule="exact"/>
              <w:rPr>
                <w:b/>
                <w:bCs/>
                <w:rtl/>
                <w:lang w:bidi="ar-EG"/>
              </w:rPr>
            </w:pPr>
          </w:p>
        </w:tc>
        <w:tc>
          <w:tcPr>
            <w:tcW w:w="2966"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4B6E51">
        <w:tc>
          <w:tcPr>
            <w:tcW w:w="6105" w:type="dxa"/>
          </w:tcPr>
          <w:p w14:paraId="73DE253D" w14:textId="77777777" w:rsidR="007B0AA0" w:rsidRDefault="007B0AA0" w:rsidP="00F363FE">
            <w:pPr>
              <w:spacing w:before="60" w:after="60" w:line="260" w:lineRule="exact"/>
              <w:rPr>
                <w:lang w:bidi="ar-EG"/>
              </w:rPr>
            </w:pPr>
          </w:p>
        </w:tc>
        <w:tc>
          <w:tcPr>
            <w:tcW w:w="2966" w:type="dxa"/>
          </w:tcPr>
          <w:p w14:paraId="2C4798A9" w14:textId="77777777" w:rsidR="007B0AA0" w:rsidRDefault="007B0AA0" w:rsidP="00F363FE">
            <w:pPr>
              <w:spacing w:before="60" w:after="60" w:line="260" w:lineRule="exact"/>
              <w:rPr>
                <w:rtl/>
                <w:lang w:bidi="ar-EG"/>
              </w:rPr>
            </w:pPr>
          </w:p>
        </w:tc>
      </w:tr>
      <w:tr w:rsidR="007B0AA0" w14:paraId="174F013B" w14:textId="77777777" w:rsidTr="004B6E51">
        <w:tc>
          <w:tcPr>
            <w:tcW w:w="9071" w:type="dxa"/>
            <w:gridSpan w:val="2"/>
          </w:tcPr>
          <w:p w14:paraId="28CE8EF4"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7BBDF5C" w14:textId="77777777" w:rsidTr="004B6E51">
        <w:tc>
          <w:tcPr>
            <w:tcW w:w="9071" w:type="dxa"/>
            <w:gridSpan w:val="2"/>
            <w:tcBorders>
              <w:bottom w:val="single" w:sz="4" w:space="0" w:color="auto"/>
            </w:tcBorders>
          </w:tcPr>
          <w:p w14:paraId="4CEEFF10" w14:textId="2CF7DC64" w:rsidR="007B0AA0" w:rsidRPr="004B1CD2" w:rsidRDefault="00391F9C" w:rsidP="007B0AA0">
            <w:pPr>
              <w:pStyle w:val="Subtitle0"/>
              <w:rPr>
                <w:spacing w:val="-6"/>
                <w:sz w:val="32"/>
                <w:szCs w:val="32"/>
              </w:rPr>
            </w:pPr>
            <w:r w:rsidRPr="004B1CD2">
              <w:rPr>
                <w:spacing w:val="-6"/>
                <w:sz w:val="32"/>
                <w:szCs w:val="32"/>
                <w:rtl/>
              </w:rPr>
              <w:t xml:space="preserve">الاستعراض السنوي للإيرادات والنفقات لتنفيذ ميزانية 2026، بما في ذلك التخفيض الشامل للميزانية </w:t>
            </w:r>
            <w:r w:rsidRPr="004B1CD2">
              <w:rPr>
                <w:spacing w:val="-6"/>
                <w:sz w:val="32"/>
                <w:szCs w:val="32"/>
              </w:rPr>
              <w:t>2026</w:t>
            </w:r>
            <w:r w:rsidRPr="004B1CD2">
              <w:rPr>
                <w:spacing w:val="-6"/>
                <w:sz w:val="32"/>
                <w:szCs w:val="32"/>
                <w:rtl/>
              </w:rPr>
              <w:t>-</w:t>
            </w:r>
            <w:r w:rsidRPr="004B1CD2">
              <w:rPr>
                <w:spacing w:val="-6"/>
                <w:sz w:val="32"/>
                <w:szCs w:val="32"/>
              </w:rPr>
              <w:t>2027</w:t>
            </w:r>
          </w:p>
        </w:tc>
      </w:tr>
      <w:tr w:rsidR="007B0AA0" w14:paraId="09DC6749" w14:textId="77777777" w:rsidTr="004B6E51">
        <w:tc>
          <w:tcPr>
            <w:tcW w:w="9071"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4FC3B214" w14:textId="6B12A7AE" w:rsidR="00391F9C" w:rsidRDefault="00391F9C" w:rsidP="00391F9C">
            <w:pPr>
              <w:rPr>
                <w:rtl/>
              </w:rPr>
            </w:pPr>
            <w:r>
              <w:rPr>
                <w:rtl/>
              </w:rPr>
              <w:t xml:space="preserve">نظر المجلس في دورته لعام 2025 في ميزانية الاتحاد لفترة السنتين </w:t>
            </w:r>
            <w:r>
              <w:t>2026</w:t>
            </w:r>
            <w:r>
              <w:rPr>
                <w:rtl/>
              </w:rPr>
              <w:t>-</w:t>
            </w:r>
            <w:r>
              <w:t>2027</w:t>
            </w:r>
            <w:r>
              <w:rPr>
                <w:rtl/>
              </w:rPr>
              <w:t xml:space="preserve"> ووافق عليها بموجب </w:t>
            </w:r>
            <w:hyperlink r:id="rId8" w:history="1">
              <w:r w:rsidRPr="00391F9C">
                <w:rPr>
                  <w:rStyle w:val="Hyperlink"/>
                  <w:noProof w:val="0"/>
                  <w:rtl/>
                  <w:lang w:val="en-US" w:eastAsia="zh-CN"/>
                </w:rPr>
                <w:t>القرار 1435</w:t>
              </w:r>
            </w:hyperlink>
            <w:r>
              <w:rPr>
                <w:rtl/>
              </w:rPr>
              <w:t xml:space="preserve"> للمجلس. وتضمنت الميزانية المعتمدة تخفيضاً إجمالياً قدره 6,008 ملايين فرنك سويسري بين مستوى النفقات المعتمدة والإيرادات المتوقعة. ولتقديم ميزانية متوازنة، انعكس هذا النقص من خلال إدراج تخفيض إجمالي مناظر في محفظة النفقات الإجمالية. وعقب المناقشة التي أجريت في اجتماع الفريق </w:t>
            </w:r>
            <w:r>
              <w:t>CWG-FHR</w:t>
            </w:r>
            <w:r>
              <w:rPr>
                <w:rtl/>
              </w:rPr>
              <w:t xml:space="preserve"> في يناير 2026، شرعت الأمانة في تنفيذ التدابير الواردة في هذه الوثيقة.</w:t>
            </w:r>
          </w:p>
          <w:p w14:paraId="21938D72" w14:textId="77777777" w:rsidR="00391F9C" w:rsidRDefault="00391F9C" w:rsidP="00391F9C">
            <w:pPr>
              <w:rPr>
                <w:rtl/>
              </w:rPr>
            </w:pPr>
            <w:r>
              <w:rPr>
                <w:rtl/>
              </w:rPr>
              <w:t>عززت لجنة التنسيق (</w:t>
            </w:r>
            <w:r>
              <w:t>CoCo</w:t>
            </w:r>
            <w:r>
              <w:rPr>
                <w:rtl/>
              </w:rPr>
              <w:t>) دورها الرقابي من خلال إدخال تدابير أكثر صرامة لرصد الميزانية والرقابة عليها، تهدف إلى ضمان التوافق الوثيق بين النفقات والميزانية المعتمدة والتخفيض العالمي المطلوب. ويشمل ذلك تعزيز التدقيق في خطط الإنفاق، وتعزيز رصد تنفيذ الميزانية، واستعراض اتجاهات النفقات بشكل أكثر تواتراً لضمان اتخاذ إجراءات تصحيحية في الوقت المناسب عند الضرورة.</w:t>
            </w:r>
          </w:p>
          <w:p w14:paraId="082D99CF" w14:textId="34A622A2" w:rsidR="007B0AA0" w:rsidRDefault="00391F9C" w:rsidP="00391F9C">
            <w:pPr>
              <w:rPr>
                <w:rtl/>
              </w:rPr>
            </w:pPr>
            <w:r>
              <w:rPr>
                <w:rtl/>
              </w:rPr>
              <w:t>ويرد في الأقسام التالية عرض للتقدم المحرز حتى الآن، إلى جانب التدابير التي يجري تنفيذها.</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53A452A7" w:rsidR="007B0AA0" w:rsidRDefault="00391F9C" w:rsidP="007B0AA0">
            <w:pPr>
              <w:rPr>
                <w:rtl/>
              </w:rPr>
            </w:pPr>
            <w:r w:rsidRPr="00391F9C">
              <w:rPr>
                <w:rtl/>
              </w:rPr>
              <w:t xml:space="preserve">يُدعى المجلس إلى </w:t>
            </w:r>
            <w:r w:rsidRPr="00391F9C">
              <w:rPr>
                <w:b/>
                <w:bCs/>
                <w:rtl/>
              </w:rPr>
              <w:t>الإحاطة علماً</w:t>
            </w:r>
            <w:r w:rsidRPr="00391F9C">
              <w:rPr>
                <w:rtl/>
              </w:rPr>
              <w:t xml:space="preserve"> بهذه الوثيقة.</w:t>
            </w:r>
          </w:p>
          <w:p w14:paraId="03ADEDBB"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4285D3C2" w14:textId="35A070BE" w:rsidR="007B0AA0" w:rsidRDefault="00391F9C" w:rsidP="007B0AA0">
            <w:pPr>
              <w:rPr>
                <w:rtl/>
              </w:rPr>
            </w:pPr>
            <w:r w:rsidRPr="00391F9C">
              <w:rPr>
                <w:rtl/>
              </w:rPr>
              <w:t xml:space="preserve">توفر ميزانية الاتحاد لعام 2026 التمويل اللازم لتحقيق غايتي الاتحاد وأولوياته </w:t>
            </w:r>
            <w:proofErr w:type="spellStart"/>
            <w:r w:rsidRPr="00391F9C">
              <w:rPr>
                <w:rtl/>
              </w:rPr>
              <w:t>المواضيعية</w:t>
            </w:r>
            <w:proofErr w:type="spellEnd"/>
            <w:r w:rsidRPr="00391F9C">
              <w:rPr>
                <w:rtl/>
              </w:rPr>
              <w:t xml:space="preserve"> الخمس.</w:t>
            </w:r>
          </w:p>
          <w:p w14:paraId="2319957E" w14:textId="77777777" w:rsidR="007B0AA0" w:rsidRDefault="007B0AA0" w:rsidP="00B97F32">
            <w:pPr>
              <w:rPr>
                <w:b/>
                <w:bCs/>
              </w:rPr>
            </w:pPr>
            <w:r w:rsidRPr="007B0AA0">
              <w:rPr>
                <w:rFonts w:hint="cs"/>
                <w:b/>
                <w:bCs/>
                <w:rtl/>
              </w:rPr>
              <w:t>الآثار المالية</w:t>
            </w:r>
          </w:p>
          <w:p w14:paraId="2788B859" w14:textId="7AB1B899" w:rsidR="006F363C" w:rsidRPr="005546CF" w:rsidRDefault="00391F9C" w:rsidP="007B0AA0">
            <w:pPr>
              <w:rPr>
                <w:rtl/>
              </w:rPr>
            </w:pPr>
            <w:r w:rsidRPr="00391F9C">
              <w:rPr>
                <w:rtl/>
              </w:rPr>
              <w:t>ستتخذ إدارة الاتحاد جميع التدابير اللازمة لضمان التنفيذ السليم والأمثل لميزانية 2026.</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4237EA4D" w:rsidR="007B0AA0" w:rsidRPr="005546CF" w:rsidRDefault="00391F9C" w:rsidP="00391F9C">
            <w:pPr>
              <w:rPr>
                <w:i/>
                <w:iCs/>
                <w:rtl/>
              </w:rPr>
            </w:pPr>
            <w:r w:rsidRPr="00391F9C">
              <w:rPr>
                <w:i/>
                <w:iCs/>
                <w:rtl/>
              </w:rPr>
              <w:t xml:space="preserve">قرار المجلس </w:t>
            </w:r>
            <w:hyperlink r:id="rId9" w:history="1">
              <w:r w:rsidRPr="00391F9C">
                <w:rPr>
                  <w:rStyle w:val="Hyperlink"/>
                  <w:i/>
                  <w:iCs/>
                  <w:noProof w:val="0"/>
                  <w:rtl/>
                  <w:lang w:val="en-US" w:eastAsia="zh-CN"/>
                </w:rPr>
                <w:t>1435</w:t>
              </w:r>
            </w:hyperlink>
            <w:r w:rsidRPr="00391F9C">
              <w:rPr>
                <w:i/>
                <w:iCs/>
                <w:rtl/>
              </w:rPr>
              <w:t xml:space="preserve"> </w:t>
            </w:r>
            <w:r>
              <w:rPr>
                <w:rFonts w:hint="cs"/>
                <w:i/>
                <w:iCs/>
                <w:rtl/>
              </w:rPr>
              <w:t>-</w:t>
            </w:r>
            <w:r w:rsidRPr="00391F9C">
              <w:rPr>
                <w:i/>
                <w:iCs/>
                <w:rtl/>
              </w:rPr>
              <w:t xml:space="preserve"> (ميزانية الاتحاد لفترة السنتين 2026-2027)</w:t>
            </w:r>
            <w:r>
              <w:rPr>
                <w:rFonts w:hint="cs"/>
                <w:i/>
                <w:iCs/>
                <w:rtl/>
              </w:rPr>
              <w:t>؛</w:t>
            </w:r>
            <w:r w:rsidRPr="00391F9C">
              <w:rPr>
                <w:i/>
                <w:iCs/>
                <w:rtl/>
              </w:rPr>
              <w:t xml:space="preserve"> ‏</w:t>
            </w:r>
            <w:hyperlink r:id="rId10" w:history="1">
              <w:r w:rsidRPr="00391F9C">
                <w:rPr>
                  <w:rStyle w:val="Hyperlink"/>
                  <w:i/>
                  <w:iCs/>
                  <w:noProof w:val="0"/>
                  <w:rtl/>
                  <w:lang w:val="en-US" w:eastAsia="zh-CN"/>
                </w:rPr>
                <w:t xml:space="preserve">المقرر </w:t>
              </w:r>
              <w:r w:rsidRPr="00391F9C">
                <w:rPr>
                  <w:rStyle w:val="Hyperlink"/>
                  <w:i/>
                  <w:iCs/>
                  <w:noProof w:val="0"/>
                  <w:cs/>
                  <w:lang w:val="en-US" w:eastAsia="zh-CN"/>
                </w:rPr>
                <w:t>‎</w:t>
              </w:r>
              <w:r w:rsidRPr="00391F9C">
                <w:rPr>
                  <w:rStyle w:val="Hyperlink"/>
                  <w:i/>
                  <w:iCs/>
                  <w:noProof w:val="0"/>
                  <w:lang w:val="en-US" w:eastAsia="zh-CN"/>
                </w:rPr>
                <w:t>5</w:t>
              </w:r>
              <w:r w:rsidRPr="00391F9C">
                <w:rPr>
                  <w:rStyle w:val="Hyperlink"/>
                  <w:i/>
                  <w:iCs/>
                  <w:noProof w:val="0"/>
                  <w:rtl/>
                  <w:lang w:val="en-US" w:eastAsia="zh-CN"/>
                </w:rPr>
                <w:t xml:space="preserve"> (‏المراجَع في بوخارست، </w:t>
              </w:r>
              <w:r w:rsidRPr="00391F9C">
                <w:rPr>
                  <w:rStyle w:val="Hyperlink"/>
                  <w:i/>
                  <w:iCs/>
                  <w:noProof w:val="0"/>
                  <w:cs/>
                  <w:lang w:val="en-US" w:eastAsia="zh-CN"/>
                </w:rPr>
                <w:t>‎</w:t>
              </w:r>
              <w:r w:rsidRPr="00391F9C">
                <w:rPr>
                  <w:rStyle w:val="Hyperlink"/>
                  <w:i/>
                  <w:iCs/>
                  <w:noProof w:val="0"/>
                  <w:lang w:val="en-US" w:eastAsia="zh-CN"/>
                </w:rPr>
                <w:t>2022</w:t>
              </w:r>
              <w:r w:rsidRPr="00391F9C">
                <w:rPr>
                  <w:rStyle w:val="Hyperlink"/>
                  <w:i/>
                  <w:iCs/>
                  <w:noProof w:val="0"/>
                  <w:rtl/>
                  <w:lang w:val="en-US" w:eastAsia="zh-CN"/>
                </w:rPr>
                <w:t>)</w:t>
              </w:r>
            </w:hyperlink>
            <w:r w:rsidRPr="00391F9C">
              <w:rPr>
                <w:i/>
                <w:iCs/>
                <w:rtl/>
              </w:rPr>
              <w:t xml:space="preserve"> ‏لمؤتمر المندوبين المفوضين</w:t>
            </w:r>
          </w:p>
        </w:tc>
      </w:tr>
    </w:tbl>
    <w:p w14:paraId="41C8B8B1" w14:textId="77777777" w:rsidR="00F50E3F" w:rsidRDefault="00F50E3F" w:rsidP="0043260A">
      <w:pPr>
        <w:rPr>
          <w:rtl/>
          <w:lang w:bidi="ar-EG"/>
        </w:rPr>
      </w:pPr>
      <w:r>
        <w:rPr>
          <w:rtl/>
          <w:lang w:bidi="ar-EG"/>
        </w:rPr>
        <w:br w:type="page"/>
      </w:r>
    </w:p>
    <w:p w14:paraId="21818108" w14:textId="77777777" w:rsidR="00391F9C" w:rsidRPr="00391F9C" w:rsidRDefault="00391F9C" w:rsidP="00391F9C">
      <w:pPr>
        <w:pStyle w:val="Heading1"/>
      </w:pPr>
      <w:bookmarkStart w:id="0" w:name="_Hlk133421428"/>
      <w:r w:rsidRPr="00391F9C">
        <w:rPr>
          <w:rtl/>
        </w:rPr>
        <w:lastRenderedPageBreak/>
        <w:t>1</w:t>
      </w:r>
      <w:r w:rsidRPr="00391F9C">
        <w:rPr>
          <w:rtl/>
        </w:rPr>
        <w:tab/>
        <w:t>معلومات أساسية</w:t>
      </w:r>
    </w:p>
    <w:p w14:paraId="003FE15C" w14:textId="29B7F217" w:rsidR="00391F9C" w:rsidRPr="00391F9C" w:rsidRDefault="00391F9C" w:rsidP="00391F9C">
      <w:r w:rsidRPr="006C2F12">
        <w:rPr>
          <w:rtl/>
        </w:rPr>
        <w:t xml:space="preserve">نظر المجلس في دورته لعام 2025 في مشروع ميزانية الاتحاد لفترة السنتين </w:t>
      </w:r>
      <w:r w:rsidRPr="006C2F12">
        <w:t>2026</w:t>
      </w:r>
      <w:r w:rsidRPr="006C2F12">
        <w:rPr>
          <w:rtl/>
        </w:rPr>
        <w:t>-</w:t>
      </w:r>
      <w:r w:rsidRPr="006C2F12">
        <w:t>2027</w:t>
      </w:r>
      <w:r w:rsidRPr="006C2F12">
        <w:rPr>
          <w:rtl/>
        </w:rPr>
        <w:t xml:space="preserve"> ووافق عليها كما ورد في الوثيقة </w:t>
      </w:r>
      <w:hyperlink r:id="rId11" w:history="1">
        <w:r w:rsidRPr="006C2F12">
          <w:rPr>
            <w:rStyle w:val="Hyperlink"/>
            <w:noProof w:val="0"/>
            <w:rtl/>
            <w:lang w:val="en-US" w:eastAsia="zh-CN"/>
          </w:rPr>
          <w:t>C25/47</w:t>
        </w:r>
      </w:hyperlink>
      <w:r w:rsidRPr="006C2F12">
        <w:rPr>
          <w:rtl/>
        </w:rPr>
        <w:t xml:space="preserve">. وكان مشروع الميزانية متوازناً في البداية استناداً إلى إيرادات تقديرية من استرداد التكاليف بمبلغ 67,592 مليون فرنك سويسري، بما يتماشى مع مقترح من الأمانة في الوثيقة </w:t>
      </w:r>
      <w:hyperlink r:id="rId12" w:history="1">
        <w:r w:rsidRPr="006C2F12">
          <w:rPr>
            <w:rStyle w:val="Hyperlink"/>
            <w:noProof w:val="0"/>
            <w:rtl/>
            <w:lang w:val="en-US" w:eastAsia="zh-CN"/>
          </w:rPr>
          <w:t>C25/64</w:t>
        </w:r>
      </w:hyperlink>
      <w:r w:rsidRPr="006C2F12">
        <w:rPr>
          <w:rtl/>
        </w:rPr>
        <w:t xml:space="preserve"> بشأن زيادة رسوم معالجة بطاقات التبليغ عن الشبكات </w:t>
      </w:r>
      <w:proofErr w:type="spellStart"/>
      <w:r w:rsidRPr="006C2F12">
        <w:rPr>
          <w:rtl/>
        </w:rPr>
        <w:t>الساتلية</w:t>
      </w:r>
      <w:proofErr w:type="spellEnd"/>
      <w:r w:rsidRPr="006C2F12">
        <w:rPr>
          <w:rtl/>
        </w:rPr>
        <w:t xml:space="preserve"> </w:t>
      </w:r>
      <w:r w:rsidRPr="006C2F12">
        <w:t>(SNF)</w:t>
      </w:r>
      <w:r w:rsidRPr="006C2F12">
        <w:rPr>
          <w:rtl/>
        </w:rPr>
        <w:t xml:space="preserve"> لمعالجة أوجه القصور في استرداد التكاليف. وقد نظر في هذه المقترحات إلى جانب تلك التي قدمها فريق الخبراء المعني بالمقرر 482 (EG-Dec482).</w:t>
      </w:r>
      <w:hyperlink r:id="rId13" w:history="1"/>
      <w:hyperlink r:id="rId14" w:history="1"/>
    </w:p>
    <w:p w14:paraId="2DB5248B" w14:textId="58B92C00" w:rsidR="00391F9C" w:rsidRPr="00391F9C" w:rsidRDefault="00391F9C" w:rsidP="00391F9C">
      <w:r w:rsidRPr="00391F9C">
        <w:rPr>
          <w:rtl/>
        </w:rPr>
        <w:t xml:space="preserve">وخلص المجلس إلى أنه على الرغم من أن هناك ما يبرر زيادة رسوم بطاقات التبليغ عن الشبكات </w:t>
      </w:r>
      <w:proofErr w:type="spellStart"/>
      <w:r w:rsidRPr="00391F9C">
        <w:rPr>
          <w:rtl/>
        </w:rPr>
        <w:t>الساتلية</w:t>
      </w:r>
      <w:proofErr w:type="spellEnd"/>
      <w:r w:rsidRPr="00391F9C">
        <w:rPr>
          <w:rtl/>
        </w:rPr>
        <w:t xml:space="preserve">، فإن مبررات التكاليف التي قدمتها الأمانة تتطلب مزيداً من المراجعة. ولذلك كلفت الأمانة بإجراء استعراض شامل للمنهجية المستخدمة لحساب تكاليف </w:t>
      </w:r>
      <w:r w:rsidRPr="00391F9C">
        <w:t>SNF</w:t>
      </w:r>
      <w:r w:rsidRPr="00391F9C">
        <w:rPr>
          <w:rtl/>
        </w:rPr>
        <w:t>، لا</w:t>
      </w:r>
      <w:r w:rsidR="008A60AE">
        <w:rPr>
          <w:rFonts w:hint="cs"/>
          <w:rtl/>
        </w:rPr>
        <w:t> </w:t>
      </w:r>
      <w:r w:rsidRPr="00391F9C">
        <w:rPr>
          <w:rtl/>
        </w:rPr>
        <w:t xml:space="preserve">سيما فيما يتعلق بمعالجة التكاليف غير المباشرة. ورهناً بنتائج هذا الاستعراض، وافق المجلس على زيادة مؤقتة أقل في رسوم بطاقات التبليغ عن الشبكات </w:t>
      </w:r>
      <w:proofErr w:type="spellStart"/>
      <w:r w:rsidRPr="00391F9C">
        <w:rPr>
          <w:rtl/>
        </w:rPr>
        <w:t>الساتلية</w:t>
      </w:r>
      <w:proofErr w:type="spellEnd"/>
      <w:r w:rsidRPr="00391F9C">
        <w:rPr>
          <w:rtl/>
        </w:rPr>
        <w:t xml:space="preserve"> بنسبة 10,6 في </w:t>
      </w:r>
      <w:proofErr w:type="gramStart"/>
      <w:r w:rsidRPr="00391F9C">
        <w:rPr>
          <w:rtl/>
        </w:rPr>
        <w:t>المائة</w:t>
      </w:r>
      <w:proofErr w:type="gramEnd"/>
      <w:r w:rsidRPr="00391F9C">
        <w:rPr>
          <w:rtl/>
        </w:rPr>
        <w:t xml:space="preserve"> أعلى من المقترحات المقدمة من EG-Dec482 للفترة</w:t>
      </w:r>
      <w:r w:rsidR="008A60AE">
        <w:rPr>
          <w:rFonts w:hint="cs"/>
          <w:rtl/>
        </w:rPr>
        <w:t xml:space="preserve"> </w:t>
      </w:r>
      <w:r w:rsidR="008A60AE">
        <w:rPr>
          <w:lang w:val="en-GB"/>
        </w:rPr>
        <w:t>2026</w:t>
      </w:r>
      <w:r w:rsidRPr="00391F9C">
        <w:rPr>
          <w:rtl/>
        </w:rPr>
        <w:t>-</w:t>
      </w:r>
      <w:r w:rsidR="008A60AE">
        <w:t>2027</w:t>
      </w:r>
      <w:r w:rsidRPr="00391F9C">
        <w:rPr>
          <w:rtl/>
        </w:rPr>
        <w:t>.</w:t>
      </w:r>
    </w:p>
    <w:p w14:paraId="1947C317" w14:textId="5FED3585" w:rsidR="00391F9C" w:rsidRPr="00391F9C" w:rsidRDefault="00391F9C" w:rsidP="00391F9C">
      <w:r w:rsidRPr="00391F9C">
        <w:rPr>
          <w:rtl/>
        </w:rPr>
        <w:t xml:space="preserve">ونتيجة لهذه القرارات، وافق المجلس على ميزانية فترة السنتين </w:t>
      </w:r>
      <w:r w:rsidR="008A60AE">
        <w:t>2026</w:t>
      </w:r>
      <w:r w:rsidRPr="00391F9C">
        <w:rPr>
          <w:rtl/>
        </w:rPr>
        <w:t>-</w:t>
      </w:r>
      <w:r w:rsidR="008A60AE">
        <w:t>2027</w:t>
      </w:r>
      <w:r w:rsidRPr="00391F9C">
        <w:rPr>
          <w:rtl/>
        </w:rPr>
        <w:t xml:space="preserve"> بمستوى النفقات الذي اقترحته الأمانة، ولكنه </w:t>
      </w:r>
      <w:r w:rsidRPr="00CD6E4E">
        <w:rPr>
          <w:rtl/>
        </w:rPr>
        <w:t xml:space="preserve">وجه الأمانة </w:t>
      </w:r>
      <w:r w:rsidR="00CD6E4E" w:rsidRPr="004B1CD2">
        <w:rPr>
          <w:rtl/>
        </w:rPr>
        <w:t>ا</w:t>
      </w:r>
      <w:r w:rsidRPr="004B1CD2">
        <w:rPr>
          <w:rtl/>
        </w:rPr>
        <w:t>ستيعاب</w:t>
      </w:r>
      <w:r w:rsidRPr="00391F9C">
        <w:rPr>
          <w:rtl/>
        </w:rPr>
        <w:t xml:space="preserve"> تخفيض بمبلغ 6,008 ملايين فرنك سويسري في تفاصيل النفقات. ولتقديم ميزانية متوازنة، انعكس هذا المبلغ في صورة تخفيض إجمالي في محفظة النفقات المعتمدة. وطلب إلى الأمانة إبلاغ فريق العمل التابع للمجلس والمعني بالموارد المالية والبشرية </w:t>
      </w:r>
      <w:r w:rsidRPr="00391F9C">
        <w:t>(CWG-FHR)</w:t>
      </w:r>
      <w:r w:rsidRPr="00391F9C">
        <w:rPr>
          <w:rtl/>
        </w:rPr>
        <w:t xml:space="preserve"> بالخطوات المتخذة لاستيعاب هذا الانخفاض.</w:t>
      </w:r>
    </w:p>
    <w:p w14:paraId="7113FC01" w14:textId="355485F9" w:rsidR="00391F9C" w:rsidRPr="00391F9C" w:rsidRDefault="00391F9C" w:rsidP="00391F9C">
      <w:r w:rsidRPr="00391F9C">
        <w:rPr>
          <w:rtl/>
        </w:rPr>
        <w:t xml:space="preserve">وعقب المناقشة التي أجريت في اجتماع الفريق </w:t>
      </w:r>
      <w:r w:rsidRPr="00391F9C">
        <w:t>CWG-FHR</w:t>
      </w:r>
      <w:r w:rsidRPr="00391F9C">
        <w:rPr>
          <w:rtl/>
        </w:rPr>
        <w:t xml:space="preserve"> في يناير 2026، شرعت الأمانة في عددٍ من التدابير لتنفيذ التخفيضات المطلوبة. وعلى النحو الموضح أدناه، أدخلت بالفعل تعديلات ملموسة في ميزانية الفترة </w:t>
      </w:r>
      <w:r w:rsidR="00CD6E4E">
        <w:t>2026</w:t>
      </w:r>
      <w:r w:rsidRPr="00391F9C">
        <w:rPr>
          <w:rtl/>
        </w:rPr>
        <w:t>-</w:t>
      </w:r>
      <w:r w:rsidR="00CD6E4E">
        <w:t>2027</w:t>
      </w:r>
      <w:r w:rsidRPr="00391F9C">
        <w:rPr>
          <w:rtl/>
        </w:rPr>
        <w:t>، لا</w:t>
      </w:r>
      <w:r w:rsidR="00CD6E4E">
        <w:rPr>
          <w:rFonts w:hint="cs"/>
          <w:rtl/>
        </w:rPr>
        <w:t> </w:t>
      </w:r>
      <w:r w:rsidRPr="00391F9C">
        <w:rPr>
          <w:rtl/>
        </w:rPr>
        <w:t xml:space="preserve">سيما التخفيضات في نفقات السفر واستخدام اتفاقات الخدمة الخاصة </w:t>
      </w:r>
      <w:r w:rsidRPr="00391F9C">
        <w:t>(SSA)</w:t>
      </w:r>
      <w:r w:rsidRPr="00391F9C">
        <w:rPr>
          <w:rtl/>
        </w:rPr>
        <w:t xml:space="preserve">، والتي تمثل مجتمعة ما يقرب من نصف التخفيض الإجمالي المطلوب. وستواصل الأمانة رصد تنفيذ هذه التدابير خلال فترة السنتين </w:t>
      </w:r>
      <w:r w:rsidR="00CD6E4E">
        <w:t>2026</w:t>
      </w:r>
      <w:r w:rsidRPr="00391F9C">
        <w:rPr>
          <w:rtl/>
        </w:rPr>
        <w:t>-</w:t>
      </w:r>
      <w:r w:rsidR="00CD6E4E">
        <w:t>2027</w:t>
      </w:r>
      <w:r w:rsidRPr="00391F9C">
        <w:rPr>
          <w:rtl/>
        </w:rPr>
        <w:t xml:space="preserve"> وتعديل النفقات حسب الضرورة لضمان تحقيق الوفورات المطلوبة.</w:t>
      </w:r>
    </w:p>
    <w:p w14:paraId="26B7AA7A" w14:textId="5A4CDB00" w:rsidR="00391F9C" w:rsidRPr="00391F9C" w:rsidRDefault="00391F9C" w:rsidP="00391F9C">
      <w:r w:rsidRPr="00391F9C">
        <w:rPr>
          <w:rtl/>
        </w:rPr>
        <w:t xml:space="preserve">وتراقب الأمانة، من خلال لجنة التنسيق </w:t>
      </w:r>
      <w:r w:rsidRPr="00391F9C">
        <w:t>(CoCo)</w:t>
      </w:r>
      <w:r w:rsidRPr="00391F9C">
        <w:rPr>
          <w:rtl/>
        </w:rPr>
        <w:t>، عن كثب، أداء الإيرادات، لا</w:t>
      </w:r>
      <w:r w:rsidR="00CD6E4E">
        <w:rPr>
          <w:rFonts w:hint="eastAsia"/>
          <w:rtl/>
        </w:rPr>
        <w:t> </w:t>
      </w:r>
      <w:r w:rsidRPr="00391F9C">
        <w:rPr>
          <w:rtl/>
        </w:rPr>
        <w:t>سيما في المجالات التي لا</w:t>
      </w:r>
      <w:r w:rsidR="00CD6E4E">
        <w:rPr>
          <w:rFonts w:hint="cs"/>
          <w:rtl/>
        </w:rPr>
        <w:t> </w:t>
      </w:r>
      <w:r w:rsidRPr="00391F9C">
        <w:rPr>
          <w:rtl/>
        </w:rPr>
        <w:t xml:space="preserve">تزال فيها حالة عدم يقين قائمة. وهناك خطر من ألا تتحقق الإيرادات من استرداد تكاليف بطاقات التبليغ عن الشبكات </w:t>
      </w:r>
      <w:proofErr w:type="spellStart"/>
      <w:r w:rsidRPr="00391F9C">
        <w:rPr>
          <w:rtl/>
        </w:rPr>
        <w:t>الساتلية</w:t>
      </w:r>
      <w:proofErr w:type="spellEnd"/>
      <w:r w:rsidRPr="00391F9C">
        <w:rPr>
          <w:rtl/>
        </w:rPr>
        <w:t xml:space="preserve"> بالكامل بمستوى 14,496 مليون فرنك سويسري سنوياً المدرج حالياً في الميزانية. وبالإضافة إلى ذلك، تستعرض الأمانة الإيرادات من المنشورات عن كثب لتحديد فرص معالجة أوجه النقص المحتملة. ولدعم الإدارة الاستباقية لهذه المخاطر، تعد الإدارة العليا تقارير شهرية عن الرصد المالي وتستعرضها.</w:t>
      </w:r>
    </w:p>
    <w:p w14:paraId="6F13C463" w14:textId="77777777" w:rsidR="00391F9C" w:rsidRPr="00391F9C" w:rsidRDefault="00391F9C" w:rsidP="00391F9C">
      <w:r w:rsidRPr="00391F9C">
        <w:rPr>
          <w:rtl/>
        </w:rPr>
        <w:t>وجدير بالذكر أنه في وقت إعداد هذه الوثيقة، لم تكن السنة المالية 2026 قد اكتملت بعد الربع الأول من نهاياتها. ونتيجة لذلك، يستند تقييم الأمانة لتخفيضات النفقات وأداء الإيرادات إلى تدابير التنفيذ الأولية والمراقبة المبكرة. ولذلك، ستزود الأمانة المجلس بمعلومات محدثة عن تنفيذ الميزانية خلال دورة المجلس لعام 2026، بما في ذلك النتائج المالية للربع الأول والتوقعات ذات الصلة للفترة المتبقية من فترة السنتين.</w:t>
      </w:r>
    </w:p>
    <w:p w14:paraId="64620166" w14:textId="496EA4B2" w:rsidR="00391F9C" w:rsidRPr="00391F9C" w:rsidRDefault="00391F9C" w:rsidP="00CD6E4E">
      <w:pPr>
        <w:pStyle w:val="Heading1"/>
      </w:pPr>
      <w:r w:rsidRPr="00391F9C">
        <w:rPr>
          <w:rtl/>
        </w:rPr>
        <w:t>2</w:t>
      </w:r>
      <w:r w:rsidRPr="00391F9C">
        <w:rPr>
          <w:rtl/>
        </w:rPr>
        <w:tab/>
        <w:t xml:space="preserve">نهج لخفض النفقات في ميزانية الفترة </w:t>
      </w:r>
      <w:r w:rsidR="00CD6E4E">
        <w:t>2026</w:t>
      </w:r>
      <w:r w:rsidRPr="00391F9C">
        <w:rPr>
          <w:rtl/>
        </w:rPr>
        <w:t>-</w:t>
      </w:r>
      <w:r w:rsidR="00CD6E4E">
        <w:t>2027</w:t>
      </w:r>
    </w:p>
    <w:p w14:paraId="1EDC9494" w14:textId="5F3523B2" w:rsidR="00391F9C" w:rsidRPr="00391F9C" w:rsidRDefault="00CD6E4E" w:rsidP="00CD6E4E">
      <w:pPr>
        <w:pStyle w:val="Heading2"/>
      </w:pPr>
      <w:r>
        <w:t>1.2</w:t>
      </w:r>
      <w:r w:rsidR="00391F9C" w:rsidRPr="00391F9C">
        <w:rPr>
          <w:rtl/>
        </w:rPr>
        <w:tab/>
        <w:t>تحديد الأولويات والتوحيد من خلال عملية التخطيط التشغيلي</w:t>
      </w:r>
    </w:p>
    <w:p w14:paraId="0F3CA22C" w14:textId="77777777" w:rsidR="00391F9C" w:rsidRPr="00391F9C" w:rsidRDefault="00391F9C" w:rsidP="00391F9C">
      <w:pPr>
        <w:rPr>
          <w:lang w:bidi="ar-EG"/>
        </w:rPr>
      </w:pPr>
      <w:r w:rsidRPr="00391F9C">
        <w:rPr>
          <w:rtl/>
        </w:rPr>
        <w:t>وعقب دورة المجلس لعام 2025، أطلقت الأمانة عملية تخطيط تشغيلي شامل لعام 2026. ومن خلال هذه العملية على مستوى الاتحاد، طلب إلى المكاتب والأمانة العامة، على مستوى الإدارات، تحديد وتوثيق جهود الموظفين والموارد المالية اللازمة لتحقيق المخرجات المخطط لها في عام 2026، بما في ذلك تكاليف الموظفين والسفر والمعدات والمساعدة قصيرة الأجل.</w:t>
      </w:r>
    </w:p>
    <w:p w14:paraId="24263280" w14:textId="77777777" w:rsidR="00391F9C" w:rsidRPr="00391F9C" w:rsidRDefault="00391F9C" w:rsidP="00391F9C">
      <w:r w:rsidRPr="00391F9C">
        <w:rPr>
          <w:rtl/>
        </w:rPr>
        <w:t>وتوفر عملية التخطيط التشغيلي هذه آلية أساسية لمواءمة الموارد مع الأولويات وضمان توجيه موارد الميزانية المحدودة نحو أنشطة الاتحاد الأكثر أهمية. ومن خلال الاستعراض المنهجي للأنشطة المخططة وتخصيص الموارد، يمكن للأمانة تحديد فرص الدمج والتنسيق وتحسين أساليب العمل في الاتحاد ككل.</w:t>
      </w:r>
    </w:p>
    <w:p w14:paraId="686C1B09" w14:textId="6FC9C5B4" w:rsidR="00391F9C" w:rsidRPr="00391F9C" w:rsidRDefault="00391F9C" w:rsidP="00391F9C">
      <w:r w:rsidRPr="00391F9C">
        <w:rPr>
          <w:rtl/>
        </w:rPr>
        <w:lastRenderedPageBreak/>
        <w:t>وقد أسفرت هذه العملية بالفعل عن عدد من تدابير احتواء التكاليف، بما في ذلك تخفيض الأحداث التي تباشرها الأمانة، وتوحيد الخدمات المشتركة، وتحسين تنسيق مسارات العمل بين المكاتب والأمانة العامة. وتسهم هذه الجهود أيضاً في</w:t>
      </w:r>
      <w:r w:rsidR="00CD6E4E">
        <w:rPr>
          <w:rFonts w:hint="cs"/>
          <w:rtl/>
        </w:rPr>
        <w:t> </w:t>
      </w:r>
      <w:r w:rsidRPr="00391F9C">
        <w:rPr>
          <w:rtl/>
        </w:rPr>
        <w:t>خفض تكاليف السفر والخدمات الاستشارية قصيرة الأجل المبينة أدناه.</w:t>
      </w:r>
    </w:p>
    <w:p w14:paraId="16560D80" w14:textId="48AAE836" w:rsidR="00391F9C" w:rsidRPr="00391F9C" w:rsidRDefault="00CD6E4E" w:rsidP="00CD6E4E">
      <w:pPr>
        <w:pStyle w:val="Heading2"/>
      </w:pPr>
      <w:r>
        <w:t>2.2</w:t>
      </w:r>
      <w:r w:rsidR="00391F9C" w:rsidRPr="00391F9C">
        <w:rPr>
          <w:rtl/>
        </w:rPr>
        <w:tab/>
        <w:t>نفقات السفر</w:t>
      </w:r>
    </w:p>
    <w:p w14:paraId="7E50AA2F" w14:textId="77777777" w:rsidR="00391F9C" w:rsidRPr="00391F9C" w:rsidRDefault="00391F9C" w:rsidP="00391F9C">
      <w:r w:rsidRPr="00391F9C">
        <w:rPr>
          <w:rtl/>
        </w:rPr>
        <w:t>يظل سفر الموظفين عنصراً أساسياً في عمل الاتحاد، إذ يمكن الاتحاد من تقديم المساعدة التقنية للدول الأعضاء، وتمثيل الاتحاد في المحافل الدولية الرئيسية، ودعم إدارة الأنشطة الإقليمية، والمشاركة في عمليات الأمم المتحدة ذات الصلة.</w:t>
      </w:r>
    </w:p>
    <w:p w14:paraId="779DC03C" w14:textId="26655A85" w:rsidR="00391F9C" w:rsidRPr="00CD6E4E" w:rsidRDefault="00391F9C" w:rsidP="00391F9C">
      <w:pPr>
        <w:rPr>
          <w:b/>
          <w:bCs/>
        </w:rPr>
      </w:pPr>
      <w:r w:rsidRPr="00391F9C">
        <w:rPr>
          <w:rtl/>
        </w:rPr>
        <w:t xml:space="preserve">ومع ذلك، وفي ضوء القيود الحالية المفروضة على الميزانية وعملية تحديد الأولويات المبينة أعلاه، أدخلت الأمانة تخفيضات في السفر الممول من الميزانية العادية. </w:t>
      </w:r>
      <w:r w:rsidRPr="00CD6E4E">
        <w:rPr>
          <w:b/>
          <w:bCs/>
          <w:rtl/>
        </w:rPr>
        <w:t xml:space="preserve">تتضمن ميزانية فترة السنتين </w:t>
      </w:r>
      <w:r w:rsidR="00CD6E4E" w:rsidRPr="00CD6E4E">
        <w:rPr>
          <w:b/>
          <w:bCs/>
        </w:rPr>
        <w:t>2026</w:t>
      </w:r>
      <w:r w:rsidRPr="00CD6E4E">
        <w:rPr>
          <w:b/>
          <w:bCs/>
          <w:rtl/>
        </w:rPr>
        <w:t>-</w:t>
      </w:r>
      <w:r w:rsidR="00CD6E4E" w:rsidRPr="00CD6E4E">
        <w:rPr>
          <w:b/>
          <w:bCs/>
        </w:rPr>
        <w:t>2027</w:t>
      </w:r>
      <w:r w:rsidRPr="00CD6E4E">
        <w:rPr>
          <w:b/>
          <w:bCs/>
          <w:rtl/>
        </w:rPr>
        <w:t xml:space="preserve"> تخفيضاً في نفقات السفر بحوالي </w:t>
      </w:r>
      <w:r w:rsidR="00CD6E4E" w:rsidRPr="00CD6E4E">
        <w:rPr>
          <w:b/>
          <w:bCs/>
        </w:rPr>
        <w:t>900 000</w:t>
      </w:r>
      <w:r w:rsidRPr="00CD6E4E">
        <w:rPr>
          <w:b/>
          <w:bCs/>
          <w:rtl/>
        </w:rPr>
        <w:t xml:space="preserve"> فرنك سويسري.</w:t>
      </w:r>
    </w:p>
    <w:p w14:paraId="79E4C50A" w14:textId="77777777" w:rsidR="00391F9C" w:rsidRPr="00391F9C" w:rsidRDefault="00391F9C" w:rsidP="00391F9C">
      <w:r w:rsidRPr="00391F9C">
        <w:rPr>
          <w:rtl/>
        </w:rPr>
        <w:t>ويعكس هذا التخفيض إحكام تحديد أولويات البعثات، وزيادة استخدام المشاركة الافتراضية عند الاقتضاء، وتحسين تنسيق السفر عبر الاتحاد. وستواصل الأمانة رصد نفقات السفر خلال فترة السنتين لضمان تحقيق هذه التخفيضات مع الحفاظ على قدرة الاتحاد على الاضطلاع بأنشطته الأساسية.</w:t>
      </w:r>
    </w:p>
    <w:p w14:paraId="58680B97" w14:textId="355DF0E0" w:rsidR="00391F9C" w:rsidRPr="00391F9C" w:rsidRDefault="00CD6E4E" w:rsidP="00CD6E4E">
      <w:pPr>
        <w:pStyle w:val="Heading2"/>
      </w:pPr>
      <w:r>
        <w:t>3.2</w:t>
      </w:r>
      <w:r w:rsidR="00391F9C" w:rsidRPr="00391F9C">
        <w:rPr>
          <w:rtl/>
        </w:rPr>
        <w:tab/>
        <w:t xml:space="preserve">اتفاقات الخدمة الخاصة </w:t>
      </w:r>
      <w:r w:rsidR="00391F9C" w:rsidRPr="00391F9C">
        <w:t>(SSA)</w:t>
      </w:r>
    </w:p>
    <w:p w14:paraId="2A917C8B" w14:textId="7373CBD2" w:rsidR="00391F9C" w:rsidRPr="00391F9C" w:rsidRDefault="00391F9C" w:rsidP="00391F9C">
      <w:r w:rsidRPr="006C2F12">
        <w:rPr>
          <w:rtl/>
        </w:rPr>
        <w:t xml:space="preserve">يستعين الاتحاد بخبراء استشاريين في إطار عقود فردية قصيرة الأجل من خلال اتفاقات الخدمة الخاصة </w:t>
      </w:r>
      <w:r w:rsidRPr="006C2F12">
        <w:t>(SSA)</w:t>
      </w:r>
      <w:r w:rsidRPr="006C2F12">
        <w:rPr>
          <w:rtl/>
        </w:rPr>
        <w:t xml:space="preserve"> لاكتساب الخبرة المتخصصة وتقديم الدعم لمشاريع ومهام محددة لا تتطلب موظفين دائمين.</w:t>
      </w:r>
    </w:p>
    <w:p w14:paraId="2A63AE6C" w14:textId="77777777" w:rsidR="00391F9C" w:rsidRPr="00391F9C" w:rsidRDefault="00391F9C" w:rsidP="00391F9C">
      <w:r w:rsidRPr="00391F9C">
        <w:rPr>
          <w:rtl/>
        </w:rPr>
        <w:t>وعلى الرغم من أن اتفاقات الخدمة الخاصة تظل آلية مهمة لتلبية الاحتياجات المستهدفة بطريقة مرنة وفعالة من حيث التكلفة، فقد حددت الأمانة فرصاً لتعزيز الانضباط في استخدامها وتقليل النفقات الإجمالية في هذا المجال. وعلى وجه الخصوص، أتاحت عملية تحديد الأولويات الموصوفة أعلاه مزيداً من التنسيق للموارد من الموظفين في جميع أنحاء الاتحاد، فضلاً عن تقليل الأحداث التي تطلقها الأمانة وتوحيد الخدمات المشتركة.</w:t>
      </w:r>
    </w:p>
    <w:p w14:paraId="4D273B7A" w14:textId="2ECD5F87" w:rsidR="00391F9C" w:rsidRPr="006C2F12" w:rsidRDefault="00391F9C" w:rsidP="00391F9C">
      <w:pPr>
        <w:rPr>
          <w:b/>
          <w:bCs/>
        </w:rPr>
      </w:pPr>
      <w:r w:rsidRPr="006C2F12">
        <w:rPr>
          <w:b/>
          <w:bCs/>
          <w:rtl/>
        </w:rPr>
        <w:t xml:space="preserve">وفي هذا السياق، تتضمن ميزانية فترة السنتين </w:t>
      </w:r>
      <w:r w:rsidR="006C2F12" w:rsidRPr="006C2F12">
        <w:rPr>
          <w:b/>
          <w:bCs/>
        </w:rPr>
        <w:t>2026</w:t>
      </w:r>
      <w:r w:rsidRPr="006C2F12">
        <w:rPr>
          <w:b/>
          <w:bCs/>
          <w:rtl/>
        </w:rPr>
        <w:t>-</w:t>
      </w:r>
      <w:r w:rsidR="006C2F12" w:rsidRPr="006C2F12">
        <w:rPr>
          <w:b/>
          <w:bCs/>
        </w:rPr>
        <w:t>2027</w:t>
      </w:r>
      <w:r w:rsidRPr="006C2F12">
        <w:rPr>
          <w:b/>
          <w:bCs/>
          <w:rtl/>
        </w:rPr>
        <w:t xml:space="preserve"> تخفيضاً بنحو 2,1 مليون فرنك سويسري في الميزانية المتعلقة باتفاقات الخدمة الخاصة.</w:t>
      </w:r>
    </w:p>
    <w:p w14:paraId="752193C7" w14:textId="1E3E2919" w:rsidR="00391F9C" w:rsidRPr="00391F9C" w:rsidRDefault="006C2F12" w:rsidP="006C2F12">
      <w:pPr>
        <w:pStyle w:val="Heading2"/>
      </w:pPr>
      <w:r>
        <w:t>4.2</w:t>
      </w:r>
      <w:r w:rsidR="00391F9C" w:rsidRPr="00391F9C">
        <w:rPr>
          <w:rtl/>
        </w:rPr>
        <w:tab/>
        <w:t>التوسع في الأتمتة واستخدام أدوات الذكاء الاصطناعي</w:t>
      </w:r>
    </w:p>
    <w:p w14:paraId="242F3F0B" w14:textId="40CF0FCC" w:rsidR="00391F9C" w:rsidRPr="00391F9C" w:rsidRDefault="00391F9C" w:rsidP="00391F9C">
      <w:r w:rsidRPr="00391F9C">
        <w:rPr>
          <w:rtl/>
        </w:rPr>
        <w:t>وبالتوازي مع تخفيضات النفقات الموصوفة أعلاه، تسعى الأمانة إلى تحقيق مكاسب في الكفاءة من خلال التوسع في</w:t>
      </w:r>
      <w:r w:rsidR="006C2F12">
        <w:rPr>
          <w:rFonts w:hint="cs"/>
          <w:rtl/>
        </w:rPr>
        <w:t> </w:t>
      </w:r>
      <w:r w:rsidRPr="00391F9C">
        <w:rPr>
          <w:rtl/>
        </w:rPr>
        <w:t>استخدام الأتمتة والأدوات الرقمية. وعلى وجه الخصوص، يستكشف الاتحاد استخدام تكنولوجيات الترجمة والترجمة الشفوية المؤتمتة والمدعومة بالذكاء الاصطناعي لاستكمال خدمات اللغات الحالية.</w:t>
      </w:r>
    </w:p>
    <w:p w14:paraId="43924550" w14:textId="77777777" w:rsidR="00391F9C" w:rsidRPr="00391F9C" w:rsidRDefault="00391F9C" w:rsidP="00391F9C">
      <w:r w:rsidRPr="00391F9C">
        <w:rPr>
          <w:rtl/>
        </w:rPr>
        <w:t>وإدراكاً للحاجة إلى الحفاظ على جودة الخدمات اللغوية وإمكانية النفاذ إليها، فإن هذه الأدوات تهدف إلى دعم الخبرات البشرية - وليس أن تحل محلها. ومن المتوقع أن يساهم الأخذ بها تدريجياً في تحسين الكفاءة التشغيلية مع دعم أهداف التحول الرقمي الأوسع للاتحاد.</w:t>
      </w:r>
    </w:p>
    <w:p w14:paraId="5D79F05E" w14:textId="77777777" w:rsidR="00391F9C" w:rsidRPr="00391F9C" w:rsidRDefault="00391F9C" w:rsidP="006C2F12">
      <w:pPr>
        <w:pStyle w:val="Heading1"/>
      </w:pPr>
      <w:r w:rsidRPr="00391F9C">
        <w:rPr>
          <w:rtl/>
        </w:rPr>
        <w:t>3</w:t>
      </w:r>
      <w:r w:rsidRPr="00391F9C">
        <w:rPr>
          <w:rtl/>
        </w:rPr>
        <w:tab/>
        <w:t>ميزانية الاتحاد لفترة السنتين 2026-2027</w:t>
      </w:r>
    </w:p>
    <w:p w14:paraId="2A072BFA" w14:textId="16A6FABB" w:rsidR="00391F9C" w:rsidRPr="00391F9C" w:rsidRDefault="00391F9C" w:rsidP="00391F9C">
      <w:r w:rsidRPr="00391F9C">
        <w:rPr>
          <w:rtl/>
        </w:rPr>
        <w:t xml:space="preserve">واستناداً إلى التدابير الموصوفة أعلاه، تمت مراجعة ميزانية الاتحاد لفترة السنتين </w:t>
      </w:r>
      <w:r w:rsidR="006C2F12">
        <w:t>2026</w:t>
      </w:r>
      <w:r w:rsidRPr="00391F9C">
        <w:rPr>
          <w:rtl/>
        </w:rPr>
        <w:t>-</w:t>
      </w:r>
      <w:r w:rsidR="006C2F12">
        <w:t>2027</w:t>
      </w:r>
      <w:r w:rsidRPr="00391F9C">
        <w:rPr>
          <w:rtl/>
        </w:rPr>
        <w:t xml:space="preserve"> لتشمل تخفيضات </w:t>
      </w:r>
      <w:r w:rsidR="00417DC9" w:rsidRPr="00391F9C">
        <w:rPr>
          <w:rtl/>
        </w:rPr>
        <w:t>في</w:t>
      </w:r>
      <w:r w:rsidR="00417DC9">
        <w:rPr>
          <w:rFonts w:hint="cs"/>
          <w:rtl/>
        </w:rPr>
        <w:t> </w:t>
      </w:r>
      <w:r w:rsidRPr="00391F9C">
        <w:rPr>
          <w:rtl/>
        </w:rPr>
        <w:t>نفقات السفر واتفاقات الخدمة الخاصة، ما يمثل حوالي نصف التخفيض المطلوب البالغ 6,008 ملايين فرنك سويسري.</w:t>
      </w:r>
    </w:p>
    <w:p w14:paraId="702EE9E3" w14:textId="78F8586C" w:rsidR="00391F9C" w:rsidRPr="00391F9C" w:rsidRDefault="00391F9C" w:rsidP="00391F9C">
      <w:r w:rsidRPr="00391F9C">
        <w:rPr>
          <w:rtl/>
        </w:rPr>
        <w:t xml:space="preserve">وستستمر معالجة التعديلات المتبقية من خلال عملية التخطيط التشغيلي والرصد المستمر لتنفيذ الميزانية خلال الفترة </w:t>
      </w:r>
      <w:r w:rsidR="006C2F12">
        <w:t>2026</w:t>
      </w:r>
      <w:r w:rsidRPr="00391F9C">
        <w:rPr>
          <w:rtl/>
        </w:rPr>
        <w:t>-</w:t>
      </w:r>
      <w:r w:rsidR="006C2F12">
        <w:t>2027</w:t>
      </w:r>
      <w:r w:rsidRPr="00391F9C">
        <w:rPr>
          <w:rtl/>
        </w:rPr>
        <w:t>. وبالتالي، يجري تدريجياً استيعاب التخفيض العالمي البالغ 6,008 مليون فرنك سويسري من خلال التعديلات المناظرة عبر المكاتب والأمانة العامة مع ضمان استمرار تنفيذ المهام الأساسية للاتحاد.</w:t>
      </w:r>
    </w:p>
    <w:bookmarkEnd w:id="0"/>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5"/>
      <w:headerReference w:type="first" r:id="rId16"/>
      <w:footerReference w:type="first" r:id="rId17"/>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D5A2" w14:textId="77777777" w:rsidR="00C06EA9" w:rsidRDefault="00C06EA9" w:rsidP="006C3242">
      <w:pPr>
        <w:spacing w:before="0" w:line="240" w:lineRule="auto"/>
      </w:pPr>
      <w:r>
        <w:separator/>
      </w:r>
    </w:p>
  </w:endnote>
  <w:endnote w:type="continuationSeparator" w:id="0">
    <w:p w14:paraId="2F3E4F02" w14:textId="77777777" w:rsidR="00C06EA9" w:rsidRDefault="00C06EA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61049A60" w:rsidR="00F50E3F" w:rsidRPr="007B0AA0" w:rsidRDefault="00391F9C"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2600703</w:t>
          </w:r>
        </w:p>
      </w:tc>
      <w:tc>
        <w:tcPr>
          <w:tcW w:w="3912" w:type="pct"/>
        </w:tcPr>
        <w:p w14:paraId="62EE8B15" w14:textId="3C46D741"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91F9C">
            <w:rPr>
              <w:rFonts w:ascii="Calibri" w:hAnsi="Calibri" w:cs="Arial"/>
              <w:bCs/>
              <w:color w:val="7F7F7F"/>
              <w:sz w:val="18"/>
            </w:rPr>
            <w:t>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E019171" w14:textId="0037CA26"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91F9C">
            <w:rPr>
              <w:rFonts w:ascii="Calibri" w:hAnsi="Calibri" w:cs="Arial"/>
              <w:bCs/>
              <w:color w:val="7F7F7F"/>
              <w:sz w:val="18"/>
            </w:rPr>
            <w:t>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05FD" w14:textId="77777777" w:rsidR="00C06EA9" w:rsidRDefault="00C06EA9" w:rsidP="006C3242">
      <w:pPr>
        <w:spacing w:before="0" w:line="240" w:lineRule="auto"/>
      </w:pPr>
      <w:r>
        <w:separator/>
      </w:r>
    </w:p>
  </w:footnote>
  <w:footnote w:type="continuationSeparator" w:id="0">
    <w:p w14:paraId="6DE2E437" w14:textId="77777777" w:rsidR="00C06EA9" w:rsidRDefault="00C06EA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61969">
    <w:abstractNumId w:val="9"/>
  </w:num>
  <w:num w:numId="2" w16cid:durableId="1181236343">
    <w:abstractNumId w:val="7"/>
  </w:num>
  <w:num w:numId="3" w16cid:durableId="400912524">
    <w:abstractNumId w:val="6"/>
  </w:num>
  <w:num w:numId="4" w16cid:durableId="656736914">
    <w:abstractNumId w:val="5"/>
  </w:num>
  <w:num w:numId="5" w16cid:durableId="1593119901">
    <w:abstractNumId w:val="4"/>
  </w:num>
  <w:num w:numId="6" w16cid:durableId="630868750">
    <w:abstractNumId w:val="8"/>
  </w:num>
  <w:num w:numId="7" w16cid:durableId="831138830">
    <w:abstractNumId w:val="3"/>
  </w:num>
  <w:num w:numId="8" w16cid:durableId="703095677">
    <w:abstractNumId w:val="2"/>
  </w:num>
  <w:num w:numId="9" w16cid:durableId="249893151">
    <w:abstractNumId w:val="1"/>
  </w:num>
  <w:num w:numId="10" w16cid:durableId="1218394676">
    <w:abstractNumId w:val="0"/>
  </w:num>
  <w:num w:numId="11" w16cid:durableId="1043140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05A20"/>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91F9C"/>
    <w:rsid w:val="003F4B29"/>
    <w:rsid w:val="00410B26"/>
    <w:rsid w:val="00417DC9"/>
    <w:rsid w:val="00420F8A"/>
    <w:rsid w:val="0042686F"/>
    <w:rsid w:val="004317D8"/>
    <w:rsid w:val="0043260A"/>
    <w:rsid w:val="00434183"/>
    <w:rsid w:val="00443869"/>
    <w:rsid w:val="00447F32"/>
    <w:rsid w:val="00457E06"/>
    <w:rsid w:val="00491BA9"/>
    <w:rsid w:val="00494119"/>
    <w:rsid w:val="004A4701"/>
    <w:rsid w:val="004B1CD2"/>
    <w:rsid w:val="004B6E51"/>
    <w:rsid w:val="004B7334"/>
    <w:rsid w:val="004E11DC"/>
    <w:rsid w:val="00511006"/>
    <w:rsid w:val="005130DE"/>
    <w:rsid w:val="00513157"/>
    <w:rsid w:val="00525DDD"/>
    <w:rsid w:val="005349B2"/>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2F12"/>
    <w:rsid w:val="006C3242"/>
    <w:rsid w:val="006C7CC0"/>
    <w:rsid w:val="006F363C"/>
    <w:rsid w:val="006F63F7"/>
    <w:rsid w:val="007025C7"/>
    <w:rsid w:val="00706D7A"/>
    <w:rsid w:val="007114F8"/>
    <w:rsid w:val="00722F0D"/>
    <w:rsid w:val="00735081"/>
    <w:rsid w:val="0074420E"/>
    <w:rsid w:val="007648A6"/>
    <w:rsid w:val="0077110E"/>
    <w:rsid w:val="00780ADB"/>
    <w:rsid w:val="00783E26"/>
    <w:rsid w:val="007A6684"/>
    <w:rsid w:val="007B0AA0"/>
    <w:rsid w:val="007C3BC7"/>
    <w:rsid w:val="007C3BCD"/>
    <w:rsid w:val="007D4ACF"/>
    <w:rsid w:val="007E2A3E"/>
    <w:rsid w:val="007F0787"/>
    <w:rsid w:val="007F1FF0"/>
    <w:rsid w:val="00810B7B"/>
    <w:rsid w:val="0082358A"/>
    <w:rsid w:val="008235CD"/>
    <w:rsid w:val="008247DE"/>
    <w:rsid w:val="008339C0"/>
    <w:rsid w:val="00840B10"/>
    <w:rsid w:val="008513CB"/>
    <w:rsid w:val="00855EE9"/>
    <w:rsid w:val="00874E9F"/>
    <w:rsid w:val="008A60AE"/>
    <w:rsid w:val="008A7F84"/>
    <w:rsid w:val="0091702E"/>
    <w:rsid w:val="00923B0C"/>
    <w:rsid w:val="00924F46"/>
    <w:rsid w:val="00935AAC"/>
    <w:rsid w:val="0093725D"/>
    <w:rsid w:val="0094021C"/>
    <w:rsid w:val="00952F86"/>
    <w:rsid w:val="0096716C"/>
    <w:rsid w:val="00982B28"/>
    <w:rsid w:val="009868AC"/>
    <w:rsid w:val="009D313F"/>
    <w:rsid w:val="009E0A4D"/>
    <w:rsid w:val="00A47A5A"/>
    <w:rsid w:val="00A63AE6"/>
    <w:rsid w:val="00A6683B"/>
    <w:rsid w:val="00A67F05"/>
    <w:rsid w:val="00A97F94"/>
    <w:rsid w:val="00AA7EA2"/>
    <w:rsid w:val="00AB5A56"/>
    <w:rsid w:val="00B03099"/>
    <w:rsid w:val="00B05BC8"/>
    <w:rsid w:val="00B30F5E"/>
    <w:rsid w:val="00B5256F"/>
    <w:rsid w:val="00B64B47"/>
    <w:rsid w:val="00B95654"/>
    <w:rsid w:val="00B97F32"/>
    <w:rsid w:val="00BA04B2"/>
    <w:rsid w:val="00BA2436"/>
    <w:rsid w:val="00BA2615"/>
    <w:rsid w:val="00C002DE"/>
    <w:rsid w:val="00C039C1"/>
    <w:rsid w:val="00C0602B"/>
    <w:rsid w:val="00C06EA9"/>
    <w:rsid w:val="00C224DA"/>
    <w:rsid w:val="00C53BF8"/>
    <w:rsid w:val="00C66157"/>
    <w:rsid w:val="00C674FE"/>
    <w:rsid w:val="00C67501"/>
    <w:rsid w:val="00C75633"/>
    <w:rsid w:val="00CD6E4E"/>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B0085"/>
    <w:rsid w:val="00DC1E02"/>
    <w:rsid w:val="00DC24B4"/>
    <w:rsid w:val="00DC5FB0"/>
    <w:rsid w:val="00DF16DC"/>
    <w:rsid w:val="00E45211"/>
    <w:rsid w:val="00E469EC"/>
    <w:rsid w:val="00E473C5"/>
    <w:rsid w:val="00E61BE8"/>
    <w:rsid w:val="00E83FF1"/>
    <w:rsid w:val="00E92863"/>
    <w:rsid w:val="00E979B2"/>
    <w:rsid w:val="00EA3BF6"/>
    <w:rsid w:val="00EB2955"/>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6FEA"/>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CD6E4E"/>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9/en" TargetMode="External"/><Relationship Id="rId13" Type="http://schemas.openxmlformats.org/officeDocument/2006/relationships/hyperlink" Target="https://www.itu.int/md/S25-CL-C-0047/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5-CL-C-0064/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47/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council/Documents/basic-texts-2023/DEC-005-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5-CL-C-0119/en" TargetMode="External"/><Relationship Id="rId14" Type="http://schemas.openxmlformats.org/officeDocument/2006/relationships/hyperlink" Target="https://www.itu.int/md/S25-CL-C-006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revenue and expenses of the implementation of the budget 2026, including the global reduction of the Budget 2026-2027</dc:title>
  <dc:subject>ITU Council 2026</dc:subject>
  <dc:creator>GBS</dc:creator>
  <cp:keywords>C26; C2026; Council 2026; PP26</cp:keywords>
  <dc:description/>
  <cp:lastModifiedBy>GBS</cp:lastModifiedBy>
  <cp:revision>2</cp:revision>
  <dcterms:created xsi:type="dcterms:W3CDTF">2026-04-26T12:56:00Z</dcterms:created>
  <dcterms:modified xsi:type="dcterms:W3CDTF">2026-04-26T12:56:00Z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