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5A6E80" w14:paraId="19E46C0B" w14:textId="77777777" w:rsidTr="00796BDB">
        <w:trPr>
          <w:cantSplit/>
          <w:trHeight w:val="23"/>
        </w:trPr>
        <w:tc>
          <w:tcPr>
            <w:tcW w:w="3969" w:type="dxa"/>
            <w:vMerge w:val="restart"/>
            <w:tcMar>
              <w:left w:w="0" w:type="dxa"/>
            </w:tcMar>
          </w:tcPr>
          <w:p w14:paraId="43FE7A15" w14:textId="782529F0" w:rsidR="00D72F49" w:rsidRPr="005A6E80" w:rsidRDefault="00D72F49" w:rsidP="00796BDB">
            <w:pPr>
              <w:tabs>
                <w:tab w:val="left" w:pos="851"/>
              </w:tabs>
              <w:spacing w:before="0" w:line="240" w:lineRule="atLeast"/>
              <w:rPr>
                <w:b/>
              </w:rPr>
            </w:pPr>
            <w:r w:rsidRPr="005A6E80">
              <w:rPr>
                <w:b/>
              </w:rPr>
              <w:t xml:space="preserve">Point de l'ordre du </w:t>
            </w:r>
            <w:proofErr w:type="gramStart"/>
            <w:r w:rsidRPr="005A6E80">
              <w:rPr>
                <w:b/>
              </w:rPr>
              <w:t>jour:</w:t>
            </w:r>
            <w:proofErr w:type="gramEnd"/>
            <w:r w:rsidR="00B34EB6" w:rsidRPr="005A6E80">
              <w:rPr>
                <w:b/>
              </w:rPr>
              <w:t xml:space="preserve"> </w:t>
            </w:r>
            <w:proofErr w:type="spellStart"/>
            <w:r w:rsidR="00B34EB6" w:rsidRPr="005A6E80">
              <w:rPr>
                <w:b/>
              </w:rPr>
              <w:t>PL</w:t>
            </w:r>
            <w:r w:rsidR="005A6E80">
              <w:rPr>
                <w:b/>
              </w:rPr>
              <w:t>-</w:t>
            </w:r>
            <w:r w:rsidR="00B34EB6" w:rsidRPr="005A6E80">
              <w:rPr>
                <w:b/>
              </w:rPr>
              <w:t>2</w:t>
            </w:r>
            <w:proofErr w:type="spellEnd"/>
          </w:p>
        </w:tc>
        <w:tc>
          <w:tcPr>
            <w:tcW w:w="5245" w:type="dxa"/>
          </w:tcPr>
          <w:p w14:paraId="149E59B7" w14:textId="20E0842A" w:rsidR="00D72F49" w:rsidRPr="005A6E80" w:rsidRDefault="00D72F49" w:rsidP="00796BDB">
            <w:pPr>
              <w:tabs>
                <w:tab w:val="left" w:pos="851"/>
              </w:tabs>
              <w:spacing w:before="0" w:line="240" w:lineRule="atLeast"/>
              <w:jc w:val="right"/>
              <w:rPr>
                <w:b/>
              </w:rPr>
            </w:pPr>
            <w:r w:rsidRPr="005A6E80">
              <w:rPr>
                <w:b/>
              </w:rPr>
              <w:t xml:space="preserve">Document </w:t>
            </w:r>
            <w:proofErr w:type="spellStart"/>
            <w:r w:rsidRPr="005A6E80">
              <w:rPr>
                <w:b/>
              </w:rPr>
              <w:t>C2</w:t>
            </w:r>
            <w:r w:rsidR="00E4448E" w:rsidRPr="005A6E80">
              <w:rPr>
                <w:b/>
              </w:rPr>
              <w:t>6</w:t>
            </w:r>
            <w:proofErr w:type="spellEnd"/>
            <w:r w:rsidRPr="005A6E80">
              <w:rPr>
                <w:b/>
              </w:rPr>
              <w:t>/</w:t>
            </w:r>
            <w:r w:rsidR="006F3079" w:rsidRPr="005A6E80">
              <w:rPr>
                <w:b/>
              </w:rPr>
              <w:t>8</w:t>
            </w:r>
            <w:r w:rsidRPr="005A6E80">
              <w:rPr>
                <w:b/>
              </w:rPr>
              <w:t>-F</w:t>
            </w:r>
          </w:p>
        </w:tc>
      </w:tr>
      <w:tr w:rsidR="00D72F49" w:rsidRPr="005A6E80" w14:paraId="2C78A468" w14:textId="77777777" w:rsidTr="00796BDB">
        <w:trPr>
          <w:cantSplit/>
        </w:trPr>
        <w:tc>
          <w:tcPr>
            <w:tcW w:w="3969" w:type="dxa"/>
            <w:vMerge/>
          </w:tcPr>
          <w:p w14:paraId="6B119C10" w14:textId="77777777" w:rsidR="00D72F49" w:rsidRPr="005A6E80" w:rsidRDefault="00D72F49" w:rsidP="00796BDB">
            <w:pPr>
              <w:tabs>
                <w:tab w:val="left" w:pos="851"/>
              </w:tabs>
              <w:spacing w:line="240" w:lineRule="atLeast"/>
              <w:rPr>
                <w:b/>
              </w:rPr>
            </w:pPr>
          </w:p>
        </w:tc>
        <w:tc>
          <w:tcPr>
            <w:tcW w:w="5245" w:type="dxa"/>
          </w:tcPr>
          <w:p w14:paraId="1D9D0940" w14:textId="7DECDE09" w:rsidR="00D72F49" w:rsidRPr="005A6E80" w:rsidRDefault="00B34EB6" w:rsidP="00796BDB">
            <w:pPr>
              <w:tabs>
                <w:tab w:val="left" w:pos="851"/>
              </w:tabs>
              <w:spacing w:before="0"/>
              <w:jc w:val="right"/>
              <w:rPr>
                <w:b/>
              </w:rPr>
            </w:pPr>
            <w:r w:rsidRPr="005A6E80">
              <w:rPr>
                <w:b/>
              </w:rPr>
              <w:t>6 mars 2026</w:t>
            </w:r>
          </w:p>
        </w:tc>
      </w:tr>
      <w:tr w:rsidR="00D72F49" w:rsidRPr="005A6E80" w14:paraId="2165D233" w14:textId="77777777" w:rsidTr="00796BDB">
        <w:trPr>
          <w:cantSplit/>
          <w:trHeight w:val="23"/>
        </w:trPr>
        <w:tc>
          <w:tcPr>
            <w:tcW w:w="3969" w:type="dxa"/>
            <w:vMerge/>
          </w:tcPr>
          <w:p w14:paraId="2B48008D" w14:textId="77777777" w:rsidR="00D72F49" w:rsidRPr="005A6E80" w:rsidRDefault="00D72F49" w:rsidP="00796BDB">
            <w:pPr>
              <w:tabs>
                <w:tab w:val="left" w:pos="851"/>
              </w:tabs>
              <w:spacing w:line="240" w:lineRule="atLeast"/>
              <w:rPr>
                <w:b/>
              </w:rPr>
            </w:pPr>
          </w:p>
        </w:tc>
        <w:tc>
          <w:tcPr>
            <w:tcW w:w="5245" w:type="dxa"/>
          </w:tcPr>
          <w:p w14:paraId="0449E1BD" w14:textId="77777777" w:rsidR="00D72F49" w:rsidRPr="005A6E80" w:rsidRDefault="00D72F49" w:rsidP="00796BDB">
            <w:pPr>
              <w:tabs>
                <w:tab w:val="left" w:pos="851"/>
              </w:tabs>
              <w:spacing w:before="0" w:line="240" w:lineRule="atLeast"/>
              <w:jc w:val="right"/>
              <w:rPr>
                <w:b/>
              </w:rPr>
            </w:pPr>
            <w:proofErr w:type="gramStart"/>
            <w:r w:rsidRPr="005A6E80">
              <w:rPr>
                <w:b/>
              </w:rPr>
              <w:t>Original:</w:t>
            </w:r>
            <w:proofErr w:type="gramEnd"/>
            <w:r w:rsidRPr="005A6E80">
              <w:rPr>
                <w:b/>
              </w:rPr>
              <w:t xml:space="preserve"> anglais</w:t>
            </w:r>
          </w:p>
        </w:tc>
      </w:tr>
      <w:tr w:rsidR="00D72F49" w:rsidRPr="005A6E80" w14:paraId="0E615C0B" w14:textId="77777777" w:rsidTr="00796BDB">
        <w:trPr>
          <w:cantSplit/>
          <w:trHeight w:val="23"/>
        </w:trPr>
        <w:tc>
          <w:tcPr>
            <w:tcW w:w="3969" w:type="dxa"/>
          </w:tcPr>
          <w:p w14:paraId="5A3DAD64" w14:textId="77777777" w:rsidR="00D72F49" w:rsidRPr="005A6E80" w:rsidRDefault="00D72F49" w:rsidP="007728CB">
            <w:pPr>
              <w:tabs>
                <w:tab w:val="left" w:pos="851"/>
              </w:tabs>
              <w:spacing w:before="0" w:line="240" w:lineRule="atLeast"/>
              <w:rPr>
                <w:b/>
              </w:rPr>
            </w:pPr>
          </w:p>
        </w:tc>
        <w:tc>
          <w:tcPr>
            <w:tcW w:w="5245" w:type="dxa"/>
          </w:tcPr>
          <w:p w14:paraId="0B31BE62" w14:textId="77777777" w:rsidR="00D72F49" w:rsidRPr="005A6E80" w:rsidRDefault="00D72F49" w:rsidP="007728CB">
            <w:pPr>
              <w:tabs>
                <w:tab w:val="left" w:pos="851"/>
              </w:tabs>
              <w:spacing w:before="0" w:line="240" w:lineRule="atLeast"/>
              <w:jc w:val="right"/>
              <w:rPr>
                <w:b/>
              </w:rPr>
            </w:pPr>
          </w:p>
        </w:tc>
      </w:tr>
      <w:tr w:rsidR="00B34EB6" w:rsidRPr="005A6E80" w14:paraId="60F3D89A" w14:textId="77777777" w:rsidTr="00796BDB">
        <w:trPr>
          <w:cantSplit/>
        </w:trPr>
        <w:tc>
          <w:tcPr>
            <w:tcW w:w="9214" w:type="dxa"/>
            <w:gridSpan w:val="2"/>
            <w:tcMar>
              <w:left w:w="0" w:type="dxa"/>
            </w:tcMar>
          </w:tcPr>
          <w:p w14:paraId="4814CC71" w14:textId="2D2BE719" w:rsidR="00B34EB6" w:rsidRPr="005A6E80" w:rsidRDefault="00B34EB6" w:rsidP="00FB6B7A">
            <w:pPr>
              <w:pStyle w:val="Source"/>
              <w:rPr>
                <w:sz w:val="34"/>
                <w:szCs w:val="34"/>
              </w:rPr>
            </w:pPr>
            <w:r w:rsidRPr="005A6E80">
              <w:t xml:space="preserve">Rapport de la </w:t>
            </w:r>
            <w:r w:rsidRPr="00FB6B7A">
              <w:t>Présidente</w:t>
            </w:r>
            <w:r w:rsidRPr="005A6E80">
              <w:t xml:space="preserve"> du </w:t>
            </w:r>
            <w:proofErr w:type="spellStart"/>
            <w:r w:rsidRPr="005A6E80">
              <w:t>GTC</w:t>
            </w:r>
            <w:proofErr w:type="spellEnd"/>
            <w:r w:rsidRPr="005A6E80">
              <w:t>-SMSI/ODD</w:t>
            </w:r>
          </w:p>
        </w:tc>
      </w:tr>
      <w:tr w:rsidR="00B34EB6" w:rsidRPr="005A6E80" w14:paraId="1A4FC1D3" w14:textId="77777777" w:rsidTr="007728CB">
        <w:trPr>
          <w:cantSplit/>
        </w:trPr>
        <w:tc>
          <w:tcPr>
            <w:tcW w:w="9214" w:type="dxa"/>
            <w:gridSpan w:val="2"/>
            <w:tcBorders>
              <w:bottom w:val="single" w:sz="4" w:space="0" w:color="auto"/>
            </w:tcBorders>
            <w:tcMar>
              <w:left w:w="0" w:type="dxa"/>
            </w:tcMar>
          </w:tcPr>
          <w:p w14:paraId="05C965B7" w14:textId="12D135D4" w:rsidR="00B34EB6" w:rsidRPr="005A6E80" w:rsidRDefault="0075460C" w:rsidP="00B34EB6">
            <w:pPr>
              <w:pStyle w:val="Subtitle"/>
              <w:framePr w:hSpace="0" w:wrap="auto" w:hAnchor="text" w:xAlign="left" w:yAlign="inline"/>
              <w:rPr>
                <w:szCs w:val="32"/>
                <w:lang w:val="fr-FR"/>
              </w:rPr>
            </w:pPr>
            <w:r w:rsidRPr="005A6E80">
              <w:rPr>
                <w:lang w:val="fr-FR"/>
              </w:rPr>
              <w:t>RAPPORT SUR LES RÉSULTATS DES 43ème ET 44ème RÉUNIONS DU GROUPE DE TRAVAIL DU CONSEIL SUR LE SMSI ET LES ODD</w:t>
            </w:r>
          </w:p>
        </w:tc>
      </w:tr>
      <w:tr w:rsidR="00D72F49" w:rsidRPr="005A6E80" w14:paraId="7A2BF9FF" w14:textId="77777777" w:rsidTr="007728CB">
        <w:trPr>
          <w:cantSplit/>
        </w:trPr>
        <w:tc>
          <w:tcPr>
            <w:tcW w:w="9214" w:type="dxa"/>
            <w:gridSpan w:val="2"/>
            <w:tcBorders>
              <w:top w:val="single" w:sz="4" w:space="0" w:color="auto"/>
            </w:tcBorders>
            <w:tcMar>
              <w:left w:w="0" w:type="dxa"/>
            </w:tcMar>
          </w:tcPr>
          <w:p w14:paraId="00CB72CE" w14:textId="77777777" w:rsidR="00D72F49" w:rsidRPr="005A6E80" w:rsidRDefault="00F37FE5" w:rsidP="00796BDB">
            <w:pPr>
              <w:spacing w:before="160"/>
              <w:rPr>
                <w:b/>
                <w:bCs/>
                <w:sz w:val="26"/>
                <w:szCs w:val="26"/>
              </w:rPr>
            </w:pPr>
            <w:r w:rsidRPr="005A6E80">
              <w:rPr>
                <w:b/>
                <w:bCs/>
                <w:sz w:val="26"/>
                <w:szCs w:val="26"/>
              </w:rPr>
              <w:t>Objet</w:t>
            </w:r>
          </w:p>
          <w:p w14:paraId="17FFF053" w14:textId="03D6D6DE" w:rsidR="00D72F49" w:rsidRPr="005A6E80" w:rsidRDefault="00B34EB6" w:rsidP="00C96AA5">
            <w:pPr>
              <w:spacing w:before="100"/>
              <w:jc w:val="both"/>
            </w:pPr>
            <w:r w:rsidRPr="005A6E80">
              <w:t>Le présent rapport contient un résumé des principaux résultats des 43ème et 44ème réunions du Groupe de travail du Conseil (</w:t>
            </w:r>
            <w:proofErr w:type="spellStart"/>
            <w:r w:rsidRPr="005A6E80">
              <w:t>GTC</w:t>
            </w:r>
            <w:proofErr w:type="spellEnd"/>
            <w:r w:rsidRPr="005A6E80">
              <w:t>) sur le Sommet mondial sur la société de l'information (SMSI) et les Objectifs de développement durable (ODD) (</w:t>
            </w:r>
            <w:proofErr w:type="spellStart"/>
            <w:r w:rsidRPr="005A6E80">
              <w:t>GTC</w:t>
            </w:r>
            <w:proofErr w:type="spellEnd"/>
            <w:r w:rsidRPr="005A6E80">
              <w:t xml:space="preserve">-SMSI/ODD), tenues conformément à la Résolution </w:t>
            </w:r>
            <w:hyperlink r:id="rId8" w:history="1">
              <w:r w:rsidRPr="00290D15">
                <w:rPr>
                  <w:rStyle w:val="Hyperlink"/>
                  <w:rFonts w:eastAsia="Times New Roman" w:cs="Times New Roman"/>
                  <w:szCs w:val="20"/>
                </w:rPr>
                <w:t>140 (Rév. Bucarest, 2022)</w:t>
              </w:r>
            </w:hyperlink>
            <w:r w:rsidRPr="005A6E80">
              <w:t xml:space="preserve"> de la Conférence de plénipotentiaires et aux Résolutions </w:t>
            </w:r>
            <w:hyperlink r:id="rId9" w:history="1">
              <w:r w:rsidRPr="00290D15">
                <w:rPr>
                  <w:rStyle w:val="Hyperlink"/>
                  <w:rFonts w:eastAsia="Times New Roman" w:cs="Times New Roman"/>
                  <w:szCs w:val="20"/>
                </w:rPr>
                <w:t>1332 (modifiée en 2024)</w:t>
              </w:r>
            </w:hyperlink>
            <w:r w:rsidRPr="005A6E80">
              <w:t xml:space="preserve"> et </w:t>
            </w:r>
            <w:hyperlink r:id="rId10" w:history="1">
              <w:r w:rsidRPr="00290D15">
                <w:rPr>
                  <w:rStyle w:val="Hyperlink"/>
                  <w:rFonts w:eastAsia="Times New Roman" w:cs="Times New Roman"/>
                  <w:szCs w:val="20"/>
                </w:rPr>
                <w:t>1334 (modifiée en 2023)</w:t>
              </w:r>
            </w:hyperlink>
            <w:r w:rsidRPr="005A6E80">
              <w:t xml:space="preserve"> du Conseil de l'UIT.</w:t>
            </w:r>
          </w:p>
          <w:p w14:paraId="50B36F6D" w14:textId="77777777" w:rsidR="00D72F49" w:rsidRPr="005A6E80" w:rsidRDefault="00D72F49" w:rsidP="00796BDB">
            <w:pPr>
              <w:spacing w:before="160"/>
              <w:rPr>
                <w:b/>
                <w:bCs/>
                <w:sz w:val="26"/>
                <w:szCs w:val="26"/>
              </w:rPr>
            </w:pPr>
            <w:proofErr w:type="gramStart"/>
            <w:r w:rsidRPr="005A6E80">
              <w:rPr>
                <w:b/>
                <w:bCs/>
                <w:sz w:val="26"/>
                <w:szCs w:val="26"/>
              </w:rPr>
              <w:t>Suite à</w:t>
            </w:r>
            <w:proofErr w:type="gramEnd"/>
            <w:r w:rsidRPr="005A6E80">
              <w:rPr>
                <w:b/>
                <w:bCs/>
                <w:sz w:val="26"/>
                <w:szCs w:val="26"/>
              </w:rPr>
              <w:t xml:space="preserve"> donner par le Conseil</w:t>
            </w:r>
          </w:p>
          <w:p w14:paraId="0EC694AF" w14:textId="47CD9AD4" w:rsidR="00D72F49" w:rsidRPr="005A6E80" w:rsidRDefault="00B34EB6" w:rsidP="00C96AA5">
            <w:pPr>
              <w:spacing w:before="100"/>
            </w:pPr>
            <w:r w:rsidRPr="005A6E80">
              <w:t xml:space="preserve">Le Conseil est invité à </w:t>
            </w:r>
            <w:r w:rsidRPr="005A6E80">
              <w:rPr>
                <w:b/>
                <w:bCs/>
              </w:rPr>
              <w:t>prendre note</w:t>
            </w:r>
            <w:r w:rsidRPr="005A6E80">
              <w:t xml:space="preserve"> du présent document.</w:t>
            </w:r>
          </w:p>
          <w:p w14:paraId="7342C4E7" w14:textId="77777777" w:rsidR="00D72F49" w:rsidRPr="005A6E80" w:rsidRDefault="00D72F49" w:rsidP="00796BDB">
            <w:pPr>
              <w:spacing w:before="160"/>
              <w:rPr>
                <w:b/>
                <w:bCs/>
                <w:sz w:val="26"/>
                <w:szCs w:val="26"/>
              </w:rPr>
            </w:pPr>
            <w:r w:rsidRPr="005A6E80">
              <w:rPr>
                <w:b/>
                <w:bCs/>
                <w:sz w:val="26"/>
                <w:szCs w:val="26"/>
              </w:rPr>
              <w:t xml:space="preserve">Lien(s) pertinent(s) avec le </w:t>
            </w:r>
            <w:r w:rsidR="00F37FE5" w:rsidRPr="005A6E80">
              <w:rPr>
                <w:b/>
                <w:bCs/>
                <w:sz w:val="26"/>
                <w:szCs w:val="26"/>
              </w:rPr>
              <w:t>p</w:t>
            </w:r>
            <w:r w:rsidRPr="005A6E80">
              <w:rPr>
                <w:b/>
                <w:bCs/>
                <w:sz w:val="26"/>
                <w:szCs w:val="26"/>
              </w:rPr>
              <w:t>lan stratégique</w:t>
            </w:r>
          </w:p>
          <w:p w14:paraId="6388CF1F" w14:textId="450595FF" w:rsidR="00D72F49" w:rsidRPr="005A6E80" w:rsidRDefault="00B34EB6" w:rsidP="00C96AA5">
            <w:pPr>
              <w:spacing w:before="100"/>
            </w:pPr>
            <w:r w:rsidRPr="005A6E80">
              <w:t>Plates-formes fédératrices, partenariats et coopération internationale.</w:t>
            </w:r>
          </w:p>
          <w:p w14:paraId="127EC62F" w14:textId="77777777" w:rsidR="00E95647" w:rsidRPr="005A6E80" w:rsidRDefault="00D72F49" w:rsidP="00796BDB">
            <w:pPr>
              <w:spacing w:before="160"/>
              <w:rPr>
                <w:b/>
                <w:bCs/>
                <w:sz w:val="26"/>
                <w:szCs w:val="26"/>
              </w:rPr>
            </w:pPr>
            <w:r w:rsidRPr="005A6E80">
              <w:rPr>
                <w:b/>
                <w:bCs/>
                <w:sz w:val="26"/>
                <w:szCs w:val="26"/>
              </w:rPr>
              <w:t>Incidences financières</w:t>
            </w:r>
          </w:p>
          <w:p w14:paraId="2485BE76" w14:textId="5CF670CB" w:rsidR="00D72F49" w:rsidRPr="005A6E80" w:rsidRDefault="00B34EB6" w:rsidP="00C96AA5">
            <w:pPr>
              <w:spacing w:before="100"/>
              <w:rPr>
                <w:szCs w:val="24"/>
              </w:rPr>
            </w:pPr>
            <w:r w:rsidRPr="005A6E80">
              <w:rPr>
                <w:szCs w:val="24"/>
              </w:rPr>
              <w:t>Dans les limites du budget alloué pour 2025-2026.</w:t>
            </w:r>
          </w:p>
          <w:p w14:paraId="39E86FFC" w14:textId="77777777" w:rsidR="00D72F49" w:rsidRPr="005A6E80" w:rsidRDefault="00D72F49" w:rsidP="007728CB">
            <w:pPr>
              <w:spacing w:before="0"/>
              <w:rPr>
                <w:caps/>
                <w:sz w:val="22"/>
              </w:rPr>
            </w:pPr>
            <w:r w:rsidRPr="005A6E80">
              <w:rPr>
                <w:sz w:val="22"/>
              </w:rPr>
              <w:t>__________________</w:t>
            </w:r>
          </w:p>
          <w:p w14:paraId="251CFC74" w14:textId="77777777" w:rsidR="00D72F49" w:rsidRPr="005A6E80" w:rsidRDefault="00D72F49" w:rsidP="007728CB">
            <w:pPr>
              <w:rPr>
                <w:b/>
                <w:bCs/>
                <w:sz w:val="26"/>
                <w:szCs w:val="26"/>
              </w:rPr>
            </w:pPr>
            <w:r w:rsidRPr="005A6E80">
              <w:rPr>
                <w:b/>
                <w:bCs/>
                <w:sz w:val="26"/>
                <w:szCs w:val="26"/>
              </w:rPr>
              <w:t>Références</w:t>
            </w:r>
          </w:p>
          <w:p w14:paraId="640DA2D0" w14:textId="4FDBA06C" w:rsidR="00D72F49" w:rsidRPr="003227E9" w:rsidRDefault="00B34EB6" w:rsidP="00C96AA5">
            <w:pPr>
              <w:pStyle w:val="Referencetext"/>
              <w:framePr w:hSpace="0" w:wrap="auto" w:vAnchor="margin" w:hAnchor="text" w:xAlign="left" w:yAlign="inline"/>
              <w:spacing w:after="120"/>
              <w:jc w:val="both"/>
            </w:pPr>
            <w:hyperlink r:id="rId11" w:anchor="/fr" w:history="1">
              <w:r w:rsidRPr="003227E9">
                <w:rPr>
                  <w:rStyle w:val="Hyperlink"/>
                  <w:rFonts w:eastAsia="Times New Roman" w:cs="Times New Roman"/>
                </w:rPr>
                <w:t xml:space="preserve">Site web du </w:t>
              </w:r>
              <w:proofErr w:type="spellStart"/>
              <w:r w:rsidRPr="003227E9">
                <w:rPr>
                  <w:rStyle w:val="Hyperlink"/>
                  <w:rFonts w:eastAsia="Times New Roman" w:cs="Times New Roman"/>
                </w:rPr>
                <w:t>GTC</w:t>
              </w:r>
              <w:proofErr w:type="spellEnd"/>
              <w:r w:rsidRPr="003227E9">
                <w:rPr>
                  <w:rStyle w:val="Hyperlink"/>
                  <w:rFonts w:eastAsia="Times New Roman" w:cs="Times New Roman"/>
                </w:rPr>
                <w:t>-SMSI/ODD</w:t>
              </w:r>
            </w:hyperlink>
            <w:r w:rsidRPr="003227E9">
              <w:t xml:space="preserve">; Résolutions </w:t>
            </w:r>
            <w:hyperlink r:id="rId12" w:history="1">
              <w:r w:rsidRPr="003227E9">
                <w:rPr>
                  <w:rStyle w:val="Hyperlink"/>
                  <w:rFonts w:eastAsia="Times New Roman" w:cs="Times New Roman"/>
                </w:rPr>
                <w:t>A/RES/70/125</w:t>
              </w:r>
            </w:hyperlink>
            <w:r w:rsidRPr="003227E9">
              <w:t xml:space="preserve">, </w:t>
            </w:r>
            <w:hyperlink r:id="rId13" w:history="1">
              <w:r w:rsidRPr="003227E9">
                <w:rPr>
                  <w:rStyle w:val="Hyperlink"/>
                  <w:rFonts w:eastAsia="Times New Roman" w:cs="Times New Roman"/>
                </w:rPr>
                <w:t>A/RES/70/1</w:t>
              </w:r>
            </w:hyperlink>
            <w:r w:rsidRPr="003227E9">
              <w:t xml:space="preserve">, </w:t>
            </w:r>
            <w:hyperlink r:id="rId14" w:history="1">
              <w:r w:rsidRPr="003227E9">
                <w:rPr>
                  <w:rStyle w:val="Hyperlink"/>
                  <w:rFonts w:eastAsia="Times New Roman" w:cs="Times New Roman"/>
                </w:rPr>
                <w:t>A/RES/77/150</w:t>
              </w:r>
            </w:hyperlink>
            <w:r w:rsidRPr="003227E9">
              <w:t xml:space="preserve">, </w:t>
            </w:r>
            <w:hyperlink r:id="rId15" w:history="1">
              <w:r w:rsidR="00D94226">
                <w:rPr>
                  <w:rStyle w:val="Hyperlink"/>
                  <w:rFonts w:eastAsia="Times New Roman" w:cs="Times New Roman"/>
                </w:rPr>
                <w:t>A/RES/71/212</w:t>
              </w:r>
            </w:hyperlink>
            <w:r w:rsidRPr="003227E9">
              <w:t xml:space="preserve">, </w:t>
            </w:r>
            <w:hyperlink r:id="rId16" w:history="1">
              <w:r w:rsidR="00D94226">
                <w:rPr>
                  <w:rStyle w:val="Hyperlink"/>
                  <w:rFonts w:eastAsia="Times New Roman" w:cs="Times New Roman"/>
                </w:rPr>
                <w:t>A/RES/70/299</w:t>
              </w:r>
            </w:hyperlink>
            <w:r w:rsidRPr="003227E9">
              <w:t xml:space="preserve">, </w:t>
            </w:r>
            <w:hyperlink r:id="rId17" w:history="1">
              <w:r w:rsidRPr="003227E9">
                <w:rPr>
                  <w:rStyle w:val="Hyperlink"/>
                  <w:rFonts w:eastAsia="Times New Roman" w:cs="Times New Roman"/>
                </w:rPr>
                <w:t>A/70/684</w:t>
              </w:r>
            </w:hyperlink>
            <w:r w:rsidRPr="003227E9">
              <w:t xml:space="preserve">, </w:t>
            </w:r>
            <w:hyperlink r:id="rId18" w:history="1">
              <w:r w:rsidRPr="003227E9">
                <w:rPr>
                  <w:rStyle w:val="Hyperlink"/>
                  <w:rFonts w:eastAsia="Times New Roman" w:cs="Times New Roman"/>
                </w:rPr>
                <w:t>A/RES/73/218</w:t>
              </w:r>
            </w:hyperlink>
            <w:r w:rsidRPr="003227E9">
              <w:t xml:space="preserve"> et </w:t>
            </w:r>
            <w:hyperlink r:id="rId19" w:history="1">
              <w:r w:rsidRPr="003227E9">
                <w:rPr>
                  <w:rStyle w:val="Hyperlink"/>
                  <w:rFonts w:eastAsia="Times New Roman" w:cs="Times New Roman"/>
                </w:rPr>
                <w:t>A/RES/80/173</w:t>
              </w:r>
            </w:hyperlink>
            <w:r w:rsidRPr="003227E9">
              <w:t xml:space="preserve"> de l'</w:t>
            </w:r>
            <w:proofErr w:type="spellStart"/>
            <w:r w:rsidR="00F45304">
              <w:t>AG</w:t>
            </w:r>
            <w:r w:rsidRPr="003227E9">
              <w:t>NU</w:t>
            </w:r>
            <w:proofErr w:type="spellEnd"/>
            <w:r w:rsidRPr="003227E9">
              <w:t xml:space="preserve">; Résolution </w:t>
            </w:r>
            <w:hyperlink r:id="rId20" w:history="1">
              <w:r w:rsidRPr="003227E9">
                <w:rPr>
                  <w:rStyle w:val="Hyperlink"/>
                  <w:rFonts w:eastAsia="Times New Roman" w:cs="Times New Roman"/>
                </w:rPr>
                <w:t>E/RES/2025/18</w:t>
              </w:r>
            </w:hyperlink>
            <w:r w:rsidRPr="003227E9">
              <w:t xml:space="preserve"> du Conseil économique et social de l'ONU; Résolutions </w:t>
            </w:r>
            <w:hyperlink r:id="rId21" w:history="1">
              <w:r w:rsidRPr="00290D15">
                <w:rPr>
                  <w:rStyle w:val="Hyperlink"/>
                  <w:rFonts w:eastAsia="Times New Roman" w:cs="Times New Roman"/>
                </w:rPr>
                <w:t>140 (Rév.</w:t>
              </w:r>
              <w:r w:rsidR="009152B6" w:rsidRPr="00290D15">
                <w:rPr>
                  <w:rStyle w:val="Hyperlink"/>
                  <w:rFonts w:eastAsia="Times New Roman" w:cs="Times New Roman"/>
                </w:rPr>
                <w:t> </w:t>
              </w:r>
              <w:r w:rsidRPr="00290D15">
                <w:rPr>
                  <w:rStyle w:val="Hyperlink"/>
                  <w:rFonts w:eastAsia="Times New Roman" w:cs="Times New Roman"/>
                </w:rPr>
                <w:t>Bucarest,</w:t>
              </w:r>
              <w:r w:rsidR="009152B6" w:rsidRPr="00290D15">
                <w:rPr>
                  <w:rStyle w:val="Hyperlink"/>
                  <w:rFonts w:eastAsia="Times New Roman" w:cs="Times New Roman"/>
                </w:rPr>
                <w:t> </w:t>
              </w:r>
              <w:r w:rsidRPr="00290D15">
                <w:rPr>
                  <w:rStyle w:val="Hyperlink"/>
                  <w:rFonts w:eastAsia="Times New Roman" w:cs="Times New Roman"/>
                </w:rPr>
                <w:t>2022)</w:t>
              </w:r>
            </w:hyperlink>
            <w:r w:rsidRPr="003227E9">
              <w:t xml:space="preserve">, </w:t>
            </w:r>
            <w:hyperlink r:id="rId22" w:history="1">
              <w:r w:rsidRPr="00290D15">
                <w:rPr>
                  <w:rStyle w:val="Hyperlink"/>
                  <w:rFonts w:eastAsia="Times New Roman" w:cs="Times New Roman"/>
                </w:rPr>
                <w:t>172 (Rév. Guadalajara, 2010)</w:t>
              </w:r>
            </w:hyperlink>
            <w:r w:rsidRPr="003227E9">
              <w:t xml:space="preserve">, </w:t>
            </w:r>
            <w:hyperlink r:id="rId23" w:history="1">
              <w:r w:rsidRPr="00290D15">
                <w:rPr>
                  <w:rStyle w:val="Hyperlink"/>
                  <w:rFonts w:eastAsia="Times New Roman" w:cs="Times New Roman"/>
                </w:rPr>
                <w:t>71 (Rév. Bucarest 2022)</w:t>
              </w:r>
            </w:hyperlink>
            <w:r w:rsidRPr="003227E9">
              <w:t xml:space="preserve"> de la Conférence de plénipotentiaires; Résolutions </w:t>
            </w:r>
            <w:hyperlink r:id="rId24" w:history="1">
              <w:r w:rsidRPr="00290D15">
                <w:rPr>
                  <w:rStyle w:val="Hyperlink"/>
                  <w:rFonts w:eastAsia="Times New Roman" w:cs="Times New Roman"/>
                </w:rPr>
                <w:t>1332 (modifiée en 2024)</w:t>
              </w:r>
            </w:hyperlink>
            <w:r w:rsidRPr="003227E9">
              <w:t xml:space="preserve"> et </w:t>
            </w:r>
            <w:hyperlink r:id="rId25" w:history="1">
              <w:r w:rsidRPr="00290D15">
                <w:rPr>
                  <w:rStyle w:val="Hyperlink"/>
                  <w:rFonts w:eastAsia="Times New Roman" w:cs="Times New Roman"/>
                </w:rPr>
                <w:t>1334 (modifiée en 2023)</w:t>
              </w:r>
            </w:hyperlink>
            <w:r w:rsidRPr="003227E9">
              <w:t xml:space="preserve"> du Conseil; Résolution </w:t>
            </w:r>
            <w:hyperlink r:id="rId26" w:history="1">
              <w:r w:rsidRPr="00B14A13">
                <w:rPr>
                  <w:rStyle w:val="Hyperlink"/>
                  <w:rFonts w:eastAsia="Times New Roman" w:cs="Times New Roman"/>
                </w:rPr>
                <w:t>30 (Rév. Bakou, 202</w:t>
              </w:r>
              <w:r w:rsidR="00ED6DE1" w:rsidRPr="00B14A13">
                <w:rPr>
                  <w:rStyle w:val="Hyperlink"/>
                  <w:rFonts w:eastAsia="Times New Roman" w:cs="Times New Roman"/>
                </w:rPr>
                <w:t>5</w:t>
              </w:r>
              <w:r w:rsidRPr="00B14A13">
                <w:rPr>
                  <w:rStyle w:val="Hyperlink"/>
                  <w:rFonts w:eastAsia="Times New Roman" w:cs="Times New Roman"/>
                </w:rPr>
                <w:t>)</w:t>
              </w:r>
            </w:hyperlink>
            <w:r w:rsidRPr="003227E9">
              <w:t xml:space="preserve"> de la </w:t>
            </w:r>
            <w:proofErr w:type="spellStart"/>
            <w:proofErr w:type="gramStart"/>
            <w:r w:rsidRPr="003227E9">
              <w:t>CMDT</w:t>
            </w:r>
            <w:proofErr w:type="spellEnd"/>
            <w:r w:rsidRPr="003227E9">
              <w:t>;</w:t>
            </w:r>
            <w:proofErr w:type="gramEnd"/>
            <w:r w:rsidRPr="003227E9">
              <w:t xml:space="preserve"> Résolution </w:t>
            </w:r>
            <w:hyperlink r:id="rId27" w:history="1">
              <w:r w:rsidRPr="00B14A13">
                <w:rPr>
                  <w:rStyle w:val="Hyperlink"/>
                  <w:rFonts w:eastAsia="Times New Roman" w:cs="Times New Roman"/>
                </w:rPr>
                <w:t>75 (Rév.</w:t>
              </w:r>
              <w:r w:rsidR="006A20A5" w:rsidRPr="00B14A13">
                <w:rPr>
                  <w:rStyle w:val="Hyperlink"/>
                  <w:rFonts w:eastAsia="Times New Roman" w:cs="Times New Roman"/>
                </w:rPr>
                <w:t> </w:t>
              </w:r>
              <w:r w:rsidRPr="00B14A13">
                <w:rPr>
                  <w:rStyle w:val="Hyperlink"/>
                  <w:rFonts w:eastAsia="Times New Roman" w:cs="Times New Roman"/>
                </w:rPr>
                <w:t>Genève,</w:t>
              </w:r>
              <w:r w:rsidR="006A20A5" w:rsidRPr="00B14A13">
                <w:rPr>
                  <w:rStyle w:val="Hyperlink"/>
                  <w:rFonts w:eastAsia="Times New Roman" w:cs="Times New Roman"/>
                </w:rPr>
                <w:t> </w:t>
              </w:r>
              <w:r w:rsidRPr="00B14A13">
                <w:rPr>
                  <w:rStyle w:val="Hyperlink"/>
                  <w:rFonts w:eastAsia="Times New Roman" w:cs="Times New Roman"/>
                </w:rPr>
                <w:t>2022)</w:t>
              </w:r>
            </w:hyperlink>
            <w:r w:rsidRPr="003227E9">
              <w:t xml:space="preserve"> de </w:t>
            </w:r>
            <w:proofErr w:type="gramStart"/>
            <w:r w:rsidRPr="003227E9">
              <w:t>l'</w:t>
            </w:r>
            <w:proofErr w:type="spellStart"/>
            <w:r w:rsidRPr="003227E9">
              <w:t>AMNT</w:t>
            </w:r>
            <w:proofErr w:type="spellEnd"/>
            <w:r w:rsidRPr="003227E9">
              <w:t>;</w:t>
            </w:r>
            <w:proofErr w:type="gramEnd"/>
            <w:r w:rsidRPr="003227E9">
              <w:t xml:space="preserve"> Résolution</w:t>
            </w:r>
            <w:r w:rsidR="006A20A5">
              <w:t> </w:t>
            </w:r>
            <w:hyperlink r:id="rId28" w:history="1">
              <w:r w:rsidR="00C96AA5" w:rsidRPr="00B14A13">
                <w:rPr>
                  <w:rStyle w:val="Hyperlink"/>
                  <w:rFonts w:eastAsia="Times New Roman" w:cs="Times New Roman"/>
                </w:rPr>
                <w:t>UIT-R</w:t>
              </w:r>
              <w:r w:rsidR="006A20A5" w:rsidRPr="00B14A13">
                <w:rPr>
                  <w:rStyle w:val="Hyperlink"/>
                  <w:rFonts w:eastAsia="Times New Roman" w:cs="Times New Roman"/>
                </w:rPr>
                <w:t> </w:t>
              </w:r>
              <w:r w:rsidR="00C96AA5" w:rsidRPr="00B14A13">
                <w:rPr>
                  <w:rStyle w:val="Hyperlink"/>
                  <w:rFonts w:eastAsia="Times New Roman" w:cs="Times New Roman"/>
                </w:rPr>
                <w:t>61-3</w:t>
              </w:r>
              <w:r w:rsidR="006A20A5" w:rsidRPr="00B14A13">
                <w:rPr>
                  <w:rStyle w:val="Hyperlink"/>
                  <w:rFonts w:eastAsia="Times New Roman" w:cs="Times New Roman"/>
                </w:rPr>
                <w:t> </w:t>
              </w:r>
              <w:r w:rsidRPr="00B14A13">
                <w:rPr>
                  <w:rStyle w:val="Hyperlink"/>
                  <w:rFonts w:eastAsia="Times New Roman" w:cs="Times New Roman"/>
                </w:rPr>
                <w:t>(Rév.</w:t>
              </w:r>
              <w:r w:rsidR="006A20A5" w:rsidRPr="00B14A13">
                <w:rPr>
                  <w:rStyle w:val="Hyperlink"/>
                  <w:rFonts w:eastAsia="Times New Roman" w:cs="Times New Roman"/>
                </w:rPr>
                <w:t> </w:t>
              </w:r>
              <w:r w:rsidRPr="00B14A13">
                <w:rPr>
                  <w:rStyle w:val="Hyperlink"/>
                  <w:rFonts w:eastAsia="Times New Roman" w:cs="Times New Roman"/>
                </w:rPr>
                <w:t>Dubaï,</w:t>
              </w:r>
              <w:r w:rsidR="006A20A5" w:rsidRPr="00B14A13">
                <w:rPr>
                  <w:rStyle w:val="Hyperlink"/>
                  <w:rFonts w:eastAsia="Times New Roman" w:cs="Times New Roman"/>
                </w:rPr>
                <w:t> </w:t>
              </w:r>
              <w:r w:rsidRPr="00B14A13">
                <w:rPr>
                  <w:rStyle w:val="Hyperlink"/>
                  <w:rFonts w:eastAsia="Times New Roman" w:cs="Times New Roman"/>
                </w:rPr>
                <w:t>2023)</w:t>
              </w:r>
            </w:hyperlink>
            <w:r w:rsidRPr="003227E9">
              <w:t xml:space="preserve">; </w:t>
            </w:r>
            <w:hyperlink r:id="rId29" w:history="1">
              <w:r w:rsidRPr="003227E9">
                <w:rPr>
                  <w:rStyle w:val="Hyperlink"/>
                  <w:rFonts w:eastAsia="Times New Roman" w:cs="Times New Roman"/>
                </w:rPr>
                <w:t xml:space="preserve">Déclaration du </w:t>
              </w:r>
              <w:proofErr w:type="spellStart"/>
              <w:r w:rsidRPr="003227E9">
                <w:rPr>
                  <w:rStyle w:val="Hyperlink"/>
                  <w:rFonts w:eastAsia="Times New Roman" w:cs="Times New Roman"/>
                </w:rPr>
                <w:t>SMSI+10</w:t>
              </w:r>
              <w:proofErr w:type="spellEnd"/>
              <w:r w:rsidRPr="003227E9">
                <w:rPr>
                  <w:rStyle w:val="Hyperlink"/>
                  <w:rFonts w:eastAsia="Times New Roman" w:cs="Times New Roman"/>
                </w:rPr>
                <w:t xml:space="preserve"> sur la mise en œuvre des résultats du</w:t>
              </w:r>
              <w:r w:rsidR="005A6E80" w:rsidRPr="003227E9">
                <w:rPr>
                  <w:rStyle w:val="Hyperlink"/>
                  <w:rFonts w:eastAsia="Times New Roman" w:cs="Times New Roman"/>
                </w:rPr>
                <w:t> </w:t>
              </w:r>
              <w:r w:rsidRPr="003227E9">
                <w:rPr>
                  <w:rStyle w:val="Hyperlink"/>
                  <w:rFonts w:eastAsia="Times New Roman" w:cs="Times New Roman"/>
                </w:rPr>
                <w:t>SMSI</w:t>
              </w:r>
            </w:hyperlink>
            <w:r w:rsidRPr="003227E9">
              <w:t xml:space="preserve">; </w:t>
            </w:r>
            <w:hyperlink r:id="rId30" w:history="1">
              <w:r w:rsidRPr="003227E9">
                <w:rPr>
                  <w:rStyle w:val="Hyperlink"/>
                  <w:rFonts w:eastAsia="Times New Roman" w:cs="Times New Roman"/>
                </w:rPr>
                <w:t xml:space="preserve">Vision du </w:t>
              </w:r>
              <w:proofErr w:type="spellStart"/>
              <w:r w:rsidRPr="003227E9">
                <w:rPr>
                  <w:rStyle w:val="Hyperlink"/>
                  <w:rFonts w:eastAsia="Times New Roman" w:cs="Times New Roman"/>
                </w:rPr>
                <w:t>SMSI+10</w:t>
              </w:r>
              <w:proofErr w:type="spellEnd"/>
              <w:r w:rsidRPr="003227E9">
                <w:rPr>
                  <w:rStyle w:val="Hyperlink"/>
                  <w:rFonts w:eastAsia="Times New Roman" w:cs="Times New Roman"/>
                </w:rPr>
                <w:t xml:space="preserve"> pour l'</w:t>
              </w:r>
              <w:proofErr w:type="spellStart"/>
              <w:r w:rsidRPr="003227E9">
                <w:rPr>
                  <w:rStyle w:val="Hyperlink"/>
                  <w:rFonts w:eastAsia="Times New Roman" w:cs="Times New Roman"/>
                </w:rPr>
                <w:t>après-2015</w:t>
              </w:r>
              <w:proofErr w:type="spellEnd"/>
            </w:hyperlink>
            <w:r w:rsidRPr="003227E9">
              <w:t>;</w:t>
            </w:r>
            <w:r w:rsidR="007728CB">
              <w:t xml:space="preserve"> </w:t>
            </w:r>
            <w:hyperlink r:id="rId31" w:history="1">
              <w:r w:rsidR="007728CB" w:rsidRPr="003227E9">
                <w:rPr>
                  <w:rStyle w:val="Hyperlink"/>
                  <w:rFonts w:eastAsia="Times New Roman" w:cs="Times New Roman"/>
                </w:rPr>
                <w:t>Examen final des cibles du SMSI</w:t>
              </w:r>
            </w:hyperlink>
            <w:r w:rsidR="007728CB" w:rsidRPr="003227E9">
              <w:t xml:space="preserve">; </w:t>
            </w:r>
            <w:hyperlink r:id="rId32" w:history="1">
              <w:r w:rsidR="007728CB" w:rsidRPr="003227E9">
                <w:rPr>
                  <w:rStyle w:val="Hyperlink"/>
                  <w:rFonts w:eastAsia="Times New Roman" w:cs="Times New Roman"/>
                </w:rPr>
                <w:t xml:space="preserve">Rapport </w:t>
              </w:r>
              <w:proofErr w:type="spellStart"/>
              <w:r w:rsidR="007728CB" w:rsidRPr="003227E9">
                <w:rPr>
                  <w:rStyle w:val="Hyperlink"/>
                  <w:rFonts w:eastAsia="Times New Roman" w:cs="Times New Roman"/>
                </w:rPr>
                <w:t>SMSI+10</w:t>
              </w:r>
              <w:proofErr w:type="spellEnd"/>
            </w:hyperlink>
            <w:r w:rsidR="007728CB" w:rsidRPr="003227E9">
              <w:t xml:space="preserve">; </w:t>
            </w:r>
            <w:hyperlink r:id="rId33" w:history="1">
              <w:r w:rsidR="007728CB" w:rsidRPr="003227E9">
                <w:rPr>
                  <w:rStyle w:val="Hyperlink"/>
                  <w:rFonts w:eastAsia="Times New Roman" w:cs="Times New Roman"/>
                </w:rPr>
                <w:t>Contribution de l'UIT sur dix ans à la mise en œuvre et au suivi des résultats du SMSI (2005</w:t>
              </w:r>
              <w:r w:rsidR="007728CB" w:rsidRPr="003227E9">
                <w:rPr>
                  <w:rStyle w:val="Hyperlink"/>
                  <w:rFonts w:eastAsia="Times New Roman" w:cs="Times New Roman"/>
                </w:rPr>
                <w:noBreakHyphen/>
                <w:t>2014)</w:t>
              </w:r>
            </w:hyperlink>
            <w:r w:rsidR="007728CB" w:rsidRPr="003227E9">
              <w:t xml:space="preserve">; </w:t>
            </w:r>
            <w:hyperlink r:id="rId34" w:history="1">
              <w:r w:rsidR="007728CB" w:rsidRPr="003227E9">
                <w:rPr>
                  <w:rStyle w:val="Hyperlink"/>
                  <w:rFonts w:eastAsia="Times New Roman" w:cs="Times New Roman"/>
                </w:rPr>
                <w:t>Feuille de route pour les activités de l'UIT visant à contribuer à la réalisation du Programme de développement durable à l'horizon 2030</w:t>
              </w:r>
            </w:hyperlink>
            <w:r w:rsidR="007728CB" w:rsidRPr="003227E9">
              <w:t xml:space="preserve">; </w:t>
            </w:r>
            <w:hyperlink r:id="rId35" w:history="1">
              <w:r w:rsidR="007728CB" w:rsidRPr="003227E9">
                <w:rPr>
                  <w:rStyle w:val="Hyperlink"/>
                  <w:rFonts w:eastAsia="Times New Roman" w:cs="Times New Roman"/>
                </w:rPr>
                <w:t xml:space="preserve">Sommet mondial sur la société de l'information (SMSI)+20: le SMSI après 2025 – Feuille de route pour le </w:t>
              </w:r>
              <w:proofErr w:type="spellStart"/>
              <w:r w:rsidR="007728CB" w:rsidRPr="003227E9">
                <w:rPr>
                  <w:rStyle w:val="Hyperlink"/>
                  <w:rFonts w:eastAsia="Times New Roman" w:cs="Times New Roman"/>
                </w:rPr>
                <w:t>SMSI+20</w:t>
              </w:r>
              <w:proofErr w:type="spellEnd"/>
              <w:r w:rsidR="00994A24" w:rsidRPr="003227E9">
                <w:t>;</w:t>
              </w:r>
              <w:r w:rsidR="007728CB" w:rsidRPr="003227E9">
                <w:rPr>
                  <w:rStyle w:val="Hyperlink"/>
                  <w:rFonts w:eastAsia="Times New Roman" w:cs="Times New Roman"/>
                </w:rPr>
                <w:t xml:space="preserve"> Rapport sur le </w:t>
              </w:r>
              <w:proofErr w:type="spellStart"/>
              <w:r w:rsidR="007728CB" w:rsidRPr="003227E9">
                <w:rPr>
                  <w:rStyle w:val="Hyperlink"/>
                  <w:rFonts w:eastAsia="Times New Roman" w:cs="Times New Roman"/>
                </w:rPr>
                <w:t>SMSI+20</w:t>
              </w:r>
              <w:proofErr w:type="spellEnd"/>
              <w:r w:rsidR="007728CB" w:rsidRPr="003227E9">
                <w:rPr>
                  <w:rStyle w:val="Hyperlink"/>
                  <w:rFonts w:eastAsia="Times New Roman" w:cs="Times New Roman"/>
                </w:rPr>
                <w:t xml:space="preserve"> intitulé "Bâtir un avenir numérique pour tous"</w:t>
              </w:r>
            </w:hyperlink>
            <w:r w:rsidR="007728CB" w:rsidRPr="003227E9">
              <w:t xml:space="preserve">; </w:t>
            </w:r>
            <w:hyperlink r:id="rId36" w:history="1">
              <w:r w:rsidR="007728CB" w:rsidRPr="003227E9">
                <w:rPr>
                  <w:rStyle w:val="Hyperlink"/>
                  <w:rFonts w:eastAsia="Times New Roman" w:cs="Times New Roman"/>
                </w:rPr>
                <w:t>Résultats finals du Sommet de l'avenir</w:t>
              </w:r>
            </w:hyperlink>
            <w:r w:rsidR="007728CB" w:rsidRPr="003227E9">
              <w:t xml:space="preserve">; </w:t>
            </w:r>
            <w:hyperlink r:id="rId37" w:history="1">
              <w:r w:rsidR="007728CB" w:rsidRPr="003227E9">
                <w:rPr>
                  <w:rStyle w:val="Hyperlink"/>
                  <w:rFonts w:eastAsia="Times New Roman" w:cs="Times New Roman"/>
                </w:rPr>
                <w:t>Rapport de la Commission de la science et de la technique au service du développement sur les travaux de la vingt-huitième session (7</w:t>
              </w:r>
              <w:r w:rsidR="007728CB" w:rsidRPr="003227E9">
                <w:rPr>
                  <w:rStyle w:val="Hyperlink"/>
                  <w:rFonts w:eastAsia="Times New Roman" w:cs="Times New Roman"/>
                </w:rPr>
                <w:noBreakHyphen/>
                <w:t>11 avril 2025)</w:t>
              </w:r>
            </w:hyperlink>
            <w:r w:rsidR="007728CB" w:rsidRPr="003227E9">
              <w:t xml:space="preserve">; </w:t>
            </w:r>
            <w:hyperlink r:id="rId38" w:history="1">
              <w:r w:rsidR="007728CB" w:rsidRPr="003227E9">
                <w:rPr>
                  <w:rStyle w:val="Hyperlink"/>
                  <w:rFonts w:eastAsia="Times New Roman" w:cs="Times New Roman"/>
                </w:rPr>
                <w:t>Forum du SMSI</w:t>
              </w:r>
            </w:hyperlink>
          </w:p>
        </w:tc>
      </w:tr>
    </w:tbl>
    <w:p w14:paraId="42B3D701" w14:textId="77777777" w:rsidR="00A51849" w:rsidRPr="00C96AA5" w:rsidRDefault="00A51849">
      <w:pPr>
        <w:tabs>
          <w:tab w:val="clear" w:pos="567"/>
          <w:tab w:val="clear" w:pos="1134"/>
          <w:tab w:val="clear" w:pos="1701"/>
          <w:tab w:val="clear" w:pos="2268"/>
          <w:tab w:val="clear" w:pos="2835"/>
        </w:tabs>
        <w:overflowPunct/>
        <w:autoSpaceDE/>
        <w:autoSpaceDN/>
        <w:adjustRightInd/>
        <w:spacing w:before="0"/>
        <w:textAlignment w:val="auto"/>
        <w:rPr>
          <w:sz w:val="20"/>
        </w:rPr>
      </w:pPr>
      <w:r w:rsidRPr="00C96AA5">
        <w:rPr>
          <w:sz w:val="20"/>
        </w:rPr>
        <w:br w:type="page"/>
      </w:r>
    </w:p>
    <w:p w14:paraId="4BB24818" w14:textId="77777777" w:rsidR="00B34EB6" w:rsidRPr="005A6E80" w:rsidRDefault="00B34EB6" w:rsidP="009152B6">
      <w:pPr>
        <w:pStyle w:val="Heading1"/>
      </w:pPr>
      <w:r w:rsidRPr="005A6E80">
        <w:lastRenderedPageBreak/>
        <w:t>1</w:t>
      </w:r>
      <w:r w:rsidRPr="005A6E80">
        <w:tab/>
        <w:t>Introduction</w:t>
      </w:r>
    </w:p>
    <w:p w14:paraId="118494CB" w14:textId="457D0375" w:rsidR="00B34EB6" w:rsidRPr="00C96AA5" w:rsidRDefault="00B34EB6" w:rsidP="003227E9">
      <w:pPr>
        <w:ind w:right="-56"/>
        <w:jc w:val="both"/>
        <w:rPr>
          <w:spacing w:val="-2"/>
        </w:rPr>
      </w:pPr>
      <w:r w:rsidRPr="00C96AA5">
        <w:rPr>
          <w:spacing w:val="-2"/>
        </w:rPr>
        <w:t>Les travaux du Groupe de travail du Conseil de l'UIT sur le SMSI et les ODD (</w:t>
      </w:r>
      <w:proofErr w:type="spellStart"/>
      <w:r w:rsidRPr="00C96AA5">
        <w:rPr>
          <w:spacing w:val="-2"/>
        </w:rPr>
        <w:t>GTC</w:t>
      </w:r>
      <w:proofErr w:type="spellEnd"/>
      <w:r w:rsidRPr="00C96AA5">
        <w:rPr>
          <w:spacing w:val="-2"/>
        </w:rPr>
        <w:t xml:space="preserve">-SMSI/ODD) sont fondés sur la Résolution </w:t>
      </w:r>
      <w:hyperlink r:id="rId39" w:history="1">
        <w:r w:rsidRPr="00FB6B7A">
          <w:rPr>
            <w:rStyle w:val="Hyperlink"/>
            <w:rFonts w:eastAsia="Times New Roman" w:cs="Times New Roman"/>
            <w:spacing w:val="-2"/>
            <w:szCs w:val="20"/>
          </w:rPr>
          <w:t>1332 (modifiée en 2023)</w:t>
        </w:r>
      </w:hyperlink>
      <w:r w:rsidRPr="00C96AA5">
        <w:rPr>
          <w:spacing w:val="-2"/>
        </w:rPr>
        <w:t xml:space="preserve"> et menés conformément à la Résolution </w:t>
      </w:r>
      <w:hyperlink r:id="rId40" w:history="1">
        <w:r w:rsidRPr="00FB6B7A">
          <w:rPr>
            <w:rStyle w:val="Hyperlink"/>
            <w:rFonts w:eastAsia="Times New Roman" w:cs="Times New Roman"/>
            <w:spacing w:val="-2"/>
            <w:szCs w:val="20"/>
          </w:rPr>
          <w:t>140 (Rév. Bucarest, 2022)</w:t>
        </w:r>
      </w:hyperlink>
      <w:r w:rsidRPr="00C96AA5">
        <w:rPr>
          <w:spacing w:val="-2"/>
        </w:rPr>
        <w:t xml:space="preserve"> de la Conférence de plénipotentiaires. Le </w:t>
      </w:r>
      <w:proofErr w:type="spellStart"/>
      <w:r w:rsidRPr="00C96AA5">
        <w:rPr>
          <w:spacing w:val="-2"/>
        </w:rPr>
        <w:t>GTC</w:t>
      </w:r>
      <w:proofErr w:type="spellEnd"/>
      <w:r w:rsidR="00606A9B" w:rsidRPr="00C96AA5">
        <w:rPr>
          <w:spacing w:val="-2"/>
        </w:rPr>
        <w:noBreakHyphen/>
      </w:r>
      <w:r w:rsidRPr="00C96AA5">
        <w:rPr>
          <w:spacing w:val="-2"/>
        </w:rPr>
        <w:t>SMSI/ODD s'est révélé être un mécanisme efficace pour faciliter la soumission des contributions des États Membres relatives au rôle de l'UIT dans la mise en œuvre des résultats du SMSI et la réalisation des ODD. Les 43ème et 44ème réunions ont rassemblé plus de 300 participants, que ce soit en présentiel ou en ligne, représentant les États</w:t>
      </w:r>
      <w:r w:rsidR="00606A9B" w:rsidRPr="00C96AA5">
        <w:rPr>
          <w:spacing w:val="-2"/>
        </w:rPr>
        <w:t> </w:t>
      </w:r>
      <w:r w:rsidRPr="00C96AA5">
        <w:rPr>
          <w:spacing w:val="-2"/>
        </w:rPr>
        <w:t>Membres et les Membres de Secteur de l'UIT. M. Tomas Lamanauskas, Vice-Secrétaire général, a prononcé une allocution de bienvenue à chaque réunion. Les réunions ont été présidées par Mme Cynthia Lesufi (République sudafricaine) et les Vice-Présidentes Mme</w:t>
      </w:r>
      <w:r w:rsidR="00606A9B" w:rsidRPr="00C96AA5">
        <w:rPr>
          <w:spacing w:val="-2"/>
        </w:rPr>
        <w:t> </w:t>
      </w:r>
      <w:r w:rsidRPr="00C96AA5">
        <w:rPr>
          <w:spacing w:val="-2"/>
        </w:rPr>
        <w:t>Renata Santoyo (Brésil), Mme Mina Seonmin Jun (Corée (</w:t>
      </w:r>
      <w:proofErr w:type="spellStart"/>
      <w:r w:rsidRPr="00C96AA5">
        <w:rPr>
          <w:spacing w:val="-2"/>
        </w:rPr>
        <w:t>Rép</w:t>
      </w:r>
      <w:proofErr w:type="spellEnd"/>
      <w:r w:rsidRPr="00C96AA5">
        <w:rPr>
          <w:spacing w:val="-2"/>
        </w:rPr>
        <w:t xml:space="preserve">. </w:t>
      </w:r>
      <w:proofErr w:type="gramStart"/>
      <w:r w:rsidRPr="00C96AA5">
        <w:rPr>
          <w:spacing w:val="-2"/>
        </w:rPr>
        <w:t>de</w:t>
      </w:r>
      <w:proofErr w:type="gramEnd"/>
      <w:r w:rsidRPr="00C96AA5">
        <w:rPr>
          <w:spacing w:val="-2"/>
        </w:rPr>
        <w:t>)), Mme</w:t>
      </w:r>
      <w:r w:rsidR="00606A9B" w:rsidRPr="00C96AA5">
        <w:rPr>
          <w:spacing w:val="-2"/>
        </w:rPr>
        <w:t> </w:t>
      </w:r>
      <w:r w:rsidRPr="00C96AA5">
        <w:rPr>
          <w:spacing w:val="-2"/>
        </w:rPr>
        <w:t>Janet</w:t>
      </w:r>
      <w:r w:rsidR="00606A9B" w:rsidRPr="00C96AA5">
        <w:rPr>
          <w:spacing w:val="-2"/>
        </w:rPr>
        <w:t> </w:t>
      </w:r>
      <w:r w:rsidRPr="00C96AA5">
        <w:rPr>
          <w:spacing w:val="-2"/>
        </w:rPr>
        <w:t>Umutesi (Rwanda, à distance) et Mme Susanna Mattsson (Suède) étaient présentes.</w:t>
      </w:r>
    </w:p>
    <w:p w14:paraId="264CDB95" w14:textId="75CAA30F" w:rsidR="00B34EB6" w:rsidRPr="005A6E80" w:rsidRDefault="00B34EB6" w:rsidP="009152B6">
      <w:pPr>
        <w:pStyle w:val="Heading1"/>
      </w:pPr>
      <w:r w:rsidRPr="005A6E80">
        <w:t>2</w:t>
      </w:r>
      <w:r w:rsidRPr="005A6E80">
        <w:tab/>
        <w:t xml:space="preserve">Aperçu général des 43ème et 44ème réunions du </w:t>
      </w:r>
      <w:proofErr w:type="spellStart"/>
      <w:r w:rsidRPr="005A6E80">
        <w:t>GTC</w:t>
      </w:r>
      <w:proofErr w:type="spellEnd"/>
      <w:r w:rsidRPr="005A6E80">
        <w:t>-SMSI/ODD</w:t>
      </w:r>
    </w:p>
    <w:p w14:paraId="6D90A091" w14:textId="77777777" w:rsidR="00B34EB6" w:rsidRPr="005A6E80" w:rsidRDefault="00B34EB6" w:rsidP="003227E9">
      <w:pPr>
        <w:jc w:val="both"/>
      </w:pPr>
      <w:r w:rsidRPr="005A6E80">
        <w:t xml:space="preserve">Vingt-six (26) contributions et six (6) documents d'information ont été examinés lors de ces deux </w:t>
      </w:r>
      <w:proofErr w:type="gramStart"/>
      <w:r w:rsidRPr="005A6E80">
        <w:t>réunions:</w:t>
      </w:r>
      <w:proofErr w:type="gramEnd"/>
    </w:p>
    <w:p w14:paraId="606CD8C7" w14:textId="67FA6ACE" w:rsidR="00B34EB6" w:rsidRPr="005A6E80" w:rsidRDefault="00B34EB6" w:rsidP="003227E9">
      <w:pPr>
        <w:pStyle w:val="enumlev1"/>
        <w:jc w:val="both"/>
      </w:pPr>
      <w:r w:rsidRPr="005A6E80">
        <w:t>–</w:t>
      </w:r>
      <w:r w:rsidRPr="005A6E80">
        <w:tab/>
        <w:t xml:space="preserve">la </w:t>
      </w:r>
      <w:hyperlink r:id="rId41" w:history="1">
        <w:r w:rsidRPr="005A6E80">
          <w:rPr>
            <w:rStyle w:val="Hyperlink"/>
            <w:rFonts w:eastAsia="Times New Roman" w:cs="Times New Roman"/>
            <w:szCs w:val="20"/>
          </w:rPr>
          <w:t>43ème réunion</w:t>
        </w:r>
      </w:hyperlink>
      <w:r w:rsidRPr="005A6E80">
        <w:t xml:space="preserve"> s'est tenue les 9 et 10 septembre 2025 (</w:t>
      </w:r>
      <w:hyperlink r:id="rId42" w:history="1">
        <w:r w:rsidRPr="005A6E80">
          <w:rPr>
            <w:rStyle w:val="Hyperlink"/>
            <w:rFonts w:eastAsia="Times New Roman" w:cs="Times New Roman"/>
            <w:szCs w:val="20"/>
          </w:rPr>
          <w:t>Rapport de la</w:t>
        </w:r>
        <w:r w:rsidR="00606A9B" w:rsidRPr="005A6E80">
          <w:rPr>
            <w:rStyle w:val="Hyperlink"/>
            <w:rFonts w:eastAsia="Times New Roman" w:cs="Times New Roman"/>
            <w:szCs w:val="20"/>
          </w:rPr>
          <w:t> </w:t>
        </w:r>
        <w:r w:rsidRPr="005A6E80">
          <w:rPr>
            <w:rStyle w:val="Hyperlink"/>
            <w:rFonts w:eastAsia="Times New Roman" w:cs="Times New Roman"/>
            <w:szCs w:val="20"/>
          </w:rPr>
          <w:t>43ème</w:t>
        </w:r>
        <w:r w:rsidR="00606A9B" w:rsidRPr="005A6E80">
          <w:rPr>
            <w:rStyle w:val="Hyperlink"/>
            <w:rFonts w:eastAsia="Times New Roman" w:cs="Times New Roman"/>
            <w:szCs w:val="20"/>
          </w:rPr>
          <w:t> </w:t>
        </w:r>
        <w:r w:rsidRPr="005A6E80">
          <w:rPr>
            <w:rStyle w:val="Hyperlink"/>
            <w:rFonts w:eastAsia="Times New Roman" w:cs="Times New Roman"/>
            <w:szCs w:val="20"/>
          </w:rPr>
          <w:t>réunion</w:t>
        </w:r>
      </w:hyperlink>
      <w:r w:rsidRPr="005A6E80">
        <w:t>)</w:t>
      </w:r>
    </w:p>
    <w:p w14:paraId="4AC53F1B" w14:textId="0844E5B1" w:rsidR="00B34EB6" w:rsidRPr="005A6E80" w:rsidRDefault="00B34EB6" w:rsidP="003227E9">
      <w:pPr>
        <w:pStyle w:val="enumlev1"/>
        <w:jc w:val="both"/>
      </w:pPr>
      <w:r w:rsidRPr="005A6E80">
        <w:t>–</w:t>
      </w:r>
      <w:r w:rsidRPr="005A6E80">
        <w:tab/>
        <w:t xml:space="preserve">la </w:t>
      </w:r>
      <w:hyperlink r:id="rId43" w:history="1">
        <w:r w:rsidRPr="005A6E80">
          <w:rPr>
            <w:rStyle w:val="Hyperlink"/>
            <w:rFonts w:eastAsia="Times New Roman" w:cs="Times New Roman"/>
            <w:szCs w:val="20"/>
          </w:rPr>
          <w:t>44ème réunion</w:t>
        </w:r>
      </w:hyperlink>
      <w:r w:rsidRPr="005A6E80">
        <w:t xml:space="preserve"> s'est tenue les 15 et 16 janvier 2026 (</w:t>
      </w:r>
      <w:hyperlink r:id="rId44" w:history="1">
        <w:r w:rsidRPr="005A6E80">
          <w:rPr>
            <w:rStyle w:val="Hyperlink"/>
            <w:rFonts w:eastAsia="Times New Roman" w:cs="Times New Roman"/>
            <w:szCs w:val="20"/>
          </w:rPr>
          <w:t>Rapport de la 44ème réunion</w:t>
        </w:r>
      </w:hyperlink>
      <w:r w:rsidRPr="005A6E80">
        <w:t>).</w:t>
      </w:r>
    </w:p>
    <w:p w14:paraId="0C12CF78" w14:textId="3D05ACC8" w:rsidR="00B34EB6" w:rsidRPr="005A6E80" w:rsidRDefault="00B34EB6" w:rsidP="009152B6">
      <w:pPr>
        <w:pStyle w:val="Heading1"/>
      </w:pPr>
      <w:r w:rsidRPr="005A6E80">
        <w:t>3</w:t>
      </w:r>
      <w:r w:rsidRPr="005A6E80">
        <w:tab/>
        <w:t>Activités de l'UIT liées au processus du SMSI et au Programme de développement durable à l'horizon 2030 (mise en œuvre de la Résolution 140 de la Conférence de plénipotentiaires de l'UIT et</w:t>
      </w:r>
      <w:r w:rsidR="00606A9B" w:rsidRPr="005A6E80">
        <w:t> </w:t>
      </w:r>
      <w:r w:rsidRPr="005A6E80">
        <w:t>des</w:t>
      </w:r>
      <w:r w:rsidR="00606A9B" w:rsidRPr="005A6E80">
        <w:t> </w:t>
      </w:r>
      <w:r w:rsidRPr="005A6E80">
        <w:t>Résolutions 1332 et 1334 du Conseil)</w:t>
      </w:r>
    </w:p>
    <w:p w14:paraId="48ADEE35" w14:textId="77777777" w:rsidR="00B34EB6" w:rsidRPr="005A6E80" w:rsidRDefault="00B34EB6" w:rsidP="003227E9">
      <w:pPr>
        <w:jc w:val="both"/>
      </w:pPr>
      <w:r w:rsidRPr="005A6E80">
        <w:t xml:space="preserve">L'UIT a continué de faire progresser les résultats du SMSI et le Programme 2030, renforçant son rôle de premier plan dans la coordination des processus du SMSI et de la coopération numérique des Nations Unies. Elle a appuyé la mise en œuvre des ODD par le biais des grandes orientations du SMSI, contribué à des processus politiques clés des Nations Unies, notamment l'examen du </w:t>
      </w:r>
      <w:proofErr w:type="spellStart"/>
      <w:r w:rsidRPr="005A6E80">
        <w:t>SMSI+20</w:t>
      </w:r>
      <w:proofErr w:type="spellEnd"/>
      <w:r w:rsidRPr="005A6E80">
        <w:t xml:space="preserve">, et développé des initiatives phares et la mobilisation multipartite. On trouvera de plus amples renseignements dans le présent rapport, ainsi que les rapports des deux réunions du </w:t>
      </w:r>
      <w:proofErr w:type="spellStart"/>
      <w:r w:rsidRPr="005A6E80">
        <w:t>GTC</w:t>
      </w:r>
      <w:proofErr w:type="spellEnd"/>
      <w:r w:rsidRPr="005A6E80">
        <w:t xml:space="preserve"> et les contributions connexes du Secrétariat.</w:t>
      </w:r>
    </w:p>
    <w:p w14:paraId="53984942" w14:textId="508CAECD" w:rsidR="00B34EB6" w:rsidRPr="005A6E80" w:rsidRDefault="00B34EB6" w:rsidP="003227E9">
      <w:pPr>
        <w:jc w:val="both"/>
      </w:pPr>
      <w:r w:rsidRPr="005A6E80">
        <w:t xml:space="preserve">L'UIT a accueilli et animé la manifestation de haut niveau </w:t>
      </w:r>
      <w:proofErr w:type="spellStart"/>
      <w:r w:rsidRPr="005A6E80">
        <w:t>SMSI+20</w:t>
      </w:r>
      <w:proofErr w:type="spellEnd"/>
      <w:r w:rsidRPr="005A6E80">
        <w:t xml:space="preserve"> de 2025, actualisé les feuilles de route pour les grandes orientations et renforcé les activités fondamentales de mise en œuvre, comme l'Inventaire du SMSI, les Prix du SMSI et le Fonds d'affectation spéciale pour le SMSI. Étant donné qu'elle assure le secrétariat permanent du Groupe des Nations Unies sur la société de l'information (</w:t>
      </w:r>
      <w:proofErr w:type="spellStart"/>
      <w:r w:rsidRPr="005A6E80">
        <w:t>UNGIS</w:t>
      </w:r>
      <w:proofErr w:type="spellEnd"/>
      <w:r w:rsidRPr="005A6E80">
        <w:t xml:space="preserve">), l'UIT a œuvré à la coordination et à la cohérence des processus des Nations Unies à l'échelle du système, tout en appuyant l'examen du </w:t>
      </w:r>
      <w:proofErr w:type="spellStart"/>
      <w:r w:rsidRPr="005A6E80">
        <w:t>SMSI+20</w:t>
      </w:r>
      <w:proofErr w:type="spellEnd"/>
      <w:r w:rsidRPr="005A6E80">
        <w:t xml:space="preserve"> par le biais de la feuille de route du Secrétaire général, de l'appel à contributions et des rapports sur l'examen des 20 ans du SMSI. L'UIT a également amélioré la mesure des TIC dans le cadre du Partenariat sur la mesure des TIC au service du développement et a appuyé la mise en œuvre des résultats du SMSI au niveau régional, en coopération avec les bureaux régionaux de l'UIT et les commissions régionales des Nations</w:t>
      </w:r>
      <w:r w:rsidR="009152B6" w:rsidRPr="005A6E80">
        <w:t> </w:t>
      </w:r>
      <w:r w:rsidRPr="005A6E80">
        <w:t>Unies.</w:t>
      </w:r>
    </w:p>
    <w:p w14:paraId="143F594C" w14:textId="77777777" w:rsidR="00B34EB6" w:rsidRPr="005A6E80" w:rsidRDefault="00B34EB6" w:rsidP="009152B6">
      <w:pPr>
        <w:pStyle w:val="Heading1"/>
      </w:pPr>
      <w:r w:rsidRPr="005A6E80">
        <w:lastRenderedPageBreak/>
        <w:t>4</w:t>
      </w:r>
      <w:r w:rsidRPr="005A6E80">
        <w:tab/>
        <w:t xml:space="preserve">Résultats de la manifestation de haut niveau </w:t>
      </w:r>
      <w:proofErr w:type="spellStart"/>
      <w:r w:rsidRPr="005A6E80">
        <w:t>SMSI+20</w:t>
      </w:r>
      <w:proofErr w:type="spellEnd"/>
      <w:r w:rsidRPr="005A6E80">
        <w:t xml:space="preserve"> de 2025 et informations actualisées sur les appels à l'action du SMSI de 2026</w:t>
      </w:r>
    </w:p>
    <w:p w14:paraId="5D5176CC" w14:textId="77777777" w:rsidR="00B34EB6" w:rsidRPr="005A6E80" w:rsidRDefault="00B34EB6" w:rsidP="003227E9">
      <w:pPr>
        <w:jc w:val="both"/>
      </w:pPr>
      <w:r w:rsidRPr="005A6E80">
        <w:t xml:space="preserve">Le Forum 2025 du SMSI, qui s'est tenu du 7 au 11 juillet 2025 à Genève en tant que manifestation de haut niveau </w:t>
      </w:r>
      <w:proofErr w:type="spellStart"/>
      <w:r w:rsidRPr="005A6E80">
        <w:t>SMSI+20</w:t>
      </w:r>
      <w:proofErr w:type="spellEnd"/>
      <w:r w:rsidRPr="005A6E80">
        <w:t xml:space="preserve"> de 2025, a marqué une étape importante dans l'examen d'ensemble du </w:t>
      </w:r>
      <w:proofErr w:type="spellStart"/>
      <w:r w:rsidRPr="005A6E80">
        <w:t>SMSI+20</w:t>
      </w:r>
      <w:proofErr w:type="spellEnd"/>
      <w:r w:rsidRPr="005A6E80">
        <w:t xml:space="preserve"> mené par l'Assemblée générale des Nations Unies et a réaffirmé le rôle du SMSI en tant que cadre mandaté par les Nations Unies pour assurer un développement numérique inclusif. Les États Membres ont pris une part active à la manifestation, avec une forte participation au niveau ministériel, et la table ronde ministérielle a été l'occasion de souligner l'importance de préserver le SMSI en tant que processus fondamental de la coopération numérique mondiale, d'éviter les doubles emplois et de renforcer le Forum du SMSI en tant que plate-forme </w:t>
      </w:r>
      <w:proofErr w:type="spellStart"/>
      <w:r w:rsidRPr="005A6E80">
        <w:t>multi-parties</w:t>
      </w:r>
      <w:proofErr w:type="spellEnd"/>
      <w:r w:rsidRPr="005A6E80">
        <w:t xml:space="preserve"> prenantes centrale pour le dialogue, les technologies émergentes et la présentation annuelle des feuilles de route pour les grandes orientations du SMSI.</w:t>
      </w:r>
    </w:p>
    <w:p w14:paraId="1947672C" w14:textId="77777777" w:rsidR="00B34EB6" w:rsidRPr="005A6E80" w:rsidRDefault="00B34EB6" w:rsidP="003227E9">
      <w:pPr>
        <w:jc w:val="both"/>
      </w:pPr>
      <w:r w:rsidRPr="005A6E80">
        <w:t>Les résultats de la manifestation ont été transmis officiellement par le Président de la Commission de la science et de la technique au service du développement (</w:t>
      </w:r>
      <w:proofErr w:type="spellStart"/>
      <w:r w:rsidRPr="005A6E80">
        <w:t>CSTD</w:t>
      </w:r>
      <w:proofErr w:type="spellEnd"/>
      <w:r w:rsidRPr="005A6E80">
        <w:t xml:space="preserve">) au Président du Conseil économique et social, afin que les contributions </w:t>
      </w:r>
      <w:proofErr w:type="spellStart"/>
      <w:r w:rsidRPr="005A6E80">
        <w:t>multi-parties</w:t>
      </w:r>
      <w:proofErr w:type="spellEnd"/>
      <w:r w:rsidRPr="005A6E80">
        <w:t xml:space="preserve"> prenantes étayent directement le processus d'examen du </w:t>
      </w:r>
      <w:proofErr w:type="spellStart"/>
      <w:r w:rsidRPr="005A6E80">
        <w:t>SMSI+20</w:t>
      </w:r>
      <w:proofErr w:type="spellEnd"/>
      <w:r w:rsidRPr="005A6E80">
        <w:t xml:space="preserve">. Les participants ont remercié les partenaires de la manifestation de haut niveau </w:t>
      </w:r>
      <w:proofErr w:type="spellStart"/>
      <w:r w:rsidRPr="005A6E80">
        <w:t>SMSI+20</w:t>
      </w:r>
      <w:proofErr w:type="spellEnd"/>
      <w:r w:rsidRPr="005A6E80">
        <w:t xml:space="preserve"> de 2025 pour leurs contributions financières et leur soutien constant.</w:t>
      </w:r>
    </w:p>
    <w:p w14:paraId="634DCE83" w14:textId="41C03604" w:rsidR="00B34EB6" w:rsidRPr="005A6E80" w:rsidRDefault="00B34EB6" w:rsidP="003227E9">
      <w:pPr>
        <w:jc w:val="both"/>
      </w:pPr>
      <w:r w:rsidRPr="005A6E80">
        <w:t>Pour ce qui concerne 2026, le Groupe a été informé des préparatifs en vue des appels à l'action du SMSI et a été encouragé à promouvoir une large participation à tous les processus du SMSI. Les parties prenantes ont été invitées à contribuer au processus de consultation ouverte pour le Forum du SMSI de 2026, à l'Inventaire du SMSI, aux Prix du</w:t>
      </w:r>
      <w:r w:rsidR="00606A9B" w:rsidRPr="005A6E80">
        <w:t> </w:t>
      </w:r>
      <w:r w:rsidRPr="005A6E80">
        <w:t>SMSI et au concours photo du SMSI, avec des échéances prévues en mars 2026, et à soutenir le Fonds d'affectation spéciale pour le SMSI, notamment en proposant des offres de partenariats dans les six langues de l'Organisation des Nations Unies (ONU).</w:t>
      </w:r>
    </w:p>
    <w:p w14:paraId="3AF85507" w14:textId="77777777" w:rsidR="00B34EB6" w:rsidRPr="005A6E80" w:rsidRDefault="00B34EB6" w:rsidP="009152B6">
      <w:pPr>
        <w:pStyle w:val="Heading1"/>
      </w:pPr>
      <w:r w:rsidRPr="005A6E80">
        <w:t>5</w:t>
      </w:r>
      <w:r w:rsidRPr="005A6E80">
        <w:tab/>
        <w:t>Informations actualisées sur la mise en œuvre et le suivi des Résolutions et des processus pertinents de l'UIT et des Nations Unies</w:t>
      </w:r>
    </w:p>
    <w:p w14:paraId="63E2B46C" w14:textId="40A9F259" w:rsidR="00B34EB6" w:rsidRPr="005A6E80" w:rsidRDefault="00B34EB6" w:rsidP="003227E9">
      <w:pPr>
        <w:jc w:val="both"/>
      </w:pPr>
      <w:r w:rsidRPr="005A6E80">
        <w:t>L'UIT a continué de promouvoir et de coordonner les mesures de suivi liées aux principaux processus et aux principales résolutions des Nations Unies, renforçant ainsi son rôle dans la gouvernance numérique mondiale. Le Secrétariat a fait le point sur les résultats du Sommet de l'avenir de 2024 et sur l'intégration du Pacte numérique mondial dans le processus du</w:t>
      </w:r>
      <w:r w:rsidR="00606A9B" w:rsidRPr="005A6E80">
        <w:t> </w:t>
      </w:r>
      <w:r w:rsidRPr="005A6E80">
        <w:t xml:space="preserve">SMSI, y compris les efforts de mise en œuvre de l'UIT et la coordination à l'échelle du système dans le cadre du Groupe </w:t>
      </w:r>
      <w:proofErr w:type="spellStart"/>
      <w:r w:rsidRPr="005A6E80">
        <w:t>UNGIS</w:t>
      </w:r>
      <w:proofErr w:type="spellEnd"/>
      <w:r w:rsidRPr="005A6E80">
        <w:t xml:space="preserve">. Le Groupe s'est félicité du rôle directeur que joue l'UIT, notamment en assurant la coprésidence du Groupe de travail des Nations Unies sur les technologies numériques, et a pris note de la Résolution A/RES/80/173 de l'Assemblée générale des Nations Unies dans laquelle le Groupe </w:t>
      </w:r>
      <w:proofErr w:type="spellStart"/>
      <w:r w:rsidRPr="005A6E80">
        <w:t>UNGIS</w:t>
      </w:r>
      <w:proofErr w:type="spellEnd"/>
      <w:r w:rsidRPr="005A6E80">
        <w:t xml:space="preserve"> est prié d'élaborer une feuille de route pour la mise en œuvre conjointe du SMSI et du Pacte numérique mondial.</w:t>
      </w:r>
    </w:p>
    <w:p w14:paraId="0B308CFF" w14:textId="5ED1133E" w:rsidR="00B34EB6" w:rsidRPr="005A6E80" w:rsidRDefault="00B34EB6" w:rsidP="003227E9">
      <w:pPr>
        <w:jc w:val="both"/>
      </w:pPr>
      <w:r w:rsidRPr="005A6E80">
        <w:t xml:space="preserve">Le Groupe a également été informé des résultats du Forum politique de haut niveau de 2025 et du Forum sur la gouvernance de l'Internet de 2025. Il s'est félicité des travaux préparatoires en vue de la contribution de l'UIT au Forum politique de haut niveau de 2026, a rappelé que les résultats du </w:t>
      </w:r>
      <w:proofErr w:type="spellStart"/>
      <w:r w:rsidRPr="005A6E80">
        <w:t>SMSI+20</w:t>
      </w:r>
      <w:proofErr w:type="spellEnd"/>
      <w:r w:rsidRPr="005A6E80">
        <w:t xml:space="preserve"> devraient servir de base à l'examen du Programme</w:t>
      </w:r>
      <w:r w:rsidR="009152B6" w:rsidRPr="005A6E80">
        <w:t> </w:t>
      </w:r>
      <w:r w:rsidRPr="005A6E80">
        <w:t xml:space="preserve">2030, et a remercié le Secrétariat pour les projets de contribution et sa mobilisation tout au long de ces </w:t>
      </w:r>
      <w:r w:rsidRPr="005A6E80">
        <w:lastRenderedPageBreak/>
        <w:t>processus. Dans l'ensemble, les mises à jour ont mis en évidence les efforts continus déployés par l'UIT pour assurer la cohérence entre le SMSI, le Pacte numérique mondial, le Programme 2030 et les cadres connexes des Nations Unies, tout en soutenant le dialogue multipartite et l'action coordonnée des Nations Unies.</w:t>
      </w:r>
    </w:p>
    <w:p w14:paraId="609DCC7B" w14:textId="6118B9DE" w:rsidR="00B34EB6" w:rsidRPr="005A6E80" w:rsidRDefault="00B34EB6" w:rsidP="00606A9B">
      <w:pPr>
        <w:pStyle w:val="Heading1"/>
        <w:spacing w:before="320"/>
      </w:pPr>
      <w:r w:rsidRPr="005A6E80">
        <w:t>6</w:t>
      </w:r>
      <w:r w:rsidRPr="005A6E80">
        <w:tab/>
        <w:t>Rapport sur la Résolution 214 (Bucarest, 2022) de la Conférence de</w:t>
      </w:r>
      <w:r w:rsidR="00606A9B" w:rsidRPr="005A6E80">
        <w:t> </w:t>
      </w:r>
      <w:r w:rsidRPr="005A6E80">
        <w:t>plénipotentiaires – Technologies d'intelligence artificielle et</w:t>
      </w:r>
      <w:r w:rsidR="00606A9B" w:rsidRPr="005A6E80">
        <w:t> </w:t>
      </w:r>
      <w:r w:rsidRPr="005A6E80">
        <w:t>télécommunications/technologies de l'information et de la</w:t>
      </w:r>
      <w:r w:rsidR="00606A9B" w:rsidRPr="005A6E80">
        <w:t> </w:t>
      </w:r>
      <w:r w:rsidRPr="005A6E80">
        <w:t>communication</w:t>
      </w:r>
    </w:p>
    <w:p w14:paraId="20BA6D37" w14:textId="77777777" w:rsidR="00B34EB6" w:rsidRPr="005A6E80" w:rsidRDefault="00B34EB6" w:rsidP="003227E9">
      <w:pPr>
        <w:jc w:val="both"/>
      </w:pPr>
      <w:r w:rsidRPr="005A6E80">
        <w:t xml:space="preserve">Le Secrétariat a présenté un rapport complet et actualisé sur les travaux de l'UIT dans le domaine de l'intelligence artificielle (IA), conformément à la Résolution 214 (Bucarest, 2022) de la Conférence de plénipotentiaires de l'UIT, soulignant les progrès accomplis en matière d'élaboration de normes, d'orientations stratégiques, de renforcement des capacités et de coordination à l'échelle du système des Nations Unies. Le rapport décrit les progrès réalisés par l'UIT dans le domaine de l'IA, le renforcement de sa participation aux initiatives du système des Nations Unies en matière d'IA et sa contribution aux discussions mondiales sur les politiques numériques, notamment en tant que partenaire de connaissances du Groupe de travail du </w:t>
      </w:r>
      <w:proofErr w:type="spellStart"/>
      <w:r w:rsidRPr="005A6E80">
        <w:t>G20</w:t>
      </w:r>
      <w:proofErr w:type="spellEnd"/>
      <w:r w:rsidRPr="005A6E80">
        <w:t xml:space="preserve"> sur l'économie numérique.</w:t>
      </w:r>
    </w:p>
    <w:p w14:paraId="2AFCAB5A" w14:textId="48FC35AB" w:rsidR="00B34EB6" w:rsidRPr="005A6E80" w:rsidRDefault="00B34EB6" w:rsidP="003227E9">
      <w:pPr>
        <w:jc w:val="both"/>
      </w:pPr>
      <w:r w:rsidRPr="005A6E80">
        <w:t xml:space="preserve">Le </w:t>
      </w:r>
      <w:proofErr w:type="spellStart"/>
      <w:r w:rsidRPr="005A6E80">
        <w:t>GTC</w:t>
      </w:r>
      <w:proofErr w:type="spellEnd"/>
      <w:r w:rsidRPr="005A6E80">
        <w:t>-SMSI/ODD s'est félicité du rôle moteur joué par l'UIT dans la promotion d'une IA inclusive et responsable, et a pris note d'initiatives phares telles que le Sommet sur l'IA au service du bien social, la Défi GenAI pour le bien social, la Coalition pour les compétences en IA, l'</w:t>
      </w:r>
      <w:r w:rsidR="00606A9B" w:rsidRPr="005A6E80">
        <w:t>I</w:t>
      </w:r>
      <w:r w:rsidRPr="005A6E80">
        <w:t>nitiative "Alertes précoces pour tous" et les activités de l'</w:t>
      </w:r>
      <w:r w:rsidR="00606A9B" w:rsidRPr="005A6E80">
        <w:t>I</w:t>
      </w:r>
      <w:r w:rsidRPr="005A6E80">
        <w:t xml:space="preserve">nitiative Giga reposant sur l'IA. Le Groupe a reconnu le rôle joué par l'UIT dans le renforcement de la coordination au sein du système des Nations Unies grâce à des mécanismes tels que le Groupe de travail </w:t>
      </w:r>
      <w:proofErr w:type="spellStart"/>
      <w:r w:rsidRPr="005A6E80">
        <w:t>interinstitutions</w:t>
      </w:r>
      <w:proofErr w:type="spellEnd"/>
      <w:r w:rsidRPr="005A6E80">
        <w:t xml:space="preserve"> sur l'IA et le sous-groupe sur l'IA du Groupe de travail des Nations Unies sur les technologies numériques, ainsi que son travail approfondi sur les normes internationales en matière d'IA et la mobilisation multipartite. Le Groupe a encouragé une meilleure mise en correspondance des activités avec la Résolution 214 dans les rapports qui seront élaborés à l'avenir et s'est félicité de la poursuite de la collaboration avec les initiatives mondiales en matière d'IA, notamment le Sommet mondial sur l'IA qui s'est tenu en Inde en 2026.</w:t>
      </w:r>
    </w:p>
    <w:p w14:paraId="3A466367" w14:textId="3AE939CC" w:rsidR="00B34EB6" w:rsidRPr="005A6E80" w:rsidRDefault="00B34EB6" w:rsidP="009152B6">
      <w:pPr>
        <w:pStyle w:val="Heading1"/>
      </w:pPr>
      <w:r w:rsidRPr="005A6E80">
        <w:t>7</w:t>
      </w:r>
      <w:r w:rsidRPr="005A6E80">
        <w:tab/>
        <w:t xml:space="preserve">Travaux préparatoires en vue de l'examen d'ensemble du </w:t>
      </w:r>
      <w:proofErr w:type="spellStart"/>
      <w:r w:rsidRPr="005A6E80">
        <w:t>SMSI+20</w:t>
      </w:r>
      <w:proofErr w:type="spellEnd"/>
      <w:r w:rsidRPr="005A6E80">
        <w:t xml:space="preserve"> de l'Assemblée générale des Nations Unies, résultats de cet examen et suivi</w:t>
      </w:r>
      <w:r w:rsidR="00606A9B" w:rsidRPr="005A6E80">
        <w:t> </w:t>
      </w:r>
      <w:r w:rsidRPr="005A6E80">
        <w:t>après 2025</w:t>
      </w:r>
    </w:p>
    <w:p w14:paraId="396039BD" w14:textId="22C24331" w:rsidR="00B34EB6" w:rsidRPr="005A6E80" w:rsidRDefault="00B34EB6" w:rsidP="003227E9">
      <w:pPr>
        <w:widowControl w:val="0"/>
        <w:jc w:val="both"/>
        <w:rPr>
          <w:spacing w:val="-2"/>
        </w:rPr>
      </w:pPr>
      <w:r w:rsidRPr="005A6E80">
        <w:rPr>
          <w:spacing w:val="-2"/>
        </w:rPr>
        <w:t xml:space="preserve">L'UIT a contribué à l'examen d'ensemble du </w:t>
      </w:r>
      <w:proofErr w:type="spellStart"/>
      <w:r w:rsidRPr="005A6E80">
        <w:rPr>
          <w:spacing w:val="-2"/>
        </w:rPr>
        <w:t>SMSI+20</w:t>
      </w:r>
      <w:proofErr w:type="spellEnd"/>
      <w:r w:rsidRPr="005A6E80">
        <w:rPr>
          <w:spacing w:val="-2"/>
        </w:rPr>
        <w:t xml:space="preserve"> mené par l'Assemblée générale des Nations Unies et a appuyé les mesures de suivi visant à soutenir la mise en œuvre des résultats du SMSI après 2025. Le Secrétariat a fourni des mises à jour régulières sur la contribution au processus du </w:t>
      </w:r>
      <w:proofErr w:type="spellStart"/>
      <w:r w:rsidRPr="005A6E80">
        <w:rPr>
          <w:spacing w:val="-2"/>
        </w:rPr>
        <w:t>SMSI+20</w:t>
      </w:r>
      <w:proofErr w:type="spellEnd"/>
      <w:r w:rsidRPr="005A6E80">
        <w:rPr>
          <w:spacing w:val="-2"/>
        </w:rPr>
        <w:t xml:space="preserve">, sur la base de la mise en œuvre de la Feuille de route de la Secrétaire générale de l'UIT pour le </w:t>
      </w:r>
      <w:proofErr w:type="spellStart"/>
      <w:r w:rsidRPr="005A6E80">
        <w:rPr>
          <w:spacing w:val="-2"/>
        </w:rPr>
        <w:t>SMSI+20</w:t>
      </w:r>
      <w:proofErr w:type="spellEnd"/>
      <w:r w:rsidRPr="005A6E80">
        <w:rPr>
          <w:spacing w:val="-2"/>
        </w:rPr>
        <w:t xml:space="preserve">. Le Groupe s'est félicité de l'approche structurée et globale déployée par l'UIT, notamment de l'appel à contributions lancé par l'UIT pour l'examen du </w:t>
      </w:r>
      <w:proofErr w:type="spellStart"/>
      <w:r w:rsidRPr="005A6E80">
        <w:rPr>
          <w:spacing w:val="-2"/>
        </w:rPr>
        <w:t>SMSI+20</w:t>
      </w:r>
      <w:proofErr w:type="spellEnd"/>
      <w:r w:rsidRPr="005A6E80">
        <w:rPr>
          <w:spacing w:val="-2"/>
        </w:rPr>
        <w:t>, qui ont été reçues des membres de l'UIT et des parties prenantes, puis transmises à l'Assemblée générale des Nations Unies, comme convenu par le Conseil de l'UIT. Le travail de coordination a été apprécié, notamment la mise à jour des feuilles de route pour les grandes orientations, et les rapports sur les 20 ans de la mise en</w:t>
      </w:r>
      <w:r w:rsidR="00606A9B" w:rsidRPr="005A6E80">
        <w:rPr>
          <w:spacing w:val="-2"/>
        </w:rPr>
        <w:t xml:space="preserve"> </w:t>
      </w:r>
      <w:r w:rsidRPr="005A6E80">
        <w:rPr>
          <w:spacing w:val="-2"/>
        </w:rPr>
        <w:t>œuvre des résultats du SMSI, qui ont tous été soumis à l'Assemblée générale des Nations</w:t>
      </w:r>
      <w:r w:rsidR="00606A9B" w:rsidRPr="005A6E80">
        <w:rPr>
          <w:spacing w:val="-2"/>
        </w:rPr>
        <w:t xml:space="preserve"> </w:t>
      </w:r>
      <w:r w:rsidRPr="005A6E80">
        <w:rPr>
          <w:spacing w:val="-2"/>
        </w:rPr>
        <w:t>Unies.</w:t>
      </w:r>
    </w:p>
    <w:p w14:paraId="3B93E0E6" w14:textId="77777777" w:rsidR="00B34EB6" w:rsidRPr="005A6E80" w:rsidRDefault="00B34EB6" w:rsidP="003227E9">
      <w:pPr>
        <w:jc w:val="both"/>
      </w:pPr>
      <w:r w:rsidRPr="005A6E80">
        <w:lastRenderedPageBreak/>
        <w:t xml:space="preserve">Les résultats de la réunion de haut niveau de l'Assemblée générale des Nations Unies sur l'examen d'ensemble du </w:t>
      </w:r>
      <w:proofErr w:type="spellStart"/>
      <w:r w:rsidRPr="005A6E80">
        <w:t>SMSI+20</w:t>
      </w:r>
      <w:proofErr w:type="spellEnd"/>
      <w:r w:rsidRPr="005A6E80">
        <w:t xml:space="preserve">, tenue en décembre 2025, qui marquait le vingtième anniversaire de la Déclaration de principes de Genève et de l'Agenda de Tunis, ont été présentés en détail par le Secrétariat à la 44ème réunion, et les États Membres ont saisi l'occasion pour échanger leurs réflexions et leurs commentaires positifs. Les résultats ont été bien accueillis, la participation active et le rôle moteur de l'UIT tout au long du processus préparatoire et pendant la réunion elle-même ont été appréciés, notamment la contribution de la Secrétaire générale de l'UIT au processus, soulignant le rôle de coordonnateur principal de l'UIT dans le processus du SMSI et la volonté de l'UIT de continuer à coordonner et à soutenir la mise en œuvre des résultats du SMSI, en collaboration ses membres et ses partenaires des Nations Unies. </w:t>
      </w:r>
    </w:p>
    <w:p w14:paraId="3327BE35" w14:textId="77777777" w:rsidR="00B34EB6" w:rsidRPr="005A6E80" w:rsidRDefault="00B34EB6" w:rsidP="003227E9">
      <w:pPr>
        <w:jc w:val="both"/>
      </w:pPr>
      <w:r w:rsidRPr="005A6E80">
        <w:t xml:space="preserve">Le document final adopté (A/RES/80/173) a renouvelé et renforcé le mandat de l'UIT dans la mise en œuvre des résultats du SMSI, ce qui a été salué par les participants, soulignant le rôle central de l'UIT dans ce processus, notamment dans la coordination et la mise en œuvre des grandes orientations du SMSI, la convocation du Forum du SMSI, la tenue à jour de la plate-forme d'inventaire du SMSI, l'organisation des Prix du SMSI et la fonction de secrétariat permanent du Groupe </w:t>
      </w:r>
      <w:proofErr w:type="spellStart"/>
      <w:r w:rsidRPr="005A6E80">
        <w:t>UNGIS</w:t>
      </w:r>
      <w:proofErr w:type="spellEnd"/>
      <w:r w:rsidRPr="005A6E80">
        <w:t xml:space="preserve">. </w:t>
      </w:r>
    </w:p>
    <w:p w14:paraId="16B8CB40" w14:textId="77777777" w:rsidR="00B34EB6" w:rsidRPr="005A6E80" w:rsidRDefault="00B34EB6" w:rsidP="003227E9">
      <w:pPr>
        <w:jc w:val="both"/>
      </w:pPr>
      <w:r w:rsidRPr="005A6E80">
        <w:t xml:space="preserve">Le Groupe a procédé à un premier débat sur la mise à jour des Résolutions pertinentes de l'UIT, notamment les Résolutions 1332 et 1334 du Conseil et la Résolution 140 de la Conférence de plénipotentiaires, afin de les aligner sur les résultats du </w:t>
      </w:r>
      <w:proofErr w:type="spellStart"/>
      <w:r w:rsidRPr="005A6E80">
        <w:t>SMSI+20</w:t>
      </w:r>
      <w:proofErr w:type="spellEnd"/>
      <w:r w:rsidRPr="005A6E80">
        <w:t xml:space="preserve"> nouvellement adoptés. Il a été convenu que le Secrétariat préparerait une analyse des lacunes à soumettre au Conseil à sa session de 2026, compte tenu des mandats actuels et des nouvelles responsabilités énoncées dans le Document final du </w:t>
      </w:r>
      <w:proofErr w:type="spellStart"/>
      <w:r w:rsidRPr="005A6E80">
        <w:t>SMSI+20</w:t>
      </w:r>
      <w:proofErr w:type="spellEnd"/>
      <w:r w:rsidRPr="005A6E80">
        <w:t xml:space="preserve">. </w:t>
      </w:r>
    </w:p>
    <w:p w14:paraId="4A5A217A" w14:textId="77777777" w:rsidR="00B34EB6" w:rsidRPr="005A6E80" w:rsidRDefault="00B34EB6" w:rsidP="009152B6">
      <w:pPr>
        <w:pStyle w:val="Heading1"/>
      </w:pPr>
      <w:r w:rsidRPr="005A6E80">
        <w:t>8</w:t>
      </w:r>
      <w:r w:rsidRPr="005A6E80">
        <w:tab/>
        <w:t>Consultation avec les Coprésidents du premier Dialogue mondial sur la gouvernance de l'intelligence artificielle</w:t>
      </w:r>
    </w:p>
    <w:p w14:paraId="7EC32D3E" w14:textId="5FEE8ABF" w:rsidR="00B34EB6" w:rsidRPr="005A6E80" w:rsidRDefault="00B34EB6" w:rsidP="003227E9">
      <w:pPr>
        <w:jc w:val="both"/>
      </w:pPr>
      <w:r w:rsidRPr="005A6E80">
        <w:t xml:space="preserve">À sa 44ème réunion, le </w:t>
      </w:r>
      <w:proofErr w:type="spellStart"/>
      <w:r w:rsidRPr="005A6E80">
        <w:t>GTC</w:t>
      </w:r>
      <w:proofErr w:type="spellEnd"/>
      <w:r w:rsidRPr="005A6E80">
        <w:t>-SMSI/ODD a tenu une consultation avec S.</w:t>
      </w:r>
      <w:r w:rsidR="00F16243" w:rsidRPr="005A6E80">
        <w:t> </w:t>
      </w:r>
      <w:r w:rsidRPr="005A6E80">
        <w:t>E.</w:t>
      </w:r>
      <w:r w:rsidR="00F16243" w:rsidRPr="005A6E80">
        <w:t> </w:t>
      </w:r>
      <w:r w:rsidRPr="005A6E80">
        <w:t>Mme</w:t>
      </w:r>
      <w:r w:rsidR="00F16243" w:rsidRPr="005A6E80">
        <w:t> </w:t>
      </w:r>
      <w:r w:rsidRPr="005A6E80">
        <w:t>Egriselda</w:t>
      </w:r>
      <w:r w:rsidR="00F16243" w:rsidRPr="005A6E80">
        <w:t> </w:t>
      </w:r>
      <w:r w:rsidRPr="005A6E80">
        <w:t xml:space="preserve">López, Représentante permanente d'El Salvador auprès de l'Organisation des Nations Unies, qui s'est exprimée au nom des Coprésidents du premier Dialogue mondial sur la gouvernance de l'IA. Mme López a souligné l'importance du document final du </w:t>
      </w:r>
      <w:proofErr w:type="spellStart"/>
      <w:r w:rsidRPr="005A6E80">
        <w:t>SMSI+20</w:t>
      </w:r>
      <w:proofErr w:type="spellEnd"/>
      <w:r w:rsidRPr="005A6E80">
        <w:t xml:space="preserve"> en tant que fondement de la gouvernance de l'IA, souligné l'importance des approches inclusives, centrées sur les personnes et multipartites et présenté les prochaines étapes des consultations à venir. L'UIT a réaffirmé son appui, notamment dans le cadre de la coordination à l'échelle du système des Nations Unies sur l'IA. Les membres ont souligné l'intérêt d'organiser le Dialogue juste avant ou juste après le Sommet mondial sur l'IA au service du bien social et le Forum 2026 du SMSI, idéalement au même endroit, afin d'optimiser la participation et l'efficacité. </w:t>
      </w:r>
    </w:p>
    <w:p w14:paraId="1826835A" w14:textId="1DD1C30B" w:rsidR="00897553" w:rsidRPr="005A6E80" w:rsidRDefault="009152B6" w:rsidP="009152B6">
      <w:pPr>
        <w:tabs>
          <w:tab w:val="clear" w:pos="567"/>
          <w:tab w:val="clear" w:pos="1134"/>
          <w:tab w:val="clear" w:pos="1701"/>
          <w:tab w:val="clear" w:pos="2268"/>
          <w:tab w:val="clear" w:pos="2835"/>
          <w:tab w:val="center" w:pos="7088"/>
        </w:tabs>
        <w:spacing w:before="840"/>
      </w:pPr>
      <w:r w:rsidRPr="005A6E80">
        <w:tab/>
      </w:r>
      <w:r w:rsidR="00B34EB6" w:rsidRPr="005A6E80">
        <w:t>Cynthia LESUFI</w:t>
      </w:r>
      <w:r w:rsidRPr="005A6E80">
        <w:br/>
      </w:r>
      <w:r w:rsidRPr="005A6E80">
        <w:tab/>
      </w:r>
      <w:r w:rsidR="00B34EB6" w:rsidRPr="005A6E80">
        <w:t xml:space="preserve">Présidente du </w:t>
      </w:r>
      <w:proofErr w:type="spellStart"/>
      <w:r w:rsidR="00B34EB6" w:rsidRPr="005A6E80">
        <w:t>GTC</w:t>
      </w:r>
      <w:proofErr w:type="spellEnd"/>
      <w:r w:rsidR="00B34EB6" w:rsidRPr="005A6E80">
        <w:t>-SMSI/ODD</w:t>
      </w:r>
    </w:p>
    <w:sectPr w:rsidR="00897553" w:rsidRPr="005A6E80" w:rsidSect="00D72F49">
      <w:headerReference w:type="even" r:id="rId45"/>
      <w:footerReference w:type="even" r:id="rId46"/>
      <w:footerReference w:type="default" r:id="rId47"/>
      <w:headerReference w:type="first" r:id="rId48"/>
      <w:footerReference w:type="first" r:id="rId4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920C" w14:textId="77777777" w:rsidR="006F3079" w:rsidRDefault="006F3079">
      <w:r>
        <w:separator/>
      </w:r>
    </w:p>
  </w:endnote>
  <w:endnote w:type="continuationSeparator" w:id="0">
    <w:p w14:paraId="0F4002D8" w14:textId="77777777" w:rsidR="006F3079" w:rsidRDefault="006F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3E07" w14:textId="3BB7B2E5" w:rsidR="00732045" w:rsidRDefault="006F3079">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B70AFA">
      <w:t>13.03.26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C0AB745" w14:textId="77777777" w:rsidTr="00E31DCE">
      <w:trPr>
        <w:jc w:val="center"/>
      </w:trPr>
      <w:tc>
        <w:tcPr>
          <w:tcW w:w="1803" w:type="dxa"/>
          <w:vAlign w:val="center"/>
        </w:tcPr>
        <w:p w14:paraId="481D08EA" w14:textId="66B42633" w:rsidR="00A51849" w:rsidRDefault="00B34EB6" w:rsidP="00A51849">
          <w:pPr>
            <w:pStyle w:val="Header"/>
            <w:jc w:val="left"/>
            <w:rPr>
              <w:noProof/>
            </w:rPr>
          </w:pPr>
          <w:r>
            <w:rPr>
              <w:noProof/>
            </w:rPr>
            <w:t>2600439</w:t>
          </w:r>
        </w:p>
      </w:tc>
      <w:tc>
        <w:tcPr>
          <w:tcW w:w="8261" w:type="dxa"/>
        </w:tcPr>
        <w:p w14:paraId="1CEBC5A9" w14:textId="62E053A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B34EB6">
            <w:rPr>
              <w:bCs/>
            </w:rPr>
            <w:t>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225817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D75A6C" w14:textId="77777777" w:rsidTr="00E31DCE">
      <w:trPr>
        <w:jc w:val="center"/>
      </w:trPr>
      <w:tc>
        <w:tcPr>
          <w:tcW w:w="1803" w:type="dxa"/>
          <w:vAlign w:val="center"/>
        </w:tcPr>
        <w:p w14:paraId="72A3D440"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2128DD2" w14:textId="4809662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668CD">
            <w:rPr>
              <w:bCs/>
            </w:rPr>
            <w:t>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CB4D6B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1834" w14:textId="77777777" w:rsidR="006F3079" w:rsidRDefault="006F3079">
      <w:r>
        <w:t>____________________</w:t>
      </w:r>
    </w:p>
  </w:footnote>
  <w:footnote w:type="continuationSeparator" w:id="0">
    <w:p w14:paraId="03516C26" w14:textId="77777777" w:rsidR="006F3079" w:rsidRDefault="006F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C60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B380A4"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AFEB" w14:textId="77777777" w:rsidR="00A51849" w:rsidRPr="001342E0" w:rsidRDefault="001342E0" w:rsidP="001342E0">
    <w:pPr>
      <w:pStyle w:val="Header"/>
    </w:pPr>
    <w:r>
      <w:rPr>
        <w:noProof/>
      </w:rPr>
      <w:drawing>
        <wp:inline distT="0" distB="0" distL="0" distR="0" wp14:anchorId="6D8455CA" wp14:editId="08DC1D5F">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79"/>
    <w:rsid w:val="00076A2C"/>
    <w:rsid w:val="000D0D0A"/>
    <w:rsid w:val="00103163"/>
    <w:rsid w:val="0010597F"/>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06A1"/>
    <w:rsid w:val="00271321"/>
    <w:rsid w:val="00277DEA"/>
    <w:rsid w:val="00290D15"/>
    <w:rsid w:val="002A5D44"/>
    <w:rsid w:val="002C3F32"/>
    <w:rsid w:val="002C4E3D"/>
    <w:rsid w:val="002D2336"/>
    <w:rsid w:val="002E0BC4"/>
    <w:rsid w:val="002F1B76"/>
    <w:rsid w:val="003227E9"/>
    <w:rsid w:val="0033568E"/>
    <w:rsid w:val="00355FF5"/>
    <w:rsid w:val="00361350"/>
    <w:rsid w:val="003C3FAE"/>
    <w:rsid w:val="004038CB"/>
    <w:rsid w:val="0040546F"/>
    <w:rsid w:val="004177BD"/>
    <w:rsid w:val="0042404A"/>
    <w:rsid w:val="0044618F"/>
    <w:rsid w:val="00465C35"/>
    <w:rsid w:val="0046769A"/>
    <w:rsid w:val="00475FB3"/>
    <w:rsid w:val="0049260A"/>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A6E80"/>
    <w:rsid w:val="005B1938"/>
    <w:rsid w:val="005C3890"/>
    <w:rsid w:val="005E0B85"/>
    <w:rsid w:val="005F7BFE"/>
    <w:rsid w:val="00600017"/>
    <w:rsid w:val="00602682"/>
    <w:rsid w:val="00606A9B"/>
    <w:rsid w:val="006235CA"/>
    <w:rsid w:val="0062366E"/>
    <w:rsid w:val="006643AB"/>
    <w:rsid w:val="006A11AE"/>
    <w:rsid w:val="006A20A5"/>
    <w:rsid w:val="006B224B"/>
    <w:rsid w:val="006F0A53"/>
    <w:rsid w:val="006F3079"/>
    <w:rsid w:val="0071402E"/>
    <w:rsid w:val="007210CD"/>
    <w:rsid w:val="00732045"/>
    <w:rsid w:val="0073275D"/>
    <w:rsid w:val="007369DB"/>
    <w:rsid w:val="0075460C"/>
    <w:rsid w:val="0077110E"/>
    <w:rsid w:val="007728CB"/>
    <w:rsid w:val="007956C2"/>
    <w:rsid w:val="00796BDB"/>
    <w:rsid w:val="007A187E"/>
    <w:rsid w:val="007A3BDF"/>
    <w:rsid w:val="007C72C2"/>
    <w:rsid w:val="007D4436"/>
    <w:rsid w:val="007F257A"/>
    <w:rsid w:val="007F3665"/>
    <w:rsid w:val="00800037"/>
    <w:rsid w:val="0082299A"/>
    <w:rsid w:val="0083391C"/>
    <w:rsid w:val="00842C09"/>
    <w:rsid w:val="0084546D"/>
    <w:rsid w:val="00861D73"/>
    <w:rsid w:val="00882919"/>
    <w:rsid w:val="008911E0"/>
    <w:rsid w:val="00897553"/>
    <w:rsid w:val="008A4E87"/>
    <w:rsid w:val="008D76E6"/>
    <w:rsid w:val="009152B6"/>
    <w:rsid w:val="0092392D"/>
    <w:rsid w:val="0093234A"/>
    <w:rsid w:val="00956A78"/>
    <w:rsid w:val="009668CD"/>
    <w:rsid w:val="0097363B"/>
    <w:rsid w:val="00973F53"/>
    <w:rsid w:val="0098348E"/>
    <w:rsid w:val="00994A24"/>
    <w:rsid w:val="009A6BAA"/>
    <w:rsid w:val="009A76A8"/>
    <w:rsid w:val="009B67D2"/>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4A13"/>
    <w:rsid w:val="00B27B00"/>
    <w:rsid w:val="00B309F9"/>
    <w:rsid w:val="00B32B60"/>
    <w:rsid w:val="00B34EB6"/>
    <w:rsid w:val="00B51005"/>
    <w:rsid w:val="00B61619"/>
    <w:rsid w:val="00B70AFA"/>
    <w:rsid w:val="00BB38C1"/>
    <w:rsid w:val="00BB4545"/>
    <w:rsid w:val="00BD5873"/>
    <w:rsid w:val="00BF4B60"/>
    <w:rsid w:val="00C049D7"/>
    <w:rsid w:val="00C04BE3"/>
    <w:rsid w:val="00C25D29"/>
    <w:rsid w:val="00C2625E"/>
    <w:rsid w:val="00C27A7C"/>
    <w:rsid w:val="00C42437"/>
    <w:rsid w:val="00C657C6"/>
    <w:rsid w:val="00C96AA5"/>
    <w:rsid w:val="00CA08ED"/>
    <w:rsid w:val="00CC6EAA"/>
    <w:rsid w:val="00CE5172"/>
    <w:rsid w:val="00CF0534"/>
    <w:rsid w:val="00CF183B"/>
    <w:rsid w:val="00D36270"/>
    <w:rsid w:val="00D375CD"/>
    <w:rsid w:val="00D37B53"/>
    <w:rsid w:val="00D553A2"/>
    <w:rsid w:val="00D72F49"/>
    <w:rsid w:val="00D774D3"/>
    <w:rsid w:val="00D904E8"/>
    <w:rsid w:val="00D94226"/>
    <w:rsid w:val="00DA08C3"/>
    <w:rsid w:val="00DB5A3E"/>
    <w:rsid w:val="00DC22AA"/>
    <w:rsid w:val="00DD1A99"/>
    <w:rsid w:val="00DE62C6"/>
    <w:rsid w:val="00DF74DD"/>
    <w:rsid w:val="00E25AD0"/>
    <w:rsid w:val="00E4428F"/>
    <w:rsid w:val="00E4448E"/>
    <w:rsid w:val="00E47427"/>
    <w:rsid w:val="00E93668"/>
    <w:rsid w:val="00E95647"/>
    <w:rsid w:val="00EB6350"/>
    <w:rsid w:val="00ED6DE1"/>
    <w:rsid w:val="00ED799B"/>
    <w:rsid w:val="00F15B57"/>
    <w:rsid w:val="00F16243"/>
    <w:rsid w:val="00F35EF4"/>
    <w:rsid w:val="00F37FE5"/>
    <w:rsid w:val="00F427DB"/>
    <w:rsid w:val="00F45304"/>
    <w:rsid w:val="00FA5EB1"/>
    <w:rsid w:val="00FA7439"/>
    <w:rsid w:val="00FB6B7A"/>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0B619"/>
  <w15:docId w15:val="{63E0A32C-166A-4847-A6E6-929A9123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D36270"/>
    <w:pPr>
      <w:spacing w:before="840"/>
    </w:pPr>
    <w:rPr>
      <w:b/>
      <w:sz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D36270"/>
    <w:pPr>
      <w:framePr w:hSpace="180" w:wrap="around" w:hAnchor="page" w:x="1821" w:y="2317"/>
      <w:spacing w:after="160"/>
    </w:pPr>
    <w:rPr>
      <w:sz w:val="32"/>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a/res/70/1" TargetMode="External"/><Relationship Id="rId18" Type="http://schemas.openxmlformats.org/officeDocument/2006/relationships/hyperlink" Target="https://docs.un.org/A/RES/73/218" TargetMode="External"/><Relationship Id="rId26" Type="http://schemas.openxmlformats.org/officeDocument/2006/relationships/hyperlink" Target="https://www.itu.int/itu-d/meetings/wtdc25/wp-content/uploads/sites/29/2025/11/090-E.pdf" TargetMode="External"/><Relationship Id="rId39" Type="http://schemas.openxmlformats.org/officeDocument/2006/relationships/hyperlink" Target="https://www.itu.int/md/S23-CL-C-0119/fr" TargetMode="External"/><Relationship Id="rId21" Type="http://schemas.openxmlformats.org/officeDocument/2006/relationships/hyperlink" Target="https://www.itu.int/en/council/Documents/basic-texts-2023/RES-140-F.pdf" TargetMode="External"/><Relationship Id="rId34" Type="http://schemas.openxmlformats.org/officeDocument/2006/relationships/hyperlink" Target="https://www.itu.int/md/S22-CWGWSIS38-C-0014/fr" TargetMode="External"/><Relationship Id="rId42" Type="http://schemas.openxmlformats.org/officeDocument/2006/relationships/hyperlink" Target="https://www.itu.int/dms_pub/itu-s/md/25/cwgwsis43/c/S25-CWGWSIS43-C-0020!R1!MSW-E.docx"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un.org/A/RES/70/299" TargetMode="External"/><Relationship Id="rId29" Type="http://schemas.openxmlformats.org/officeDocument/2006/relationships/hyperlink" Target="https://www.itu.int/net/wsis/implementation/2014/forum/inc/doc/outcome/362828V2F.pdf"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md/S24-CL-C-0141/fr" TargetMode="External"/><Relationship Id="rId32" Type="http://schemas.openxmlformats.org/officeDocument/2006/relationships/hyperlink" Target="https://www.itu.int/en/itu-wsis/Documents/WSIS+10Report.pdf" TargetMode="External"/><Relationship Id="rId37" Type="http://schemas.openxmlformats.org/officeDocument/2006/relationships/hyperlink" Target="https://unctad.org/system/files/official-document/ecn162025d4_en.pdf" TargetMode="External"/><Relationship Id="rId40" Type="http://schemas.openxmlformats.org/officeDocument/2006/relationships/hyperlink" Target="https://www.itu.int/en/council/Documents/basic-texts-2023/RES-140-F.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un.org/A/RES/71/212" TargetMode="External"/><Relationship Id="rId23" Type="http://schemas.openxmlformats.org/officeDocument/2006/relationships/hyperlink" Target="https://www.itu.int/en/council/Documents/basic-texts-2023/RES-071-F.pdf" TargetMode="External"/><Relationship Id="rId28" Type="http://schemas.openxmlformats.org/officeDocument/2006/relationships/hyperlink" Target="https://www.itu.int/pub/R-RES-R.61-3-2023/fr" TargetMode="External"/><Relationship Id="rId36" Type="http://schemas.openxmlformats.org/officeDocument/2006/relationships/hyperlink" Target="https://www.un.org/sites/un2.un.org/files/sotf-pact_for_the_future_adopted.pdf" TargetMode="External"/><Relationship Id="rId49" Type="http://schemas.openxmlformats.org/officeDocument/2006/relationships/footer" Target="footer3.xml"/><Relationship Id="rId10" Type="http://schemas.openxmlformats.org/officeDocument/2006/relationships/hyperlink" Target="https://www.itu.int/md/S23-CL-C-0120/fr" TargetMode="External"/><Relationship Id="rId19" Type="http://schemas.openxmlformats.org/officeDocument/2006/relationships/hyperlink" Target="https://docs.un.org/A/RES/80/173" TargetMode="External"/><Relationship Id="rId31" Type="http://schemas.openxmlformats.org/officeDocument/2006/relationships/hyperlink" Target="https://www.itu.int/en/ITU-D/Statistics/Documents/publications/wsisreview2014/WSIS2014_review.pdf" TargetMode="External"/><Relationship Id="rId44" Type="http://schemas.openxmlformats.org/officeDocument/2006/relationships/hyperlink" Target="https://www.itu.int/dms_pub/itu-s/md/26/cwgwsis44/c/S26-CWGWSIS44-C-0008!R1!MSW-E.docx" TargetMode="External"/><Relationship Id="rId4" Type="http://schemas.openxmlformats.org/officeDocument/2006/relationships/settings" Target="settings.xml"/><Relationship Id="rId9" Type="http://schemas.openxmlformats.org/officeDocument/2006/relationships/hyperlink" Target="https://www.itu.int/md/S24-CL-C-0141/fr" TargetMode="External"/><Relationship Id="rId14" Type="http://schemas.openxmlformats.org/officeDocument/2006/relationships/hyperlink" Target="https://docs.un.org/a/res/77/150" TargetMode="External"/><Relationship Id="rId22" Type="http://schemas.openxmlformats.org/officeDocument/2006/relationships/hyperlink" Target="https://www.itu.int/en/council/cwg-wsis/Documents/Resolution172-PP10.pdf" TargetMode="External"/><Relationship Id="rId27" Type="http://schemas.openxmlformats.org/officeDocument/2006/relationships/hyperlink" Target="https://www.itu.int/pub/T-RES-T.75-2022/fr" TargetMode="External"/><Relationship Id="rId30" Type="http://schemas.openxmlformats.org/officeDocument/2006/relationships/hyperlink" Target="https://www.itu.int/net/wsis/implementation/2014/forum/inc/doc/outcome/362828V2F.pdf" TargetMode="External"/><Relationship Id="rId35" Type="http://schemas.openxmlformats.org/officeDocument/2006/relationships/hyperlink" Target="https://www.itu.int/en/itu-wsis/Documents/WSIS20/WSIS+20Report.pdf" TargetMode="External"/><Relationship Id="rId43" Type="http://schemas.openxmlformats.org/officeDocument/2006/relationships/hyperlink" Target="https://www.itu.int/md/S26-CWGWSIS44-C/fr" TargetMode="External"/><Relationship Id="rId48" Type="http://schemas.openxmlformats.org/officeDocument/2006/relationships/header" Target="header2.xml"/><Relationship Id="rId8" Type="http://schemas.openxmlformats.org/officeDocument/2006/relationships/hyperlink" Target="https://www.itu.int/en/council/Documents/basic-texts-2023/RES-140-F.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un.org/a/res/70/125" TargetMode="External"/><Relationship Id="rId17" Type="http://schemas.openxmlformats.org/officeDocument/2006/relationships/hyperlink" Target="https://docs.un.org/A/70/684" TargetMode="External"/><Relationship Id="rId25" Type="http://schemas.openxmlformats.org/officeDocument/2006/relationships/hyperlink" Target="https://www.itu.int/md/S23-CL-C-0120/fr" TargetMode="External"/><Relationship Id="rId33" Type="http://schemas.openxmlformats.org/officeDocument/2006/relationships/hyperlink" Target="https://www.itu.int/en/itu-wsis/Documents/WSIS+10Report.pdf" TargetMode="External"/><Relationship Id="rId38" Type="http://schemas.openxmlformats.org/officeDocument/2006/relationships/hyperlink" Target="https://www.itu.int/net4/wsis/forum/2026/fr" TargetMode="External"/><Relationship Id="rId46" Type="http://schemas.openxmlformats.org/officeDocument/2006/relationships/footer" Target="footer1.xml"/><Relationship Id="rId20" Type="http://schemas.openxmlformats.org/officeDocument/2006/relationships/hyperlink" Target="https://docs.un.org/E/RES/2025/18" TargetMode="External"/><Relationship Id="rId41" Type="http://schemas.openxmlformats.org/officeDocument/2006/relationships/hyperlink" Target="https://www.itu.int/md/S25-CWGWSIS43-C/f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DBDA-F7DC-4093-8FEE-278D6B94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101</TotalTime>
  <Pages>5</Pages>
  <Words>2514</Words>
  <Characters>13146</Characters>
  <Application>Microsoft Office Word</Application>
  <DocSecurity>0</DocSecurity>
  <Lines>203</Lines>
  <Paragraphs>44</Paragraphs>
  <ScaleCrop>false</ScaleCrop>
  <HeadingPairs>
    <vt:vector size="2" baseType="variant">
      <vt:variant>
        <vt:lpstr>Title</vt:lpstr>
      </vt:variant>
      <vt:variant>
        <vt:i4>1</vt:i4>
      </vt:variant>
    </vt:vector>
  </HeadingPairs>
  <TitlesOfParts>
    <vt:vector size="1" baseType="lpstr">
      <vt:lpstr>Rapport sur les résultats des 43ème et 44ème réunions du Groupe de travail du Conseil sur le SMSI et les ODD</vt:lpstr>
    </vt:vector>
  </TitlesOfParts>
  <Manager>Secrétariat général - Pool</Manager>
  <Company>Union internationale des télécommunications (UIT)</Company>
  <LinksUpToDate>false</LinksUpToDate>
  <CharactersWithSpaces>15626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résultats des 43ème et 44ème réunions du Groupe de travail du Conseil sur le SMSI et les ODD</dc:title>
  <dc:subject>Conseil 2026 de l'UIT</dc:subject>
  <cp:keywords>C26; C2026; Council 2026; PP26</cp:keywords>
  <dc:description/>
  <cp:lastPrinted>2000-07-18T08:55:00Z</cp:lastPrinted>
  <dcterms:created xsi:type="dcterms:W3CDTF">2026-03-12T15:09:00Z</dcterms:created>
  <dcterms:modified xsi:type="dcterms:W3CDTF">2026-03-13T15:47:00Z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