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FE57F6" w:rsidRPr="00CF4BED" w14:paraId="4D3C3195" w14:textId="77777777" w:rsidTr="00C4421B">
        <w:trPr>
          <w:cantSplit/>
          <w:trHeight w:val="23"/>
        </w:trPr>
        <w:tc>
          <w:tcPr>
            <w:tcW w:w="3969" w:type="dxa"/>
            <w:vMerge w:val="restart"/>
            <w:tcMar>
              <w:left w:w="0" w:type="dxa"/>
            </w:tcMar>
          </w:tcPr>
          <w:p w14:paraId="5F6DB1F4" w14:textId="3F655001" w:rsidR="00FE57F6" w:rsidRPr="00CF4BED" w:rsidRDefault="00517E95" w:rsidP="00C4421B">
            <w:pPr>
              <w:tabs>
                <w:tab w:val="left" w:pos="851"/>
              </w:tabs>
              <w:spacing w:before="0" w:line="240" w:lineRule="atLeast"/>
              <w:rPr>
                <w:b/>
                <w:lang w:val="es-ES"/>
              </w:rPr>
            </w:pPr>
            <w:bookmarkStart w:id="0" w:name="_Hlk133421839"/>
            <w:r w:rsidRPr="00CF4BED">
              <w:rPr>
                <w:b/>
                <w:lang w:val="es-ES"/>
              </w:rPr>
              <w:t>Punto del o</w:t>
            </w:r>
            <w:r w:rsidR="00BB6FD8" w:rsidRPr="00CF4BED">
              <w:rPr>
                <w:b/>
                <w:lang w:val="es-ES"/>
              </w:rPr>
              <w:t>rden del día</w:t>
            </w:r>
            <w:r w:rsidR="00FE57F6" w:rsidRPr="00CF4BED">
              <w:rPr>
                <w:b/>
                <w:lang w:val="es-ES"/>
              </w:rPr>
              <w:t xml:space="preserve">: </w:t>
            </w:r>
            <w:r w:rsidRPr="00CF4BED">
              <w:rPr>
                <w:b/>
                <w:lang w:val="es-ES"/>
              </w:rPr>
              <w:t>PL-3</w:t>
            </w:r>
          </w:p>
        </w:tc>
        <w:tc>
          <w:tcPr>
            <w:tcW w:w="5245" w:type="dxa"/>
          </w:tcPr>
          <w:p w14:paraId="0E50CFAF" w14:textId="26594E85" w:rsidR="00FE57F6" w:rsidRPr="00CF4BED" w:rsidRDefault="00FE57F6" w:rsidP="00C4421B">
            <w:pPr>
              <w:tabs>
                <w:tab w:val="left" w:pos="851"/>
              </w:tabs>
              <w:spacing w:before="0" w:line="240" w:lineRule="atLeast"/>
              <w:jc w:val="right"/>
              <w:rPr>
                <w:b/>
                <w:lang w:val="es-ES"/>
              </w:rPr>
            </w:pPr>
            <w:r w:rsidRPr="00CF4BED">
              <w:rPr>
                <w:b/>
                <w:lang w:val="es-ES"/>
              </w:rPr>
              <w:t>Document</w:t>
            </w:r>
            <w:r w:rsidR="00F24B71" w:rsidRPr="00CF4BED">
              <w:rPr>
                <w:b/>
                <w:lang w:val="es-ES"/>
              </w:rPr>
              <w:t>o</w:t>
            </w:r>
            <w:r w:rsidRPr="00CF4BED">
              <w:rPr>
                <w:b/>
                <w:lang w:val="es-ES"/>
              </w:rPr>
              <w:t xml:space="preserve"> </w:t>
            </w:r>
            <w:proofErr w:type="spellStart"/>
            <w:r w:rsidRPr="00CF4BED">
              <w:rPr>
                <w:b/>
                <w:lang w:val="es-ES"/>
              </w:rPr>
              <w:t>C2</w:t>
            </w:r>
            <w:r w:rsidR="00F85E5C" w:rsidRPr="00CF4BED">
              <w:rPr>
                <w:b/>
                <w:lang w:val="es-ES"/>
              </w:rPr>
              <w:t>6</w:t>
            </w:r>
            <w:proofErr w:type="spellEnd"/>
            <w:r w:rsidRPr="00CF4BED">
              <w:rPr>
                <w:b/>
                <w:lang w:val="es-ES"/>
              </w:rPr>
              <w:t>/</w:t>
            </w:r>
            <w:r w:rsidR="00517E95" w:rsidRPr="00CF4BED">
              <w:rPr>
                <w:b/>
                <w:lang w:val="es-ES"/>
              </w:rPr>
              <w:t>6</w:t>
            </w:r>
            <w:r w:rsidRPr="00CF4BED">
              <w:rPr>
                <w:b/>
                <w:lang w:val="es-ES"/>
              </w:rPr>
              <w:t>-</w:t>
            </w:r>
            <w:r w:rsidR="00F24B71" w:rsidRPr="00CF4BED">
              <w:rPr>
                <w:b/>
                <w:lang w:val="es-ES"/>
              </w:rPr>
              <w:t>S</w:t>
            </w:r>
          </w:p>
        </w:tc>
      </w:tr>
      <w:tr w:rsidR="00FE57F6" w:rsidRPr="00CF4BED" w14:paraId="5BDC534D" w14:textId="77777777" w:rsidTr="00C4421B">
        <w:trPr>
          <w:cantSplit/>
        </w:trPr>
        <w:tc>
          <w:tcPr>
            <w:tcW w:w="3969" w:type="dxa"/>
            <w:vMerge/>
          </w:tcPr>
          <w:p w14:paraId="19470623" w14:textId="77777777" w:rsidR="00FE57F6" w:rsidRPr="00CF4BED" w:rsidRDefault="00FE57F6" w:rsidP="00C4421B">
            <w:pPr>
              <w:tabs>
                <w:tab w:val="left" w:pos="851"/>
              </w:tabs>
              <w:spacing w:line="240" w:lineRule="atLeast"/>
              <w:rPr>
                <w:b/>
                <w:lang w:val="es-ES"/>
              </w:rPr>
            </w:pPr>
          </w:p>
        </w:tc>
        <w:tc>
          <w:tcPr>
            <w:tcW w:w="5245" w:type="dxa"/>
          </w:tcPr>
          <w:p w14:paraId="54C31A7F" w14:textId="7C978951" w:rsidR="00FE57F6" w:rsidRPr="00CF4BED" w:rsidRDefault="00517E95" w:rsidP="00C4421B">
            <w:pPr>
              <w:tabs>
                <w:tab w:val="left" w:pos="851"/>
              </w:tabs>
              <w:spacing w:before="0"/>
              <w:jc w:val="right"/>
              <w:rPr>
                <w:b/>
                <w:lang w:val="es-ES"/>
              </w:rPr>
            </w:pPr>
            <w:r w:rsidRPr="00CF4BED">
              <w:rPr>
                <w:b/>
                <w:lang w:val="es-ES"/>
              </w:rPr>
              <w:t>27 de febrero de 2026</w:t>
            </w:r>
          </w:p>
        </w:tc>
      </w:tr>
      <w:tr w:rsidR="00FE57F6" w:rsidRPr="00CF4BED" w14:paraId="14755DA9" w14:textId="77777777" w:rsidTr="00C4421B">
        <w:trPr>
          <w:cantSplit/>
          <w:trHeight w:val="23"/>
        </w:trPr>
        <w:tc>
          <w:tcPr>
            <w:tcW w:w="3969" w:type="dxa"/>
            <w:vMerge/>
          </w:tcPr>
          <w:p w14:paraId="2E7490A8" w14:textId="77777777" w:rsidR="00FE57F6" w:rsidRPr="00CF4BED" w:rsidRDefault="00FE57F6" w:rsidP="00C4421B">
            <w:pPr>
              <w:tabs>
                <w:tab w:val="left" w:pos="851"/>
              </w:tabs>
              <w:spacing w:line="240" w:lineRule="atLeast"/>
              <w:rPr>
                <w:b/>
                <w:lang w:val="es-ES"/>
              </w:rPr>
            </w:pPr>
          </w:p>
        </w:tc>
        <w:tc>
          <w:tcPr>
            <w:tcW w:w="5245" w:type="dxa"/>
          </w:tcPr>
          <w:p w14:paraId="48DE5526" w14:textId="77777777" w:rsidR="00FE57F6" w:rsidRPr="00CF4BED" w:rsidRDefault="00F24B71" w:rsidP="00C4421B">
            <w:pPr>
              <w:tabs>
                <w:tab w:val="left" w:pos="851"/>
              </w:tabs>
              <w:spacing w:before="0" w:line="240" w:lineRule="atLeast"/>
              <w:jc w:val="right"/>
              <w:rPr>
                <w:b/>
                <w:bCs/>
                <w:lang w:val="es-ES"/>
              </w:rPr>
            </w:pPr>
            <w:r w:rsidRPr="00CF4BED">
              <w:rPr>
                <w:rFonts w:cstheme="minorHAnsi"/>
                <w:b/>
                <w:bCs/>
                <w:lang w:val="es-ES"/>
              </w:rPr>
              <w:t>Original: inglés</w:t>
            </w:r>
          </w:p>
        </w:tc>
      </w:tr>
      <w:tr w:rsidR="00FE57F6" w:rsidRPr="00CF4BED" w14:paraId="2DB99A59" w14:textId="77777777" w:rsidTr="00C4421B">
        <w:trPr>
          <w:cantSplit/>
          <w:trHeight w:val="23"/>
        </w:trPr>
        <w:tc>
          <w:tcPr>
            <w:tcW w:w="3969" w:type="dxa"/>
          </w:tcPr>
          <w:p w14:paraId="7596E17A" w14:textId="77777777" w:rsidR="00FE57F6" w:rsidRPr="00CF4BED" w:rsidRDefault="00FE57F6" w:rsidP="00C4421B">
            <w:pPr>
              <w:tabs>
                <w:tab w:val="left" w:pos="851"/>
              </w:tabs>
              <w:spacing w:line="240" w:lineRule="atLeast"/>
              <w:rPr>
                <w:b/>
                <w:lang w:val="es-ES"/>
              </w:rPr>
            </w:pPr>
          </w:p>
        </w:tc>
        <w:tc>
          <w:tcPr>
            <w:tcW w:w="5245" w:type="dxa"/>
          </w:tcPr>
          <w:p w14:paraId="3854F14B" w14:textId="77777777" w:rsidR="00FE57F6" w:rsidRPr="00CF4BED" w:rsidRDefault="00FE57F6" w:rsidP="00C4421B">
            <w:pPr>
              <w:tabs>
                <w:tab w:val="left" w:pos="851"/>
              </w:tabs>
              <w:spacing w:before="0" w:line="240" w:lineRule="atLeast"/>
              <w:jc w:val="right"/>
              <w:rPr>
                <w:b/>
                <w:lang w:val="es-ES"/>
              </w:rPr>
            </w:pPr>
          </w:p>
        </w:tc>
      </w:tr>
      <w:tr w:rsidR="00FE57F6" w:rsidRPr="00C67712" w14:paraId="2562DA5D" w14:textId="77777777" w:rsidTr="00C4421B">
        <w:trPr>
          <w:cantSplit/>
        </w:trPr>
        <w:tc>
          <w:tcPr>
            <w:tcW w:w="9214" w:type="dxa"/>
            <w:gridSpan w:val="2"/>
            <w:tcMar>
              <w:left w:w="0" w:type="dxa"/>
            </w:tcMar>
          </w:tcPr>
          <w:p w14:paraId="4463027A" w14:textId="77777777" w:rsidR="00FE57F6" w:rsidRPr="00CF4BED" w:rsidRDefault="00157AC4" w:rsidP="002654B7">
            <w:pPr>
              <w:pStyle w:val="Source"/>
              <w:framePr w:hSpace="0" w:wrap="auto" w:vAnchor="margin" w:hAnchor="text" w:xAlign="left" w:yAlign="inline"/>
            </w:pPr>
            <w:r w:rsidRPr="00CF4BED">
              <w:t xml:space="preserve">Informe de la </w:t>
            </w:r>
            <w:r w:rsidRPr="002654B7">
              <w:t>Secretaria</w:t>
            </w:r>
            <w:r w:rsidRPr="00CF4BED">
              <w:t xml:space="preserve"> General</w:t>
            </w:r>
          </w:p>
        </w:tc>
      </w:tr>
      <w:tr w:rsidR="00FE57F6" w:rsidRPr="00C67712" w14:paraId="65FAC0B0" w14:textId="77777777" w:rsidTr="00C4421B">
        <w:trPr>
          <w:cantSplit/>
        </w:trPr>
        <w:tc>
          <w:tcPr>
            <w:tcW w:w="9214" w:type="dxa"/>
            <w:gridSpan w:val="2"/>
            <w:tcMar>
              <w:left w:w="0" w:type="dxa"/>
            </w:tcMar>
          </w:tcPr>
          <w:p w14:paraId="5C5FE5AB" w14:textId="63087A21" w:rsidR="00FE57F6" w:rsidRPr="00CF4BED" w:rsidRDefault="002654B7" w:rsidP="00C4421B">
            <w:pPr>
              <w:pStyle w:val="Subtitle"/>
              <w:framePr w:hSpace="0" w:wrap="auto" w:hAnchor="text" w:xAlign="left" w:yAlign="inline"/>
              <w:rPr>
                <w:lang w:val="es-ES"/>
              </w:rPr>
            </w:pPr>
            <w:r w:rsidRPr="00CF4BED">
              <w:rPr>
                <w:rFonts w:cs="Calibri"/>
                <w:lang w:val="es-ES"/>
              </w:rPr>
              <w:t>PREPARATIVOS PARA LA ASAMBLEA DE RADIOCOMUNICACIONES DE 2027 (AR-27) Y LA CONFERENCIA MUNDIAL DE RADIOCOMUNICACIONES DE 2027 (</w:t>
            </w:r>
            <w:proofErr w:type="spellStart"/>
            <w:r w:rsidRPr="00CF4BED">
              <w:rPr>
                <w:rFonts w:cs="Calibri"/>
                <w:lang w:val="es-ES"/>
              </w:rPr>
              <w:t>CMR</w:t>
            </w:r>
            <w:proofErr w:type="spellEnd"/>
            <w:r w:rsidRPr="00CF4BED">
              <w:rPr>
                <w:rFonts w:cs="Calibri"/>
                <w:lang w:val="es-ES"/>
              </w:rPr>
              <w:t>-27)</w:t>
            </w:r>
          </w:p>
        </w:tc>
      </w:tr>
      <w:tr w:rsidR="00FE57F6" w:rsidRPr="00C67712" w14:paraId="05CC1A83" w14:textId="77777777" w:rsidTr="00C4421B">
        <w:trPr>
          <w:cantSplit/>
        </w:trPr>
        <w:tc>
          <w:tcPr>
            <w:tcW w:w="9214" w:type="dxa"/>
            <w:gridSpan w:val="2"/>
            <w:tcBorders>
              <w:top w:val="single" w:sz="4" w:space="0" w:color="auto"/>
              <w:bottom w:val="single" w:sz="4" w:space="0" w:color="auto"/>
            </w:tcBorders>
            <w:tcMar>
              <w:left w:w="0" w:type="dxa"/>
            </w:tcMar>
          </w:tcPr>
          <w:p w14:paraId="5FBF0B88" w14:textId="77777777" w:rsidR="00FE57F6" w:rsidRPr="00CF4BED" w:rsidRDefault="00F24B71" w:rsidP="00C4421B">
            <w:pPr>
              <w:spacing w:before="160"/>
              <w:rPr>
                <w:b/>
                <w:bCs/>
                <w:sz w:val="26"/>
                <w:szCs w:val="26"/>
                <w:lang w:val="es-ES"/>
              </w:rPr>
            </w:pPr>
            <w:r w:rsidRPr="00CF4BED">
              <w:rPr>
                <w:b/>
                <w:bCs/>
                <w:sz w:val="26"/>
                <w:szCs w:val="26"/>
                <w:lang w:val="es-ES"/>
              </w:rPr>
              <w:t>Finalidad</w:t>
            </w:r>
          </w:p>
          <w:p w14:paraId="3F2A5A51" w14:textId="34F6D4A8" w:rsidR="00FE57F6" w:rsidRPr="00CF4BED" w:rsidRDefault="00517E95" w:rsidP="002654B7">
            <w:pPr>
              <w:jc w:val="both"/>
              <w:rPr>
                <w:lang w:val="es-ES"/>
              </w:rPr>
            </w:pPr>
            <w:r w:rsidRPr="00CF4BED">
              <w:rPr>
                <w:lang w:val="es-ES"/>
              </w:rPr>
              <w:t>El presente documento contiene información sobre los preparativos en curso para la Asamblea de Radiocomunicaciones de 2027 (AR-27), la Conferencia Mundial de Radiocomunicaciones de 2027 (</w:t>
            </w:r>
            <w:proofErr w:type="spellStart"/>
            <w:r w:rsidRPr="00CF4BED">
              <w:rPr>
                <w:lang w:val="es-ES"/>
              </w:rPr>
              <w:t>CMR</w:t>
            </w:r>
            <w:proofErr w:type="spellEnd"/>
            <w:r w:rsidRPr="00CF4BED">
              <w:rPr>
                <w:lang w:val="es-ES"/>
              </w:rPr>
              <w:t xml:space="preserve">-27) y la primera sesión de la Reunión Preparatoria de la Conferencia para la </w:t>
            </w:r>
            <w:proofErr w:type="spellStart"/>
            <w:r w:rsidRPr="00CF4BED">
              <w:rPr>
                <w:lang w:val="es-ES"/>
              </w:rPr>
              <w:t>CMR</w:t>
            </w:r>
            <w:proofErr w:type="spellEnd"/>
            <w:r w:rsidRPr="00CF4BED">
              <w:rPr>
                <w:lang w:val="es-ES"/>
              </w:rPr>
              <w:noBreakHyphen/>
              <w:t>31 (</w:t>
            </w:r>
            <w:proofErr w:type="spellStart"/>
            <w:r w:rsidRPr="00CF4BED">
              <w:rPr>
                <w:lang w:val="es-ES"/>
              </w:rPr>
              <w:t>RPC31</w:t>
            </w:r>
            <w:proofErr w:type="spellEnd"/>
            <w:r w:rsidRPr="00CF4BED">
              <w:rPr>
                <w:lang w:val="es-ES"/>
              </w:rPr>
              <w:t>-1).</w:t>
            </w:r>
          </w:p>
          <w:p w14:paraId="56D79D35" w14:textId="77777777" w:rsidR="00FE57F6" w:rsidRPr="00CF4BED" w:rsidRDefault="00F24B71" w:rsidP="00C4421B">
            <w:pPr>
              <w:spacing w:before="160"/>
              <w:rPr>
                <w:b/>
                <w:bCs/>
                <w:sz w:val="26"/>
                <w:szCs w:val="26"/>
                <w:lang w:val="es-ES"/>
              </w:rPr>
            </w:pPr>
            <w:r w:rsidRPr="00CF4BED">
              <w:rPr>
                <w:b/>
                <w:bCs/>
                <w:sz w:val="26"/>
                <w:szCs w:val="26"/>
                <w:lang w:val="es-ES"/>
              </w:rPr>
              <w:t xml:space="preserve">Acción solicitada </w:t>
            </w:r>
            <w:r w:rsidR="00677A97" w:rsidRPr="00CF4BED">
              <w:rPr>
                <w:b/>
                <w:bCs/>
                <w:sz w:val="26"/>
                <w:szCs w:val="26"/>
                <w:lang w:val="es-ES"/>
              </w:rPr>
              <w:t>al</w:t>
            </w:r>
            <w:r w:rsidRPr="00CF4BED">
              <w:rPr>
                <w:b/>
                <w:bCs/>
                <w:sz w:val="26"/>
                <w:szCs w:val="26"/>
                <w:lang w:val="es-ES"/>
              </w:rPr>
              <w:t xml:space="preserve"> Consejo</w:t>
            </w:r>
          </w:p>
          <w:p w14:paraId="28B6D48B" w14:textId="7277C453" w:rsidR="00F92BED" w:rsidRPr="00CF4BED" w:rsidRDefault="00517E95" w:rsidP="002654B7">
            <w:pPr>
              <w:jc w:val="both"/>
              <w:rPr>
                <w:szCs w:val="24"/>
                <w:lang w:val="es-ES"/>
              </w:rPr>
            </w:pPr>
            <w:r w:rsidRPr="00CF4BED">
              <w:rPr>
                <w:lang w:val="es-ES"/>
              </w:rPr>
              <w:t>Se invita al Consejo de la UIT a</w:t>
            </w:r>
            <w:r w:rsidRPr="00CF4BED">
              <w:rPr>
                <w:b/>
                <w:bCs/>
                <w:lang w:val="es-ES"/>
              </w:rPr>
              <w:t xml:space="preserve"> tomar nota </w:t>
            </w:r>
            <w:r w:rsidRPr="00CF4BED">
              <w:rPr>
                <w:lang w:val="es-ES"/>
              </w:rPr>
              <w:t>de la evolución de los preparativos para la AR</w:t>
            </w:r>
            <w:r w:rsidR="00CF4BED" w:rsidRPr="00CF4BED">
              <w:rPr>
                <w:lang w:val="es-ES"/>
              </w:rPr>
              <w:noBreakHyphen/>
            </w:r>
            <w:r w:rsidRPr="00CF4BED">
              <w:rPr>
                <w:lang w:val="es-ES"/>
              </w:rPr>
              <w:t xml:space="preserve">27, la </w:t>
            </w:r>
            <w:proofErr w:type="spellStart"/>
            <w:r w:rsidRPr="00CF4BED">
              <w:rPr>
                <w:lang w:val="es-ES"/>
              </w:rPr>
              <w:t>CMR</w:t>
            </w:r>
            <w:proofErr w:type="spellEnd"/>
            <w:r w:rsidR="00CF4BED" w:rsidRPr="00CF4BED">
              <w:rPr>
                <w:lang w:val="es-ES"/>
              </w:rPr>
              <w:noBreakHyphen/>
            </w:r>
            <w:r w:rsidRPr="00CF4BED">
              <w:rPr>
                <w:lang w:val="es-ES"/>
              </w:rPr>
              <w:t xml:space="preserve">27 y la </w:t>
            </w:r>
            <w:proofErr w:type="spellStart"/>
            <w:r w:rsidRPr="00CF4BED">
              <w:rPr>
                <w:lang w:val="es-ES"/>
              </w:rPr>
              <w:t>RPC31</w:t>
            </w:r>
            <w:proofErr w:type="spellEnd"/>
            <w:r w:rsidR="00CF4BED" w:rsidRPr="00CF4BED">
              <w:rPr>
                <w:lang w:val="es-ES"/>
              </w:rPr>
              <w:noBreakHyphen/>
            </w:r>
            <w:r w:rsidRPr="00CF4BED">
              <w:rPr>
                <w:lang w:val="es-ES"/>
              </w:rPr>
              <w:t>1.</w:t>
            </w:r>
          </w:p>
          <w:p w14:paraId="0904AD9E" w14:textId="77777777" w:rsidR="00F92BED" w:rsidRPr="00CF4BED" w:rsidRDefault="00F92BED" w:rsidP="00C4421B">
            <w:pPr>
              <w:spacing w:before="160"/>
              <w:rPr>
                <w:b/>
                <w:bCs/>
                <w:sz w:val="26"/>
                <w:szCs w:val="26"/>
                <w:lang w:val="es-ES"/>
              </w:rPr>
            </w:pPr>
            <w:r w:rsidRPr="00CF4BED">
              <w:rPr>
                <w:b/>
                <w:bCs/>
                <w:sz w:val="26"/>
                <w:szCs w:val="26"/>
                <w:lang w:val="es-ES"/>
              </w:rPr>
              <w:t>Vínculo(s) pertinente(s) con el Plan Estratégico</w:t>
            </w:r>
          </w:p>
          <w:p w14:paraId="13854711" w14:textId="7D26565B" w:rsidR="00F92BED" w:rsidRPr="00CF4BED" w:rsidRDefault="00517E95" w:rsidP="002654B7">
            <w:pPr>
              <w:jc w:val="both"/>
              <w:rPr>
                <w:lang w:val="es-ES"/>
              </w:rPr>
            </w:pPr>
            <w:r w:rsidRPr="00CF4BED">
              <w:rPr>
                <w:lang w:val="es-ES"/>
              </w:rPr>
              <w:t>Utilización del espectro para servicios espaciales y terrenales; elaboración y aplicación de los Reglamentos Administrativos de la UIT; atribución y gestión de recursos</w:t>
            </w:r>
            <w:r w:rsidRPr="00CF4BED">
              <w:rPr>
                <w:rFonts w:ascii="SimSun" w:hAnsi="SimSun" w:cs="SimSun"/>
                <w:lang w:val="es-ES" w:eastAsia="zh-CN"/>
              </w:rPr>
              <w:t>.</w:t>
            </w:r>
          </w:p>
          <w:p w14:paraId="7B040148" w14:textId="77777777" w:rsidR="00F92BED" w:rsidRPr="00CF4BED" w:rsidRDefault="00F92BED" w:rsidP="00C4421B">
            <w:pPr>
              <w:spacing w:before="160"/>
              <w:rPr>
                <w:b/>
                <w:bCs/>
                <w:sz w:val="26"/>
                <w:szCs w:val="26"/>
                <w:lang w:val="es-ES"/>
              </w:rPr>
            </w:pPr>
            <w:r w:rsidRPr="00CF4BED">
              <w:rPr>
                <w:b/>
                <w:bCs/>
                <w:sz w:val="26"/>
                <w:szCs w:val="26"/>
                <w:lang w:val="es-ES"/>
              </w:rPr>
              <w:t>Repercusiones financieras</w:t>
            </w:r>
          </w:p>
          <w:p w14:paraId="63B22A81" w14:textId="256B251D" w:rsidR="00F92BED" w:rsidRPr="00CF4BED" w:rsidRDefault="00517E95" w:rsidP="00C4421B">
            <w:pPr>
              <w:rPr>
                <w:lang w:val="es-ES"/>
              </w:rPr>
            </w:pPr>
            <w:r w:rsidRPr="00CF4BED">
              <w:rPr>
                <w:lang w:val="es-ES"/>
              </w:rPr>
              <w:t>Con cargo al presupuesto asignado para 2026-2027.</w:t>
            </w:r>
          </w:p>
          <w:p w14:paraId="451580BD" w14:textId="77777777" w:rsidR="00FE57F6" w:rsidRPr="00CF4BED" w:rsidRDefault="00FE57F6" w:rsidP="00C4421B">
            <w:pPr>
              <w:spacing w:before="160"/>
              <w:rPr>
                <w:caps/>
                <w:sz w:val="22"/>
                <w:lang w:val="es-ES"/>
              </w:rPr>
            </w:pPr>
            <w:r w:rsidRPr="00CF4BED">
              <w:rPr>
                <w:sz w:val="22"/>
                <w:lang w:val="es-ES"/>
              </w:rPr>
              <w:t>__________________</w:t>
            </w:r>
          </w:p>
          <w:p w14:paraId="64F89F63" w14:textId="79ACDC13" w:rsidR="00FE57F6" w:rsidRPr="00CF4BED" w:rsidRDefault="00F24B71" w:rsidP="00C4421B">
            <w:pPr>
              <w:spacing w:before="160"/>
              <w:rPr>
                <w:b/>
                <w:bCs/>
                <w:sz w:val="26"/>
                <w:szCs w:val="26"/>
                <w:lang w:val="es-ES"/>
              </w:rPr>
            </w:pPr>
            <w:r w:rsidRPr="00CF4BED">
              <w:rPr>
                <w:b/>
                <w:bCs/>
                <w:sz w:val="26"/>
                <w:szCs w:val="26"/>
                <w:lang w:val="es-ES"/>
              </w:rPr>
              <w:t>Referencia</w:t>
            </w:r>
            <w:r w:rsidR="00F92BED" w:rsidRPr="00CF4BED">
              <w:rPr>
                <w:b/>
                <w:bCs/>
                <w:sz w:val="26"/>
                <w:szCs w:val="26"/>
                <w:lang w:val="es-ES"/>
              </w:rPr>
              <w:t>s</w:t>
            </w:r>
          </w:p>
          <w:p w14:paraId="310772CE" w14:textId="099D34C0" w:rsidR="00FE57F6" w:rsidRPr="002654B7" w:rsidRDefault="00517E95" w:rsidP="00C4421B">
            <w:pPr>
              <w:spacing w:after="160"/>
              <w:rPr>
                <w:i/>
                <w:iCs/>
                <w:sz w:val="22"/>
                <w:szCs w:val="22"/>
                <w:lang w:val="es-ES"/>
              </w:rPr>
            </w:pPr>
            <w:hyperlink r:id="rId6">
              <w:r w:rsidRPr="002654B7">
                <w:rPr>
                  <w:rStyle w:val="Hyperlink"/>
                  <w:i/>
                  <w:iCs/>
                  <w:sz w:val="22"/>
                  <w:lang w:val="es-ES"/>
                </w:rPr>
                <w:t>Resolución</w:t>
              </w:r>
              <w:r w:rsidRPr="002654B7">
                <w:rPr>
                  <w:rStyle w:val="Hyperlink"/>
                  <w:rFonts w:cs="Calibri"/>
                  <w:i/>
                  <w:iCs/>
                  <w:sz w:val="22"/>
                  <w:lang w:val="es-ES"/>
                </w:rPr>
                <w:t xml:space="preserve"> 1422</w:t>
              </w:r>
              <w:r w:rsidRPr="002654B7">
                <w:rPr>
                  <w:rStyle w:val="Hyperlink"/>
                  <w:i/>
                  <w:iCs/>
                  <w:sz w:val="22"/>
                  <w:lang w:val="es-ES"/>
                </w:rPr>
                <w:t xml:space="preserve"> </w:t>
              </w:r>
              <w:r w:rsidRPr="002654B7">
                <w:rPr>
                  <w:rStyle w:val="Hyperlink"/>
                  <w:rFonts w:cs="Calibri"/>
                  <w:i/>
                  <w:iCs/>
                  <w:sz w:val="22"/>
                  <w:lang w:val="es-ES"/>
                </w:rPr>
                <w:t>(</w:t>
              </w:r>
              <w:proofErr w:type="spellStart"/>
              <w:r w:rsidRPr="002654B7">
                <w:rPr>
                  <w:rStyle w:val="Hyperlink"/>
                  <w:rFonts w:cs="Calibri"/>
                  <w:i/>
                  <w:iCs/>
                  <w:sz w:val="22"/>
                  <w:lang w:val="es-ES"/>
                </w:rPr>
                <w:t>C24</w:t>
              </w:r>
              <w:proofErr w:type="spellEnd"/>
              <w:r w:rsidRPr="002654B7">
                <w:rPr>
                  <w:rStyle w:val="Hyperlink"/>
                  <w:rFonts w:cs="Calibri"/>
                  <w:i/>
                  <w:iCs/>
                  <w:sz w:val="22"/>
                  <w:lang w:val="es-ES"/>
                </w:rPr>
                <w:t>) del Consejo</w:t>
              </w:r>
            </w:hyperlink>
            <w:r w:rsidRPr="002654B7">
              <w:rPr>
                <w:i/>
                <w:iCs/>
                <w:sz w:val="22"/>
                <w:szCs w:val="22"/>
                <w:lang w:val="es-ES"/>
              </w:rPr>
              <w:t xml:space="preserve">; </w:t>
            </w:r>
            <w:hyperlink r:id="rId7">
              <w:r w:rsidRPr="002654B7">
                <w:rPr>
                  <w:rStyle w:val="Hyperlink"/>
                  <w:rFonts w:cs="Calibri"/>
                  <w:i/>
                  <w:iCs/>
                  <w:sz w:val="22"/>
                  <w:lang w:val="es-ES"/>
                </w:rPr>
                <w:t>Carta Circular CL-25/45</w:t>
              </w:r>
            </w:hyperlink>
            <w:r w:rsidRPr="002654B7">
              <w:rPr>
                <w:i/>
                <w:iCs/>
                <w:sz w:val="22"/>
                <w:szCs w:val="22"/>
                <w:lang w:val="es-ES"/>
              </w:rPr>
              <w:t xml:space="preserve">; </w:t>
            </w:r>
            <w:hyperlink r:id="rId8" w:history="1">
              <w:r w:rsidRPr="002654B7">
                <w:rPr>
                  <w:rStyle w:val="Hyperlink"/>
                  <w:i/>
                  <w:iCs/>
                  <w:sz w:val="22"/>
                  <w:lang w:val="es-ES"/>
                </w:rPr>
                <w:t xml:space="preserve">sitio web de la </w:t>
              </w:r>
              <w:proofErr w:type="spellStart"/>
              <w:r w:rsidRPr="002654B7">
                <w:rPr>
                  <w:rStyle w:val="Hyperlink"/>
                  <w:i/>
                  <w:iCs/>
                  <w:sz w:val="22"/>
                  <w:lang w:val="es-ES"/>
                </w:rPr>
                <w:t>CMR</w:t>
              </w:r>
              <w:proofErr w:type="spellEnd"/>
              <w:r w:rsidRPr="002654B7">
                <w:rPr>
                  <w:rStyle w:val="Hyperlink"/>
                  <w:i/>
                  <w:iCs/>
                  <w:sz w:val="22"/>
                  <w:lang w:val="es-ES"/>
                </w:rPr>
                <w:t>-27</w:t>
              </w:r>
            </w:hyperlink>
            <w:r w:rsidRPr="002654B7">
              <w:rPr>
                <w:i/>
                <w:iCs/>
                <w:sz w:val="22"/>
                <w:szCs w:val="22"/>
                <w:lang w:val="es-ES"/>
              </w:rPr>
              <w:t xml:space="preserve">; </w:t>
            </w:r>
            <w:hyperlink r:id="rId9" w:history="1">
              <w:r w:rsidRPr="002654B7">
                <w:rPr>
                  <w:rStyle w:val="Hyperlink"/>
                  <w:i/>
                  <w:iCs/>
                  <w:sz w:val="22"/>
                  <w:lang w:val="es-ES"/>
                </w:rPr>
                <w:t>sitio web de la AR</w:t>
              </w:r>
              <w:r w:rsidR="00794D4D" w:rsidRPr="002654B7">
                <w:rPr>
                  <w:rStyle w:val="Hyperlink"/>
                  <w:i/>
                  <w:iCs/>
                  <w:sz w:val="22"/>
                  <w:lang w:val="es-ES"/>
                </w:rPr>
                <w:noBreakHyphen/>
              </w:r>
              <w:r w:rsidRPr="002654B7">
                <w:rPr>
                  <w:rStyle w:val="Hyperlink"/>
                  <w:i/>
                  <w:iCs/>
                  <w:sz w:val="22"/>
                  <w:lang w:val="es-ES"/>
                </w:rPr>
                <w:t>27</w:t>
              </w:r>
            </w:hyperlink>
            <w:r w:rsidRPr="002654B7">
              <w:rPr>
                <w:i/>
                <w:iCs/>
                <w:sz w:val="22"/>
                <w:szCs w:val="22"/>
                <w:lang w:val="es-ES"/>
              </w:rPr>
              <w:t xml:space="preserve">; </w:t>
            </w:r>
            <w:hyperlink r:id="rId10" w:history="1">
              <w:r w:rsidRPr="002654B7">
                <w:rPr>
                  <w:rStyle w:val="Hyperlink"/>
                  <w:i/>
                  <w:iCs/>
                  <w:sz w:val="22"/>
                  <w:lang w:val="es-ES"/>
                </w:rPr>
                <w:t xml:space="preserve">sitio web de las sesiones informativas interregionales sobre la preparación de la </w:t>
              </w:r>
              <w:proofErr w:type="spellStart"/>
              <w:r w:rsidRPr="002654B7">
                <w:rPr>
                  <w:rStyle w:val="Hyperlink"/>
                  <w:i/>
                  <w:iCs/>
                  <w:sz w:val="22"/>
                  <w:lang w:val="es-ES"/>
                </w:rPr>
                <w:t>CMR</w:t>
              </w:r>
              <w:proofErr w:type="spellEnd"/>
              <w:r w:rsidRPr="002654B7">
                <w:rPr>
                  <w:rStyle w:val="Hyperlink"/>
                  <w:i/>
                  <w:iCs/>
                  <w:sz w:val="22"/>
                  <w:lang w:val="es-ES"/>
                </w:rPr>
                <w:t>-27</w:t>
              </w:r>
            </w:hyperlink>
            <w:r w:rsidRPr="002654B7">
              <w:rPr>
                <w:i/>
                <w:iCs/>
                <w:sz w:val="22"/>
                <w:szCs w:val="22"/>
                <w:lang w:val="es-ES"/>
              </w:rPr>
              <w:t xml:space="preserve">; </w:t>
            </w:r>
            <w:hyperlink r:id="rId11">
              <w:r w:rsidRPr="002654B7">
                <w:rPr>
                  <w:rStyle w:val="Hyperlink"/>
                  <w:rFonts w:cs="Calibri"/>
                  <w:i/>
                  <w:iCs/>
                  <w:sz w:val="22"/>
                  <w:lang w:val="es-ES"/>
                </w:rPr>
                <w:t>Política de Protección de Datos y Privacidad de la UIT</w:t>
              </w:r>
            </w:hyperlink>
          </w:p>
        </w:tc>
      </w:tr>
      <w:bookmarkEnd w:id="0"/>
    </w:tbl>
    <w:p w14:paraId="0221C69F" w14:textId="77777777" w:rsidR="00093EEB" w:rsidRPr="00CF4BED" w:rsidRDefault="00093EEB">
      <w:pPr>
        <w:rPr>
          <w:lang w:val="es-ES"/>
        </w:rPr>
      </w:pPr>
    </w:p>
    <w:p w14:paraId="64CD699F" w14:textId="77777777" w:rsidR="001559F5" w:rsidRPr="00CF4BED" w:rsidRDefault="001559F5">
      <w:pPr>
        <w:tabs>
          <w:tab w:val="clear" w:pos="567"/>
          <w:tab w:val="clear" w:pos="1134"/>
          <w:tab w:val="clear" w:pos="1701"/>
          <w:tab w:val="clear" w:pos="2268"/>
          <w:tab w:val="clear" w:pos="2835"/>
        </w:tabs>
        <w:overflowPunct/>
        <w:autoSpaceDE/>
        <w:autoSpaceDN/>
        <w:adjustRightInd/>
        <w:spacing w:before="0"/>
        <w:textAlignment w:val="auto"/>
        <w:rPr>
          <w:lang w:val="es-ES"/>
        </w:rPr>
      </w:pPr>
      <w:r w:rsidRPr="00CF4BED">
        <w:rPr>
          <w:lang w:val="es-ES"/>
        </w:rPr>
        <w:br w:type="page"/>
      </w:r>
    </w:p>
    <w:p w14:paraId="06197D88" w14:textId="77777777" w:rsidR="00517E95" w:rsidRPr="00CF4BED" w:rsidRDefault="00517E95" w:rsidP="00517E95">
      <w:pPr>
        <w:pStyle w:val="Heading1"/>
        <w:rPr>
          <w:lang w:val="es-ES"/>
        </w:rPr>
      </w:pPr>
      <w:r w:rsidRPr="00CF4BED">
        <w:rPr>
          <w:lang w:val="es-ES"/>
        </w:rPr>
        <w:lastRenderedPageBreak/>
        <w:t>1</w:t>
      </w:r>
      <w:r w:rsidRPr="00CF4BED">
        <w:rPr>
          <w:lang w:val="es-ES"/>
        </w:rPr>
        <w:tab/>
        <w:t>Antecedentes</w:t>
      </w:r>
    </w:p>
    <w:p w14:paraId="1AF183A7" w14:textId="77777777" w:rsidR="00517E95" w:rsidRPr="00CF4BED" w:rsidRDefault="00517E95" w:rsidP="002654B7">
      <w:pPr>
        <w:jc w:val="both"/>
        <w:rPr>
          <w:lang w:val="es-ES"/>
        </w:rPr>
      </w:pPr>
      <w:r w:rsidRPr="00CF4BED">
        <w:rPr>
          <w:lang w:val="es-ES"/>
        </w:rPr>
        <w:t>El Consejo de la UIT estableció el orden del día de la Conferencia Mundial de Radiocomunicaciones de 2027 (</w:t>
      </w:r>
      <w:proofErr w:type="spellStart"/>
      <w:r w:rsidRPr="00CF4BED">
        <w:rPr>
          <w:lang w:val="es-ES"/>
        </w:rPr>
        <w:t>CMR</w:t>
      </w:r>
      <w:proofErr w:type="spellEnd"/>
      <w:r w:rsidRPr="00CF4BED">
        <w:rPr>
          <w:lang w:val="es-ES"/>
        </w:rPr>
        <w:t>-27) en su Resolución 1422 (</w:t>
      </w:r>
      <w:proofErr w:type="spellStart"/>
      <w:r w:rsidRPr="00CF4BED">
        <w:rPr>
          <w:lang w:val="es-ES"/>
        </w:rPr>
        <w:t>C24</w:t>
      </w:r>
      <w:proofErr w:type="spellEnd"/>
      <w:r w:rsidRPr="00CF4BED">
        <w:rPr>
          <w:lang w:val="es-ES"/>
        </w:rPr>
        <w:t>).</w:t>
      </w:r>
    </w:p>
    <w:p w14:paraId="3E546ED1" w14:textId="04022F7E" w:rsidR="00517E95" w:rsidRPr="00CF4BED" w:rsidRDefault="00517E95" w:rsidP="002654B7">
      <w:pPr>
        <w:jc w:val="both"/>
        <w:rPr>
          <w:lang w:val="es-ES"/>
        </w:rPr>
      </w:pPr>
      <w:r w:rsidRPr="00CF4BED">
        <w:rPr>
          <w:lang w:val="es-ES"/>
        </w:rPr>
        <w:t xml:space="preserve">En su reunión de 2025, el Consejo de la UIT decidió, según consta en el resumen de los debates de su séptima sesión plenaria (véase el Documento </w:t>
      </w:r>
      <w:hyperlink r:id="rId12" w:history="1">
        <w:proofErr w:type="spellStart"/>
        <w:r w:rsidRPr="00CF4BED">
          <w:rPr>
            <w:rStyle w:val="Hyperlink"/>
            <w:lang w:val="es-ES"/>
          </w:rPr>
          <w:t>C25</w:t>
        </w:r>
        <w:proofErr w:type="spellEnd"/>
        <w:r w:rsidRPr="00CF4BED">
          <w:rPr>
            <w:rStyle w:val="Hyperlink"/>
            <w:lang w:val="es-ES"/>
          </w:rPr>
          <w:t>/113</w:t>
        </w:r>
      </w:hyperlink>
      <w:r w:rsidRPr="00CF4BED">
        <w:rPr>
          <w:lang w:val="es-ES"/>
        </w:rPr>
        <w:t xml:space="preserve">), </w:t>
      </w:r>
      <w:r w:rsidR="00AC39FF" w:rsidRPr="00CF4BED">
        <w:rPr>
          <w:lang w:val="es-ES"/>
        </w:rPr>
        <w:t>"</w:t>
      </w:r>
      <w:r w:rsidRPr="00CF4BED">
        <w:rPr>
          <w:lang w:val="es-ES"/>
        </w:rPr>
        <w:t>aceptar la invitación de China para celebrar la</w:t>
      </w:r>
      <w:r w:rsidR="002654B7">
        <w:rPr>
          <w:lang w:val="es-ES"/>
        </w:rPr>
        <w:t xml:space="preserve"> </w:t>
      </w:r>
      <w:r w:rsidRPr="00CF4BED">
        <w:rPr>
          <w:lang w:val="es-ES"/>
        </w:rPr>
        <w:t>Asamblea de Radiocomunicaciones de 2027 (AR</w:t>
      </w:r>
      <w:r w:rsidRPr="00CF4BED">
        <w:rPr>
          <w:lang w:val="es-ES"/>
        </w:rPr>
        <w:noBreakHyphen/>
        <w:t>27), la Conferencia Mundial de Radiocomunicaciones de 2027(</w:t>
      </w:r>
      <w:proofErr w:type="spellStart"/>
      <w:r w:rsidRPr="00CF4BED">
        <w:rPr>
          <w:lang w:val="es-ES"/>
        </w:rPr>
        <w:t>CMR</w:t>
      </w:r>
      <w:proofErr w:type="spellEnd"/>
      <w:r w:rsidRPr="00CF4BED">
        <w:rPr>
          <w:lang w:val="es-ES"/>
        </w:rPr>
        <w:noBreakHyphen/>
        <w:t xml:space="preserve">27) y la primera sesión de la Reunión Preparatoria de la Conferencia para la </w:t>
      </w:r>
      <w:proofErr w:type="spellStart"/>
      <w:r w:rsidRPr="00CF4BED">
        <w:rPr>
          <w:lang w:val="es-ES"/>
        </w:rPr>
        <w:t>CMR</w:t>
      </w:r>
      <w:proofErr w:type="spellEnd"/>
      <w:r w:rsidRPr="00CF4BED">
        <w:rPr>
          <w:lang w:val="es-ES"/>
        </w:rPr>
        <w:noBreakHyphen/>
        <w:t>31 (</w:t>
      </w:r>
      <w:proofErr w:type="spellStart"/>
      <w:r w:rsidRPr="00CF4BED">
        <w:rPr>
          <w:lang w:val="es-ES"/>
        </w:rPr>
        <w:t>RPC31</w:t>
      </w:r>
      <w:proofErr w:type="spellEnd"/>
      <w:r w:rsidRPr="00CF4BED">
        <w:rPr>
          <w:lang w:val="es-ES"/>
        </w:rPr>
        <w:noBreakHyphen/>
        <w:t>1) en Shanghái. Así, siempre y cuando lo ratifiquen la mayoría de Estados Miembros de la Unión, la Conferencia Mundial de Radiocomunicaciones de 2027 se celebrará en Shanghái, China, precedida por la Asamblea de Radiocomunicaciones de 2027</w:t>
      </w:r>
      <w:r w:rsidR="00AC39FF" w:rsidRPr="00CF4BED">
        <w:rPr>
          <w:lang w:val="es-ES"/>
        </w:rPr>
        <w:t>"</w:t>
      </w:r>
      <w:r w:rsidRPr="00CF4BED">
        <w:rPr>
          <w:lang w:val="es-ES"/>
        </w:rPr>
        <w:t>.</w:t>
      </w:r>
    </w:p>
    <w:p w14:paraId="482C16E6" w14:textId="2B607F1E" w:rsidR="00517E95" w:rsidRPr="00CF4BED" w:rsidRDefault="00517E95" w:rsidP="002654B7">
      <w:pPr>
        <w:jc w:val="both"/>
        <w:rPr>
          <w:lang w:val="es-ES"/>
        </w:rPr>
      </w:pPr>
      <w:r w:rsidRPr="00CF4BED">
        <w:rPr>
          <w:lang w:val="es-ES"/>
        </w:rPr>
        <w:t>De acuerdo con esta decisión y en virtud del número 42 del Convenio de la UIT, la Secretaría General consultó con los Estados Miembros la fecha y el lugar de celebración precisos de la</w:t>
      </w:r>
      <w:r w:rsidR="00CF4BED" w:rsidRPr="00CF4BED">
        <w:rPr>
          <w:lang w:val="es-ES"/>
        </w:rPr>
        <w:t> </w:t>
      </w:r>
      <w:r w:rsidRPr="00CF4BED">
        <w:rPr>
          <w:lang w:val="es-ES"/>
        </w:rPr>
        <w:t>AR</w:t>
      </w:r>
      <w:r w:rsidR="00CF4BED" w:rsidRPr="00CF4BED">
        <w:rPr>
          <w:lang w:val="es-ES"/>
        </w:rPr>
        <w:noBreakHyphen/>
      </w:r>
      <w:r w:rsidRPr="00CF4BED">
        <w:rPr>
          <w:lang w:val="es-ES"/>
        </w:rPr>
        <w:t xml:space="preserve">27 y la </w:t>
      </w:r>
      <w:proofErr w:type="spellStart"/>
      <w:r w:rsidRPr="00CF4BED">
        <w:rPr>
          <w:lang w:val="es-ES"/>
        </w:rPr>
        <w:t>CMR</w:t>
      </w:r>
      <w:proofErr w:type="spellEnd"/>
      <w:r w:rsidR="00CF4BED" w:rsidRPr="00CF4BED">
        <w:rPr>
          <w:lang w:val="es-ES"/>
        </w:rPr>
        <w:noBreakHyphen/>
      </w:r>
      <w:r w:rsidRPr="00CF4BED">
        <w:rPr>
          <w:lang w:val="es-ES"/>
        </w:rPr>
        <w:t xml:space="preserve">27, que recibieron el acuerdo de la mayoría necesaria de Estados Miembros, conforme a lo indicado en la Carta Circular CL-25/45. Por consiguiente, los Estados Miembros acordaron que la AR-27 y la </w:t>
      </w:r>
      <w:proofErr w:type="spellStart"/>
      <w:r w:rsidRPr="00CF4BED">
        <w:rPr>
          <w:lang w:val="es-ES"/>
        </w:rPr>
        <w:t>CMR</w:t>
      </w:r>
      <w:proofErr w:type="spellEnd"/>
      <w:r w:rsidRPr="00CF4BED">
        <w:rPr>
          <w:lang w:val="es-ES"/>
        </w:rPr>
        <w:t>-27 se celebrasen en Shanghái (China) del 11</w:t>
      </w:r>
      <w:r w:rsidR="00CF4BED" w:rsidRPr="00CF4BED">
        <w:rPr>
          <w:lang w:val="es-ES"/>
        </w:rPr>
        <w:t> </w:t>
      </w:r>
      <w:r w:rsidRPr="00CF4BED">
        <w:rPr>
          <w:lang w:val="es-ES"/>
        </w:rPr>
        <w:t>de octubre al 12 de noviembre de 2027.</w:t>
      </w:r>
    </w:p>
    <w:p w14:paraId="5E7760A0" w14:textId="77777777" w:rsidR="00517E95" w:rsidRPr="00CF4BED" w:rsidRDefault="00517E95" w:rsidP="002654B7">
      <w:pPr>
        <w:jc w:val="both"/>
        <w:rPr>
          <w:lang w:val="es-ES"/>
        </w:rPr>
      </w:pPr>
      <w:r w:rsidRPr="00CF4BED">
        <w:rPr>
          <w:lang w:val="es-ES"/>
        </w:rPr>
        <w:t xml:space="preserve">Como de costumbre, la primera sesión de la </w:t>
      </w:r>
      <w:proofErr w:type="spellStart"/>
      <w:r w:rsidRPr="00CF4BED">
        <w:rPr>
          <w:lang w:val="es-ES"/>
        </w:rPr>
        <w:t>RPC31</w:t>
      </w:r>
      <w:proofErr w:type="spellEnd"/>
      <w:r w:rsidRPr="00CF4BED">
        <w:rPr>
          <w:lang w:val="es-ES"/>
        </w:rPr>
        <w:t xml:space="preserve">-1 también se celebrará en Shanghái, inmediatamente después de la </w:t>
      </w:r>
      <w:proofErr w:type="spellStart"/>
      <w:r w:rsidRPr="00CF4BED">
        <w:rPr>
          <w:lang w:val="es-ES"/>
        </w:rPr>
        <w:t>CMR</w:t>
      </w:r>
      <w:proofErr w:type="spellEnd"/>
      <w:r w:rsidRPr="00CF4BED">
        <w:rPr>
          <w:lang w:val="es-ES"/>
        </w:rPr>
        <w:t>-27, los días 15 y 16 de noviembre de 2027.</w:t>
      </w:r>
    </w:p>
    <w:p w14:paraId="24C2C99F" w14:textId="77777777" w:rsidR="00517E95" w:rsidRPr="00CF4BED" w:rsidRDefault="00517E95" w:rsidP="002654B7">
      <w:pPr>
        <w:jc w:val="both"/>
        <w:rPr>
          <w:lang w:val="es-ES"/>
        </w:rPr>
      </w:pPr>
      <w:r w:rsidRPr="00CF4BED">
        <w:rPr>
          <w:lang w:val="es-ES"/>
        </w:rPr>
        <w:t xml:space="preserve">Los sitios web de la AR-27 y la </w:t>
      </w:r>
      <w:proofErr w:type="spellStart"/>
      <w:r w:rsidRPr="00CF4BED">
        <w:rPr>
          <w:lang w:val="es-ES"/>
        </w:rPr>
        <w:t>CMR</w:t>
      </w:r>
      <w:proofErr w:type="spellEnd"/>
      <w:r w:rsidRPr="00CF4BED">
        <w:rPr>
          <w:lang w:val="es-ES"/>
        </w:rPr>
        <w:t xml:space="preserve">-27 ya están disponibles y se irán actualizando a medida que se disponga de nueva información. </w:t>
      </w:r>
    </w:p>
    <w:p w14:paraId="5FBD9707" w14:textId="77777777" w:rsidR="00517E95" w:rsidRPr="00CF4BED" w:rsidRDefault="00517E95" w:rsidP="00517E95">
      <w:pPr>
        <w:pStyle w:val="Heading1"/>
        <w:rPr>
          <w:lang w:val="es-ES"/>
        </w:rPr>
      </w:pPr>
      <w:r w:rsidRPr="00CF4BED">
        <w:rPr>
          <w:lang w:val="es-ES"/>
        </w:rPr>
        <w:t>2</w:t>
      </w:r>
      <w:r w:rsidRPr="00CF4BED">
        <w:rPr>
          <w:lang w:val="es-ES"/>
        </w:rPr>
        <w:tab/>
        <w:t>Comunicaciones de las administraciones</w:t>
      </w:r>
    </w:p>
    <w:p w14:paraId="0757BF36" w14:textId="3505A15C" w:rsidR="00517E95" w:rsidRPr="00CF4BED" w:rsidRDefault="00517E95" w:rsidP="002654B7">
      <w:pPr>
        <w:jc w:val="both"/>
        <w:rPr>
          <w:lang w:val="es-ES"/>
        </w:rPr>
      </w:pPr>
      <w:r w:rsidRPr="00CF4BED">
        <w:rPr>
          <w:lang w:val="es-ES"/>
        </w:rPr>
        <w:t xml:space="preserve">Tras la confirmación de la fecha y el lugar de celebración precisos de la </w:t>
      </w:r>
      <w:proofErr w:type="spellStart"/>
      <w:r w:rsidRPr="00CF4BED">
        <w:rPr>
          <w:lang w:val="es-ES"/>
        </w:rPr>
        <w:t>CMR</w:t>
      </w:r>
      <w:proofErr w:type="spellEnd"/>
      <w:r w:rsidR="00CF4BED" w:rsidRPr="00CF4BED">
        <w:rPr>
          <w:lang w:val="es-ES"/>
        </w:rPr>
        <w:noBreakHyphen/>
      </w:r>
      <w:r w:rsidRPr="00CF4BED">
        <w:rPr>
          <w:lang w:val="es-ES"/>
        </w:rPr>
        <w:t xml:space="preserve">27, la Secretaria General recibió comunicaciones de distintas administraciones en las que se exponían opiniones e inquietudes atinentes a diversos aspectos relacionados con la organización de la </w:t>
      </w:r>
      <w:proofErr w:type="spellStart"/>
      <w:r w:rsidRPr="00CF4BED">
        <w:rPr>
          <w:lang w:val="es-ES"/>
        </w:rPr>
        <w:t>CMR</w:t>
      </w:r>
      <w:proofErr w:type="spellEnd"/>
      <w:r w:rsidR="00CF4BED" w:rsidRPr="00CF4BED">
        <w:rPr>
          <w:lang w:val="es-ES"/>
        </w:rPr>
        <w:noBreakHyphen/>
      </w:r>
      <w:r w:rsidRPr="00CF4BED">
        <w:rPr>
          <w:lang w:val="es-ES"/>
        </w:rPr>
        <w:t>27 y la AR</w:t>
      </w:r>
      <w:r w:rsidR="00CF4BED" w:rsidRPr="00CF4BED">
        <w:rPr>
          <w:lang w:val="es-ES"/>
        </w:rPr>
        <w:noBreakHyphen/>
      </w:r>
      <w:r w:rsidRPr="00CF4BED">
        <w:rPr>
          <w:lang w:val="es-ES"/>
        </w:rPr>
        <w:t>27. Se ha acusado recibo de estas comunicaciones y su contenido se está teniendo en cuenta de forma oportuna.</w:t>
      </w:r>
    </w:p>
    <w:p w14:paraId="4C4F4206" w14:textId="77777777" w:rsidR="00517E95" w:rsidRPr="00CF4BED" w:rsidRDefault="00517E95" w:rsidP="00517E95">
      <w:pPr>
        <w:pStyle w:val="Heading1"/>
        <w:rPr>
          <w:lang w:val="es-ES"/>
        </w:rPr>
      </w:pPr>
      <w:r w:rsidRPr="00CF4BED">
        <w:rPr>
          <w:lang w:val="es-ES"/>
        </w:rPr>
        <w:t>3</w:t>
      </w:r>
      <w:r w:rsidRPr="00CF4BED">
        <w:rPr>
          <w:lang w:val="es-ES"/>
        </w:rPr>
        <w:tab/>
        <w:t>Acuerdo con el país anfitrión</w:t>
      </w:r>
    </w:p>
    <w:p w14:paraId="17A4BDFE" w14:textId="0A9EEAFB" w:rsidR="00517E95" w:rsidRPr="00CF4BED" w:rsidRDefault="00517E95" w:rsidP="002654B7">
      <w:pPr>
        <w:jc w:val="both"/>
        <w:rPr>
          <w:lang w:val="es-ES"/>
        </w:rPr>
      </w:pPr>
      <w:r w:rsidRPr="00CF4BED">
        <w:rPr>
          <w:lang w:val="es-ES"/>
        </w:rPr>
        <w:t>El proyecto de acuerdo con el país anfitrión se ha puesto en conocimiento de China. En él se abordan los requisitos necesarios para la organización de la AR</w:t>
      </w:r>
      <w:r w:rsidR="00CF4BED" w:rsidRPr="00CF4BED">
        <w:rPr>
          <w:lang w:val="es-ES"/>
        </w:rPr>
        <w:noBreakHyphen/>
      </w:r>
      <w:r w:rsidRPr="00CF4BED">
        <w:rPr>
          <w:lang w:val="es-ES"/>
        </w:rPr>
        <w:t xml:space="preserve">27, la </w:t>
      </w:r>
      <w:proofErr w:type="spellStart"/>
      <w:r w:rsidRPr="00CF4BED">
        <w:rPr>
          <w:lang w:val="es-ES"/>
        </w:rPr>
        <w:t>CMR</w:t>
      </w:r>
      <w:proofErr w:type="spellEnd"/>
      <w:r w:rsidR="00CF4BED" w:rsidRPr="00CF4BED">
        <w:rPr>
          <w:lang w:val="es-ES"/>
        </w:rPr>
        <w:noBreakHyphen/>
      </w:r>
      <w:r w:rsidRPr="00CF4BED">
        <w:rPr>
          <w:lang w:val="es-ES"/>
        </w:rPr>
        <w:t xml:space="preserve">27 y la </w:t>
      </w:r>
      <w:proofErr w:type="spellStart"/>
      <w:r w:rsidRPr="00CF4BED">
        <w:rPr>
          <w:lang w:val="es-ES"/>
        </w:rPr>
        <w:t>RPC31</w:t>
      </w:r>
      <w:proofErr w:type="spellEnd"/>
      <w:r w:rsidR="00CF4BED" w:rsidRPr="00CF4BED">
        <w:rPr>
          <w:lang w:val="es-ES"/>
        </w:rPr>
        <w:noBreakHyphen/>
      </w:r>
      <w:r w:rsidRPr="00CF4BED">
        <w:rPr>
          <w:lang w:val="es-ES"/>
        </w:rPr>
        <w:t>1, entre ellos los relativos a las instalaciones para la conferencia, las medidas de seguridad, los privilegios e inmunidades, la facilitación de visados, la infraestructura y los servicios de tecnologías de la información y la comunicación, y otras cuestiones logísticas y operativas. El acuerdo incluye asimismo disposiciones relativas a los privilegios e inmunidades, conforme a lo estipulado en el Convenio de 1947. Además, comprende disposiciones sobre ciberseguridad y protección de datos, dada en particular la adopción de la Política de Protección de Datos y Privacidad de la UIT en diciembre de 2023.</w:t>
      </w:r>
    </w:p>
    <w:p w14:paraId="26197CA3" w14:textId="23EBD167" w:rsidR="00517E95" w:rsidRPr="00CF4BED" w:rsidRDefault="00517E95" w:rsidP="00517E95">
      <w:pPr>
        <w:pStyle w:val="Heading1"/>
        <w:rPr>
          <w:lang w:val="es-ES"/>
        </w:rPr>
      </w:pPr>
      <w:r w:rsidRPr="00CF4BED">
        <w:rPr>
          <w:lang w:val="es-ES"/>
        </w:rPr>
        <w:t>4</w:t>
      </w:r>
      <w:r w:rsidRPr="00CF4BED">
        <w:rPr>
          <w:lang w:val="es-ES"/>
        </w:rPr>
        <w:tab/>
        <w:t>Visita a las instalaciones</w:t>
      </w:r>
    </w:p>
    <w:p w14:paraId="3ACF3801" w14:textId="4DF41665" w:rsidR="00517E95" w:rsidRPr="00CF4BED" w:rsidRDefault="00517E95" w:rsidP="002654B7">
      <w:pPr>
        <w:jc w:val="both"/>
        <w:rPr>
          <w:rFonts w:cs="Calibri"/>
          <w:lang w:val="es-ES"/>
        </w:rPr>
      </w:pPr>
      <w:r w:rsidRPr="00CF4BED">
        <w:rPr>
          <w:lang w:val="es-ES"/>
        </w:rPr>
        <w:t>La secretaría visitó por primera vez las instalaciones en marzo. Dicha visita permitió realizar una evaluación inicial del lugar propuesto para la celebración de la conferencia, el Shangh</w:t>
      </w:r>
      <w:r w:rsidR="00CF4BED" w:rsidRPr="00CF4BED">
        <w:rPr>
          <w:lang w:val="es-ES"/>
        </w:rPr>
        <w:t>á</w:t>
      </w:r>
      <w:r w:rsidRPr="00CF4BED">
        <w:rPr>
          <w:lang w:val="es-ES"/>
        </w:rPr>
        <w:t xml:space="preserve">i </w:t>
      </w:r>
      <w:r w:rsidRPr="00CF4BED">
        <w:rPr>
          <w:lang w:val="es-ES"/>
        </w:rPr>
        <w:lastRenderedPageBreak/>
        <w:t xml:space="preserve">Expo Center, y de las instalaciones conexas, incluidas las salas y los servicios de conferencias, </w:t>
      </w:r>
      <w:r w:rsidRPr="00CF4BED">
        <w:rPr>
          <w:rFonts w:cs="Calibri"/>
          <w:lang w:val="es-ES"/>
        </w:rPr>
        <w:t>la infraestructura</w:t>
      </w:r>
      <w:r w:rsidRPr="00CF4BED">
        <w:rPr>
          <w:lang w:val="es-ES"/>
        </w:rPr>
        <w:t xml:space="preserve"> de tecnologías de la información y la comunicación</w:t>
      </w:r>
      <w:r w:rsidRPr="00CF4BED">
        <w:rPr>
          <w:rFonts w:cs="Calibri"/>
          <w:lang w:val="es-ES"/>
        </w:rPr>
        <w:t>, y las medidas de seguridad previstas. Las conclusiones de la visita se utilizarán para perfeccionar las hipótesis de planificación y determinar qué aspectos requieren seguimiento.</w:t>
      </w:r>
    </w:p>
    <w:p w14:paraId="3AA46072" w14:textId="77777777" w:rsidR="00517E95" w:rsidRPr="00CF4BED" w:rsidRDefault="00517E95" w:rsidP="00517E95">
      <w:pPr>
        <w:pStyle w:val="Heading1"/>
        <w:rPr>
          <w:lang w:val="es-ES"/>
        </w:rPr>
      </w:pPr>
      <w:r w:rsidRPr="00CF4BED">
        <w:rPr>
          <w:lang w:val="es-ES"/>
        </w:rPr>
        <w:t>5</w:t>
      </w:r>
      <w:r w:rsidRPr="00CF4BED">
        <w:rPr>
          <w:lang w:val="es-ES"/>
        </w:rPr>
        <w:tab/>
        <w:t>Coordinación interna y con el país anfitrión</w:t>
      </w:r>
    </w:p>
    <w:p w14:paraId="4F14C656" w14:textId="3353B632" w:rsidR="00517E95" w:rsidRPr="00CF4BED" w:rsidRDefault="00517E95" w:rsidP="002654B7">
      <w:pPr>
        <w:jc w:val="both"/>
        <w:rPr>
          <w:lang w:val="es-ES"/>
        </w:rPr>
      </w:pPr>
      <w:r w:rsidRPr="00CF4BED">
        <w:rPr>
          <w:lang w:val="es-ES"/>
        </w:rPr>
        <w:t>Los servicios competentes de la Secretaría General y la Oficina de Radiocomunicaciones ya han empezado a coordinarse, a fin de ultimar los preparativos administrativos y logísticos de la AR</w:t>
      </w:r>
      <w:r w:rsidR="00CF4BED" w:rsidRPr="00CF4BED">
        <w:rPr>
          <w:lang w:val="es-ES"/>
        </w:rPr>
        <w:noBreakHyphen/>
      </w:r>
      <w:r w:rsidRPr="00CF4BED">
        <w:rPr>
          <w:lang w:val="es-ES"/>
        </w:rPr>
        <w:t xml:space="preserve">27 y la </w:t>
      </w:r>
      <w:proofErr w:type="spellStart"/>
      <w:r w:rsidRPr="00CF4BED">
        <w:rPr>
          <w:lang w:val="es-ES"/>
        </w:rPr>
        <w:t>CMR</w:t>
      </w:r>
      <w:proofErr w:type="spellEnd"/>
      <w:r w:rsidR="00CF4BED" w:rsidRPr="00CF4BED">
        <w:rPr>
          <w:lang w:val="es-ES"/>
        </w:rPr>
        <w:noBreakHyphen/>
      </w:r>
      <w:r w:rsidRPr="00CF4BED">
        <w:rPr>
          <w:lang w:val="es-ES"/>
        </w:rPr>
        <w:t>27. Las actividades de coordinación proseguirán y se intensificarán a medida que avancen los preparativos, incluida la colaboración en curso con el país anfitrión.</w:t>
      </w:r>
    </w:p>
    <w:p w14:paraId="6B09B1AC" w14:textId="77777777" w:rsidR="00517E95" w:rsidRPr="00CF4BED" w:rsidRDefault="00517E95" w:rsidP="00517E95">
      <w:pPr>
        <w:pStyle w:val="Heading1"/>
        <w:rPr>
          <w:lang w:val="es-ES"/>
        </w:rPr>
      </w:pPr>
      <w:r w:rsidRPr="00CF4BED">
        <w:rPr>
          <w:lang w:val="es-ES"/>
        </w:rPr>
        <w:t>6</w:t>
      </w:r>
      <w:r w:rsidRPr="00CF4BED">
        <w:rPr>
          <w:lang w:val="es-ES"/>
        </w:rPr>
        <w:tab/>
        <w:t>Preparativos regionales</w:t>
      </w:r>
    </w:p>
    <w:p w14:paraId="6DF20AEB" w14:textId="69CF8F1D" w:rsidR="00517E95" w:rsidRPr="00CF4BED" w:rsidRDefault="00517E95" w:rsidP="002654B7">
      <w:pPr>
        <w:jc w:val="both"/>
        <w:rPr>
          <w:rFonts w:cs="Calibri"/>
          <w:lang w:val="es-ES"/>
        </w:rPr>
      </w:pPr>
      <w:r w:rsidRPr="00CF4BED">
        <w:rPr>
          <w:lang w:val="es-ES"/>
        </w:rPr>
        <w:t>Conforme a lo dispuesto en la Resolución 80 (Rev. Marrakech, 2002) de la Conferencia de Plenipotenciarios, se están llevando a cabo amplios preparativos para la AR</w:t>
      </w:r>
      <w:r w:rsidR="00CF4BED" w:rsidRPr="00CF4BED">
        <w:rPr>
          <w:lang w:val="es-ES"/>
        </w:rPr>
        <w:noBreakHyphen/>
      </w:r>
      <w:r w:rsidRPr="00CF4BED">
        <w:rPr>
          <w:lang w:val="es-ES"/>
        </w:rPr>
        <w:t xml:space="preserve">27 y la </w:t>
      </w:r>
      <w:proofErr w:type="spellStart"/>
      <w:r w:rsidRPr="00CF4BED">
        <w:rPr>
          <w:lang w:val="es-ES"/>
        </w:rPr>
        <w:t>CMR</w:t>
      </w:r>
      <w:proofErr w:type="spellEnd"/>
      <w:r w:rsidR="00CF4BED" w:rsidRPr="00CF4BED">
        <w:rPr>
          <w:lang w:val="es-ES"/>
        </w:rPr>
        <w:noBreakHyphen/>
      </w:r>
      <w:r w:rsidRPr="00CF4BED">
        <w:rPr>
          <w:lang w:val="es-ES"/>
        </w:rPr>
        <w:t>27, en particular a través de organizaciones regionales de telecomunicaciones de la índole de la</w:t>
      </w:r>
      <w:r w:rsidR="00CF4BED" w:rsidRPr="00CF4BED">
        <w:rPr>
          <w:lang w:val="es-ES"/>
        </w:rPr>
        <w:t> </w:t>
      </w:r>
      <w:r w:rsidRPr="00CF4BED">
        <w:rPr>
          <w:lang w:val="es-ES"/>
        </w:rPr>
        <w:t xml:space="preserve">APT, el </w:t>
      </w:r>
      <w:proofErr w:type="spellStart"/>
      <w:r w:rsidRPr="00CF4BED">
        <w:rPr>
          <w:lang w:val="es-ES"/>
        </w:rPr>
        <w:t>ASMG</w:t>
      </w:r>
      <w:proofErr w:type="spellEnd"/>
      <w:r w:rsidRPr="00CF4BED">
        <w:rPr>
          <w:lang w:val="es-ES"/>
        </w:rPr>
        <w:t xml:space="preserve">, la UAT, la </w:t>
      </w:r>
      <w:proofErr w:type="spellStart"/>
      <w:r w:rsidRPr="00CF4BED">
        <w:rPr>
          <w:lang w:val="es-ES"/>
        </w:rPr>
        <w:t>CEPT</w:t>
      </w:r>
      <w:proofErr w:type="spellEnd"/>
      <w:r w:rsidRPr="00CF4BED">
        <w:rPr>
          <w:lang w:val="es-ES"/>
        </w:rPr>
        <w:t>, la CITEL y la CRC. La UIT ha facilitado estos preparativos siempre que ha sido posible, teniendo en cuenta, en particular, la Resolución</w:t>
      </w:r>
      <w:r w:rsidR="00CF4BED" w:rsidRPr="00CF4BED">
        <w:rPr>
          <w:lang w:val="es-ES"/>
        </w:rPr>
        <w:t> </w:t>
      </w:r>
      <w:r w:rsidRPr="00CF4BED">
        <w:rPr>
          <w:lang w:val="es-ES"/>
        </w:rPr>
        <w:t>72 (</w:t>
      </w:r>
      <w:proofErr w:type="spellStart"/>
      <w:r w:rsidRPr="00CF4BED">
        <w:rPr>
          <w:lang w:val="es-ES"/>
        </w:rPr>
        <w:t>Rev.CMR</w:t>
      </w:r>
      <w:proofErr w:type="spellEnd"/>
      <w:r w:rsidR="00CF4BED" w:rsidRPr="00CF4BED">
        <w:rPr>
          <w:lang w:val="es-ES"/>
        </w:rPr>
        <w:noBreakHyphen/>
      </w:r>
      <w:r w:rsidRPr="00CF4BED">
        <w:rPr>
          <w:lang w:val="es-ES"/>
        </w:rPr>
        <w:t xml:space="preserve">19) de la Conferencia Mundial de Radiocomunicaciones. La primera sesión informativa interregional de la UIT sobre la preparación de la </w:t>
      </w:r>
      <w:proofErr w:type="spellStart"/>
      <w:r w:rsidRPr="00CF4BED">
        <w:rPr>
          <w:lang w:val="es-ES"/>
        </w:rPr>
        <w:t>CMR</w:t>
      </w:r>
      <w:proofErr w:type="spellEnd"/>
      <w:r w:rsidRPr="00CF4BED">
        <w:rPr>
          <w:lang w:val="es-ES"/>
        </w:rPr>
        <w:t>-27 se celebró del 3 al 5 de diciembre de 2025. La segunda y tercera sesiones informativas interregionales de la UIT están programadas para</w:t>
      </w:r>
      <w:r w:rsidRPr="00CF4BED">
        <w:rPr>
          <w:spacing w:val="-2"/>
          <w:lang w:val="es-ES"/>
        </w:rPr>
        <w:t xml:space="preserve"> finales de 2026 y unos meses antes de la </w:t>
      </w:r>
      <w:proofErr w:type="spellStart"/>
      <w:r w:rsidRPr="00CF4BED">
        <w:rPr>
          <w:spacing w:val="-2"/>
          <w:lang w:val="es-ES"/>
        </w:rPr>
        <w:t>CMR</w:t>
      </w:r>
      <w:proofErr w:type="spellEnd"/>
      <w:r w:rsidR="00CF4BED" w:rsidRPr="00CF4BED">
        <w:rPr>
          <w:spacing w:val="-2"/>
          <w:lang w:val="es-ES"/>
        </w:rPr>
        <w:noBreakHyphen/>
      </w:r>
      <w:r w:rsidRPr="00CF4BED">
        <w:rPr>
          <w:spacing w:val="-2"/>
          <w:lang w:val="es-ES"/>
        </w:rPr>
        <w:t xml:space="preserve">27, respectivamente. </w:t>
      </w:r>
    </w:p>
    <w:p w14:paraId="7999C7E3" w14:textId="77777777" w:rsidR="00517E95" w:rsidRPr="00CF4BED" w:rsidRDefault="00517E95" w:rsidP="00517E95">
      <w:pPr>
        <w:pStyle w:val="Heading1"/>
        <w:rPr>
          <w:lang w:val="es-ES"/>
        </w:rPr>
      </w:pPr>
      <w:r w:rsidRPr="00CF4BED">
        <w:rPr>
          <w:lang w:val="es-ES"/>
        </w:rPr>
        <w:t>7</w:t>
      </w:r>
      <w:r w:rsidRPr="00CF4BED">
        <w:rPr>
          <w:lang w:val="es-ES"/>
        </w:rPr>
        <w:tab/>
        <w:t>Conclusión</w:t>
      </w:r>
    </w:p>
    <w:p w14:paraId="0F949CB9" w14:textId="1B964CAC" w:rsidR="00F92BED" w:rsidRDefault="00517E95" w:rsidP="002654B7">
      <w:pPr>
        <w:jc w:val="both"/>
        <w:rPr>
          <w:lang w:val="es-ES"/>
        </w:rPr>
      </w:pPr>
      <w:r w:rsidRPr="00CF4BED">
        <w:rPr>
          <w:lang w:val="es-ES"/>
        </w:rPr>
        <w:t>La Secretaría considera que los preparativos para la Asamblea de Radiocomunicaciones y la Conferencia Mundial de Radiocomunicaciones de 2027 avanzan de conformidad con las decisiones adoptadas por el Consejo en su reunión de 2025 y los procedimientos establecidos de la UIT. Se invita al Consejo a tomar nota de la información en la materia que figura en el presente documento.</w:t>
      </w:r>
    </w:p>
    <w:p w14:paraId="5EB1E5F3" w14:textId="77777777" w:rsidR="002654B7" w:rsidRPr="00CF4BED" w:rsidRDefault="002654B7" w:rsidP="002654B7">
      <w:pPr>
        <w:jc w:val="both"/>
        <w:rPr>
          <w:lang w:val="es-ES"/>
        </w:rPr>
      </w:pPr>
    </w:p>
    <w:p w14:paraId="4F6B26BD" w14:textId="77777777" w:rsidR="00F92BED" w:rsidRPr="00517E95" w:rsidRDefault="00F92BED" w:rsidP="00F92BED">
      <w:pPr>
        <w:jc w:val="center"/>
        <w:rPr>
          <w:lang w:val="es-ES"/>
        </w:rPr>
      </w:pPr>
      <w:r w:rsidRPr="00CF4BED">
        <w:rPr>
          <w:lang w:val="es-ES"/>
        </w:rPr>
        <w:t>______________</w:t>
      </w:r>
    </w:p>
    <w:sectPr w:rsidR="00F92BED" w:rsidRPr="00517E95" w:rsidSect="00C538FC">
      <w:footerReference w:type="default" r:id="rId13"/>
      <w:headerReference w:type="first" r:id="rId14"/>
      <w:footerReference w:type="first" r:id="rId15"/>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35D2A" w14:textId="77777777" w:rsidR="00517E95" w:rsidRDefault="00517E95">
      <w:r>
        <w:separator/>
      </w:r>
    </w:p>
  </w:endnote>
  <w:endnote w:type="continuationSeparator" w:id="0">
    <w:p w14:paraId="1265B5F2" w14:textId="77777777" w:rsidR="00517E95" w:rsidRDefault="00517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3273A4" w:rsidRPr="00784011" w14:paraId="6F43B7FC" w14:textId="77777777" w:rsidTr="00E31DCE">
      <w:trPr>
        <w:jc w:val="center"/>
      </w:trPr>
      <w:tc>
        <w:tcPr>
          <w:tcW w:w="1803" w:type="dxa"/>
          <w:vAlign w:val="center"/>
        </w:tcPr>
        <w:p w14:paraId="542E2472" w14:textId="52FA982F" w:rsidR="003273A4" w:rsidRDefault="002946E2" w:rsidP="003273A4">
          <w:pPr>
            <w:pStyle w:val="Header"/>
            <w:jc w:val="left"/>
            <w:rPr>
              <w:noProof/>
            </w:rPr>
          </w:pPr>
          <w:r>
            <w:rPr>
              <w:noProof/>
            </w:rPr>
            <w:t xml:space="preserve">gDoc </w:t>
          </w:r>
          <w:r w:rsidR="00517E95">
            <w:rPr>
              <w:noProof/>
            </w:rPr>
            <w:t>2600705</w:t>
          </w:r>
        </w:p>
      </w:tc>
      <w:tc>
        <w:tcPr>
          <w:tcW w:w="8261" w:type="dxa"/>
        </w:tcPr>
        <w:p w14:paraId="09391E15" w14:textId="34AE55A6" w:rsidR="003273A4" w:rsidRPr="00E06FD5" w:rsidRDefault="003273A4" w:rsidP="00B060DF">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F85E5C">
            <w:rPr>
              <w:bCs/>
            </w:rPr>
            <w:t>6</w:t>
          </w:r>
          <w:proofErr w:type="spellEnd"/>
          <w:r w:rsidRPr="00623AE3">
            <w:rPr>
              <w:bCs/>
            </w:rPr>
            <w:t>/</w:t>
          </w:r>
          <w:r w:rsidR="00517E95">
            <w:rPr>
              <w:bCs/>
            </w:rPr>
            <w:t>6</w:t>
          </w:r>
          <w:r w:rsidRPr="00623AE3">
            <w:rPr>
              <w:bCs/>
            </w:rPr>
            <w:t>-</w:t>
          </w:r>
          <w:r>
            <w:rPr>
              <w:bCs/>
            </w:rPr>
            <w:t>S</w:t>
          </w:r>
          <w:r>
            <w:rPr>
              <w:bCs/>
            </w:rPr>
            <w:tab/>
          </w:r>
          <w:r>
            <w:fldChar w:fldCharType="begin"/>
          </w:r>
          <w:r>
            <w:instrText>PAGE</w:instrText>
          </w:r>
          <w:r>
            <w:fldChar w:fldCharType="separate"/>
          </w:r>
          <w:r>
            <w:t>1</w:t>
          </w:r>
          <w:r>
            <w:rPr>
              <w:noProof/>
            </w:rPr>
            <w:fldChar w:fldCharType="end"/>
          </w:r>
        </w:p>
      </w:tc>
    </w:tr>
  </w:tbl>
  <w:p w14:paraId="13F62CC5" w14:textId="77777777" w:rsidR="00760F1C" w:rsidRPr="003273A4" w:rsidRDefault="00760F1C" w:rsidP="003273A4">
    <w:pPr>
      <w:pStyle w:val="Footer"/>
      <w:rPr>
        <w:b/>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F24B71" w:rsidRPr="00784011" w14:paraId="1ED3B0BA" w14:textId="77777777" w:rsidTr="00E31DCE">
      <w:trPr>
        <w:jc w:val="center"/>
      </w:trPr>
      <w:tc>
        <w:tcPr>
          <w:tcW w:w="1803" w:type="dxa"/>
          <w:vAlign w:val="center"/>
        </w:tcPr>
        <w:p w14:paraId="041F312C" w14:textId="5A4A50A9" w:rsidR="00F24B71" w:rsidRPr="002946E2" w:rsidRDefault="00F85E5C" w:rsidP="00F24B71">
          <w:pPr>
            <w:pStyle w:val="Header"/>
            <w:jc w:val="left"/>
            <w:rPr>
              <w:noProof/>
            </w:rPr>
          </w:pPr>
          <w:hyperlink r:id="rId1" w:anchor="/es" w:history="1">
            <w:r>
              <w:rPr>
                <w:rStyle w:val="Hyperlink"/>
                <w:noProof/>
              </w:rPr>
              <w:t>council.itu.int/2026</w:t>
            </w:r>
          </w:hyperlink>
        </w:p>
      </w:tc>
      <w:tc>
        <w:tcPr>
          <w:tcW w:w="8261" w:type="dxa"/>
        </w:tcPr>
        <w:p w14:paraId="3BAE0A73" w14:textId="69C8E01B" w:rsidR="00F24B71" w:rsidRPr="00E06FD5" w:rsidRDefault="00F24B71" w:rsidP="00B060DF">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F85E5C">
            <w:rPr>
              <w:bCs/>
            </w:rPr>
            <w:t>6</w:t>
          </w:r>
          <w:proofErr w:type="spellEnd"/>
          <w:r w:rsidRPr="00623AE3">
            <w:rPr>
              <w:bCs/>
            </w:rPr>
            <w:t>/</w:t>
          </w:r>
          <w:r w:rsidR="00517E95">
            <w:rPr>
              <w:bCs/>
            </w:rPr>
            <w:t>6</w:t>
          </w:r>
          <w:r w:rsidRPr="00623AE3">
            <w:rPr>
              <w:bCs/>
            </w:rPr>
            <w:t>-</w:t>
          </w:r>
          <w:r w:rsidR="003273A4">
            <w:rPr>
              <w:bCs/>
            </w:rPr>
            <w:t>S</w:t>
          </w:r>
          <w:r>
            <w:rPr>
              <w:bCs/>
            </w:rPr>
            <w:tab/>
          </w:r>
          <w:r>
            <w:fldChar w:fldCharType="begin"/>
          </w:r>
          <w:r>
            <w:instrText>PAGE</w:instrText>
          </w:r>
          <w:r>
            <w:fldChar w:fldCharType="separate"/>
          </w:r>
          <w:r>
            <w:t>1</w:t>
          </w:r>
          <w:r>
            <w:rPr>
              <w:noProof/>
            </w:rPr>
            <w:fldChar w:fldCharType="end"/>
          </w:r>
        </w:p>
      </w:tc>
    </w:tr>
  </w:tbl>
  <w:p w14:paraId="3A2F85F8" w14:textId="77777777" w:rsidR="00760F1C" w:rsidRPr="00F24B71" w:rsidRDefault="00760F1C" w:rsidP="00F24B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9F63A" w14:textId="77777777" w:rsidR="00517E95" w:rsidRDefault="00517E95">
      <w:r>
        <w:t>____________________</w:t>
      </w:r>
    </w:p>
  </w:footnote>
  <w:footnote w:type="continuationSeparator" w:id="0">
    <w:p w14:paraId="499D279B" w14:textId="77777777" w:rsidR="00517E95" w:rsidRDefault="00517E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F2BBB" w14:textId="77777777" w:rsidR="001559F5" w:rsidRPr="00B1560D" w:rsidRDefault="00B1560D" w:rsidP="00B1560D">
    <w:pPr>
      <w:pStyle w:val="Header"/>
    </w:pPr>
    <w:r>
      <w:rPr>
        <w:noProof/>
      </w:rPr>
      <w:drawing>
        <wp:inline distT="0" distB="0" distL="0" distR="0" wp14:anchorId="2B0062BE" wp14:editId="48D8EEE3">
          <wp:extent cx="5760085" cy="840740"/>
          <wp:effectExtent l="0" t="0" r="0" b="0"/>
          <wp:docPr id="3978753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875340" name="Picture 397875340"/>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E95"/>
    <w:rsid w:val="000007D1"/>
    <w:rsid w:val="0006007D"/>
    <w:rsid w:val="00093EEB"/>
    <w:rsid w:val="000B0D00"/>
    <w:rsid w:val="000B7C15"/>
    <w:rsid w:val="000D1D0F"/>
    <w:rsid w:val="000E3F07"/>
    <w:rsid w:val="000F5290"/>
    <w:rsid w:val="000F5A95"/>
    <w:rsid w:val="0010165C"/>
    <w:rsid w:val="00146BFB"/>
    <w:rsid w:val="001559F5"/>
    <w:rsid w:val="00157AC4"/>
    <w:rsid w:val="0016169C"/>
    <w:rsid w:val="001958F5"/>
    <w:rsid w:val="001B6E2B"/>
    <w:rsid w:val="001F14A2"/>
    <w:rsid w:val="002654B7"/>
    <w:rsid w:val="00277DEA"/>
    <w:rsid w:val="002801AA"/>
    <w:rsid w:val="002946E2"/>
    <w:rsid w:val="002C3F32"/>
    <w:rsid w:val="002C4676"/>
    <w:rsid w:val="002C70B0"/>
    <w:rsid w:val="002F3CC4"/>
    <w:rsid w:val="003032E2"/>
    <w:rsid w:val="0031300A"/>
    <w:rsid w:val="003273A4"/>
    <w:rsid w:val="0034796E"/>
    <w:rsid w:val="004571B0"/>
    <w:rsid w:val="00465C35"/>
    <w:rsid w:val="00473962"/>
    <w:rsid w:val="004B5D49"/>
    <w:rsid w:val="004D3A3C"/>
    <w:rsid w:val="00513630"/>
    <w:rsid w:val="00517E95"/>
    <w:rsid w:val="00560125"/>
    <w:rsid w:val="00585553"/>
    <w:rsid w:val="005B34D9"/>
    <w:rsid w:val="005D0CCF"/>
    <w:rsid w:val="005F0915"/>
    <w:rsid w:val="005F3BCB"/>
    <w:rsid w:val="005F410F"/>
    <w:rsid w:val="0060149A"/>
    <w:rsid w:val="00601924"/>
    <w:rsid w:val="006447EA"/>
    <w:rsid w:val="0064481D"/>
    <w:rsid w:val="0064731F"/>
    <w:rsid w:val="00664572"/>
    <w:rsid w:val="00666D09"/>
    <w:rsid w:val="00670579"/>
    <w:rsid w:val="006710F6"/>
    <w:rsid w:val="00677A97"/>
    <w:rsid w:val="006C1B56"/>
    <w:rsid w:val="006D4761"/>
    <w:rsid w:val="00726872"/>
    <w:rsid w:val="00760F1C"/>
    <w:rsid w:val="007657F0"/>
    <w:rsid w:val="0077110E"/>
    <w:rsid w:val="0077252D"/>
    <w:rsid w:val="00794D4D"/>
    <w:rsid w:val="007955DA"/>
    <w:rsid w:val="007E5DD3"/>
    <w:rsid w:val="007F350B"/>
    <w:rsid w:val="00820BE4"/>
    <w:rsid w:val="008451E8"/>
    <w:rsid w:val="0084546D"/>
    <w:rsid w:val="008F6ABC"/>
    <w:rsid w:val="00913B9C"/>
    <w:rsid w:val="00927F93"/>
    <w:rsid w:val="00956E77"/>
    <w:rsid w:val="009A338E"/>
    <w:rsid w:val="009A76A8"/>
    <w:rsid w:val="009F4811"/>
    <w:rsid w:val="00A01F4F"/>
    <w:rsid w:val="00A109AF"/>
    <w:rsid w:val="00A93C87"/>
    <w:rsid w:val="00A94438"/>
    <w:rsid w:val="00AA390C"/>
    <w:rsid w:val="00AC39FF"/>
    <w:rsid w:val="00AD5A4D"/>
    <w:rsid w:val="00AF0EAC"/>
    <w:rsid w:val="00B0200A"/>
    <w:rsid w:val="00B060DF"/>
    <w:rsid w:val="00B1560D"/>
    <w:rsid w:val="00B574DB"/>
    <w:rsid w:val="00B826C2"/>
    <w:rsid w:val="00B8298E"/>
    <w:rsid w:val="00BB6FD8"/>
    <w:rsid w:val="00BD0723"/>
    <w:rsid w:val="00BD2518"/>
    <w:rsid w:val="00BF1D1C"/>
    <w:rsid w:val="00C20C59"/>
    <w:rsid w:val="00C2727F"/>
    <w:rsid w:val="00C4421B"/>
    <w:rsid w:val="00C538FC"/>
    <w:rsid w:val="00C55B1F"/>
    <w:rsid w:val="00C67712"/>
    <w:rsid w:val="00CF1A67"/>
    <w:rsid w:val="00CF4BED"/>
    <w:rsid w:val="00D2750E"/>
    <w:rsid w:val="00D375E0"/>
    <w:rsid w:val="00D50A36"/>
    <w:rsid w:val="00D62446"/>
    <w:rsid w:val="00DA4EA2"/>
    <w:rsid w:val="00DC3D3E"/>
    <w:rsid w:val="00DE2C90"/>
    <w:rsid w:val="00DE3B24"/>
    <w:rsid w:val="00DE7376"/>
    <w:rsid w:val="00E06947"/>
    <w:rsid w:val="00E11319"/>
    <w:rsid w:val="00E21444"/>
    <w:rsid w:val="00E34072"/>
    <w:rsid w:val="00E3592D"/>
    <w:rsid w:val="00E50D76"/>
    <w:rsid w:val="00E8018B"/>
    <w:rsid w:val="00E92DE8"/>
    <w:rsid w:val="00EB1212"/>
    <w:rsid w:val="00ED65AB"/>
    <w:rsid w:val="00F12850"/>
    <w:rsid w:val="00F24B71"/>
    <w:rsid w:val="00F33BF4"/>
    <w:rsid w:val="00F7105E"/>
    <w:rsid w:val="00F75F57"/>
    <w:rsid w:val="00F806E4"/>
    <w:rsid w:val="00F82FEE"/>
    <w:rsid w:val="00F85E5C"/>
    <w:rsid w:val="00F92BED"/>
    <w:rsid w:val="00FD57D3"/>
    <w:rsid w:val="00FE57F6"/>
    <w:rsid w:val="00FF11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55DA71"/>
  <w15:docId w15:val="{8768AB94-2B5E-452D-B6E1-208B2F8AB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5A95"/>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0F5A95"/>
    <w:pPr>
      <w:keepNext/>
      <w:keepLines/>
      <w:spacing w:before="360"/>
      <w:ind w:left="567" w:hanging="567"/>
      <w:outlineLvl w:val="0"/>
    </w:pPr>
    <w:rPr>
      <w:b/>
      <w:sz w:val="28"/>
    </w:rPr>
  </w:style>
  <w:style w:type="paragraph" w:styleId="Heading2">
    <w:name w:val="heading 2"/>
    <w:basedOn w:val="Heading1"/>
    <w:next w:val="Normal"/>
    <w:qFormat/>
    <w:rsid w:val="000F5A95"/>
    <w:pPr>
      <w:spacing w:before="200"/>
      <w:outlineLvl w:val="1"/>
    </w:pPr>
    <w:rPr>
      <w:sz w:val="24"/>
    </w:rPr>
  </w:style>
  <w:style w:type="paragraph" w:styleId="Heading3">
    <w:name w:val="heading 3"/>
    <w:basedOn w:val="Heading1"/>
    <w:next w:val="Normal"/>
    <w:qFormat/>
    <w:rsid w:val="000F5A95"/>
    <w:pPr>
      <w:spacing w:before="200"/>
      <w:outlineLvl w:val="2"/>
    </w:pPr>
    <w:rPr>
      <w:sz w:val="24"/>
    </w:rPr>
  </w:style>
  <w:style w:type="paragraph" w:styleId="Heading4">
    <w:name w:val="heading 4"/>
    <w:basedOn w:val="Heading3"/>
    <w:next w:val="Normal"/>
    <w:qFormat/>
    <w:rsid w:val="000F5A95"/>
    <w:pPr>
      <w:ind w:left="1134" w:hanging="1134"/>
      <w:outlineLvl w:val="3"/>
    </w:pPr>
  </w:style>
  <w:style w:type="paragraph" w:styleId="Heading5">
    <w:name w:val="heading 5"/>
    <w:basedOn w:val="Heading4"/>
    <w:next w:val="Normal"/>
    <w:qFormat/>
    <w:rsid w:val="000F5A95"/>
    <w:pPr>
      <w:outlineLvl w:val="4"/>
    </w:pPr>
  </w:style>
  <w:style w:type="paragraph" w:styleId="Heading6">
    <w:name w:val="heading 6"/>
    <w:basedOn w:val="Heading4"/>
    <w:next w:val="Normal"/>
    <w:qFormat/>
    <w:rsid w:val="000F5A95"/>
    <w:pPr>
      <w:outlineLvl w:val="5"/>
    </w:pPr>
  </w:style>
  <w:style w:type="paragraph" w:styleId="Heading7">
    <w:name w:val="heading 7"/>
    <w:basedOn w:val="Heading4"/>
    <w:next w:val="Normal"/>
    <w:qFormat/>
    <w:rsid w:val="000F5A95"/>
    <w:pPr>
      <w:ind w:left="1701" w:hanging="1701"/>
      <w:outlineLvl w:val="6"/>
    </w:pPr>
  </w:style>
  <w:style w:type="paragraph" w:styleId="Heading8">
    <w:name w:val="heading 8"/>
    <w:basedOn w:val="Heading4"/>
    <w:next w:val="Normal"/>
    <w:qFormat/>
    <w:rsid w:val="000F5A95"/>
    <w:pPr>
      <w:ind w:left="1701" w:hanging="1701"/>
      <w:outlineLvl w:val="7"/>
    </w:pPr>
  </w:style>
  <w:style w:type="paragraph" w:styleId="Heading9">
    <w:name w:val="heading 9"/>
    <w:basedOn w:val="Heading4"/>
    <w:next w:val="Normal"/>
    <w:qFormat/>
    <w:rsid w:val="000F5A95"/>
    <w:pPr>
      <w:ind w:left="1701" w:hanging="1701"/>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0F5A95"/>
  </w:style>
  <w:style w:type="paragraph" w:styleId="TOC4">
    <w:name w:val="toc 4"/>
    <w:basedOn w:val="TOC1"/>
    <w:next w:val="Normal"/>
    <w:rsid w:val="000F5A95"/>
  </w:style>
  <w:style w:type="paragraph" w:styleId="TOC3">
    <w:name w:val="toc 3"/>
    <w:basedOn w:val="TOC1"/>
    <w:next w:val="Normal"/>
    <w:rsid w:val="000F5A95"/>
  </w:style>
  <w:style w:type="paragraph" w:styleId="TOC2">
    <w:name w:val="toc 2"/>
    <w:basedOn w:val="TOC1"/>
    <w:next w:val="Normal"/>
    <w:rsid w:val="000F5A95"/>
    <w:pPr>
      <w:spacing w:before="160"/>
    </w:pPr>
  </w:style>
  <w:style w:type="paragraph" w:styleId="TOC1">
    <w:name w:val="toc 1"/>
    <w:basedOn w:val="Normal"/>
    <w:rsid w:val="000F5A95"/>
    <w:pPr>
      <w:tabs>
        <w:tab w:val="clear" w:pos="567"/>
        <w:tab w:val="clear" w:pos="1134"/>
        <w:tab w:val="clear" w:pos="1701"/>
        <w:tab w:val="clear" w:pos="2268"/>
        <w:tab w:val="clear" w:pos="2835"/>
        <w:tab w:val="left" w:pos="964"/>
        <w:tab w:val="left" w:leader="dot" w:pos="7938"/>
        <w:tab w:val="right" w:pos="9072"/>
      </w:tabs>
      <w:spacing w:before="200"/>
      <w:ind w:left="964" w:hanging="964"/>
    </w:pPr>
  </w:style>
  <w:style w:type="paragraph" w:styleId="TOC7">
    <w:name w:val="toc 7"/>
    <w:basedOn w:val="TOC6"/>
    <w:next w:val="Normal"/>
    <w:rsid w:val="000F5A95"/>
  </w:style>
  <w:style w:type="paragraph" w:styleId="TOC6">
    <w:name w:val="toc 6"/>
    <w:basedOn w:val="TOC5"/>
    <w:next w:val="Normal"/>
    <w:rsid w:val="000F5A95"/>
  </w:style>
  <w:style w:type="paragraph" w:styleId="TOC5">
    <w:name w:val="toc 5"/>
    <w:basedOn w:val="TOC4"/>
    <w:next w:val="Normal"/>
    <w:rsid w:val="000F5A95"/>
    <w:rPr>
      <w:lang w:val="fr-CH"/>
    </w:rPr>
  </w:style>
  <w:style w:type="paragraph" w:styleId="Index7">
    <w:name w:val="index 7"/>
    <w:basedOn w:val="Normal"/>
    <w:next w:val="Normal"/>
    <w:rsid w:val="000F5A95"/>
    <w:pPr>
      <w:ind w:left="1698"/>
    </w:pPr>
  </w:style>
  <w:style w:type="paragraph" w:styleId="Index6">
    <w:name w:val="index 6"/>
    <w:basedOn w:val="Normal"/>
    <w:next w:val="Normal"/>
    <w:rsid w:val="000F5A95"/>
    <w:pPr>
      <w:ind w:left="1415"/>
    </w:pPr>
  </w:style>
  <w:style w:type="paragraph" w:styleId="Index5">
    <w:name w:val="index 5"/>
    <w:basedOn w:val="Normal"/>
    <w:next w:val="Normal"/>
    <w:rsid w:val="000F5A95"/>
    <w:pPr>
      <w:ind w:left="1132"/>
    </w:pPr>
  </w:style>
  <w:style w:type="paragraph" w:styleId="Index4">
    <w:name w:val="index 4"/>
    <w:basedOn w:val="Normal"/>
    <w:next w:val="Normal"/>
    <w:rsid w:val="000F5A95"/>
    <w:pPr>
      <w:ind w:left="849"/>
    </w:pPr>
  </w:style>
  <w:style w:type="paragraph" w:styleId="Index3">
    <w:name w:val="index 3"/>
    <w:basedOn w:val="Normal"/>
    <w:next w:val="Normal"/>
    <w:rsid w:val="000F5A95"/>
    <w:pPr>
      <w:ind w:left="566"/>
    </w:pPr>
  </w:style>
  <w:style w:type="paragraph" w:styleId="Index2">
    <w:name w:val="index 2"/>
    <w:basedOn w:val="Normal"/>
    <w:next w:val="Normal"/>
    <w:rsid w:val="000F5A95"/>
    <w:pPr>
      <w:ind w:left="283"/>
    </w:pPr>
  </w:style>
  <w:style w:type="paragraph" w:styleId="Index1">
    <w:name w:val="index 1"/>
    <w:basedOn w:val="Normal"/>
    <w:next w:val="Normal"/>
    <w:rsid w:val="000F5A95"/>
  </w:style>
  <w:style w:type="character" w:styleId="LineNumber">
    <w:name w:val="line number"/>
    <w:basedOn w:val="DefaultParagraphFont"/>
    <w:rsid w:val="000F5A95"/>
  </w:style>
  <w:style w:type="paragraph" w:styleId="IndexHeading">
    <w:name w:val="index heading"/>
    <w:basedOn w:val="Normal"/>
    <w:next w:val="Index1"/>
    <w:rsid w:val="000F5A95"/>
  </w:style>
  <w:style w:type="paragraph" w:styleId="Footer">
    <w:name w:val="footer"/>
    <w:basedOn w:val="Normal"/>
    <w:rsid w:val="000F5A9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0F5A9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0F5A95"/>
    <w:rPr>
      <w:rFonts w:ascii="Calibri" w:hAnsi="Calibri"/>
      <w:position w:val="6"/>
      <w:sz w:val="16"/>
    </w:rPr>
  </w:style>
  <w:style w:type="paragraph" w:styleId="FootnoteText">
    <w:name w:val="footnote text"/>
    <w:basedOn w:val="Normal"/>
    <w:rsid w:val="000F5A95"/>
    <w:pPr>
      <w:keepLines/>
      <w:tabs>
        <w:tab w:val="left" w:pos="256"/>
      </w:tabs>
      <w:ind w:left="256" w:hanging="256"/>
    </w:pPr>
    <w:rPr>
      <w:sz w:val="22"/>
    </w:rPr>
  </w:style>
  <w:style w:type="paragraph" w:styleId="NormalIndent">
    <w:name w:val="Normal Indent"/>
    <w:basedOn w:val="Normal"/>
    <w:rsid w:val="000F5A95"/>
    <w:pPr>
      <w:ind w:left="567"/>
    </w:pPr>
  </w:style>
  <w:style w:type="paragraph" w:customStyle="1" w:styleId="AnnexNo">
    <w:name w:val="Annex_No"/>
    <w:basedOn w:val="Normal"/>
    <w:next w:val="Annexref"/>
    <w:rsid w:val="000F5A95"/>
    <w:pPr>
      <w:keepNext/>
      <w:keepLines/>
      <w:spacing w:before="720"/>
      <w:jc w:val="center"/>
    </w:pPr>
    <w:rPr>
      <w:caps/>
      <w:sz w:val="28"/>
    </w:rPr>
  </w:style>
  <w:style w:type="paragraph" w:customStyle="1" w:styleId="Annextitle">
    <w:name w:val="Annex_title"/>
    <w:basedOn w:val="Normal"/>
    <w:next w:val="Normalaftertitle"/>
    <w:rsid w:val="000F5A95"/>
    <w:pPr>
      <w:keepNext/>
      <w:keepLines/>
      <w:spacing w:before="240" w:after="240"/>
      <w:jc w:val="center"/>
    </w:pPr>
    <w:rPr>
      <w:b/>
      <w:sz w:val="28"/>
    </w:rPr>
  </w:style>
  <w:style w:type="paragraph" w:customStyle="1" w:styleId="Annexref">
    <w:name w:val="Annex_ref"/>
    <w:basedOn w:val="Normal"/>
    <w:next w:val="Annextitle"/>
    <w:rsid w:val="000F5A95"/>
    <w:pPr>
      <w:keepNext/>
      <w:keepLines/>
      <w:jc w:val="center"/>
    </w:pPr>
    <w:rPr>
      <w:sz w:val="28"/>
    </w:rPr>
  </w:style>
  <w:style w:type="paragraph" w:customStyle="1" w:styleId="Normalaftertitle">
    <w:name w:val="Normal after title"/>
    <w:basedOn w:val="Normal"/>
    <w:next w:val="Normal"/>
    <w:rsid w:val="000F5A95"/>
    <w:pPr>
      <w:spacing w:before="240"/>
    </w:pPr>
  </w:style>
  <w:style w:type="paragraph" w:customStyle="1" w:styleId="AppendixNo">
    <w:name w:val="Appendix_No"/>
    <w:basedOn w:val="AnnexNo"/>
    <w:next w:val="Appendixref"/>
    <w:rsid w:val="000F5A95"/>
  </w:style>
  <w:style w:type="paragraph" w:customStyle="1" w:styleId="Appendixtitle">
    <w:name w:val="Appendix_title"/>
    <w:basedOn w:val="Annextitle"/>
    <w:next w:val="Normalaftertitle"/>
    <w:rsid w:val="000F5A95"/>
  </w:style>
  <w:style w:type="paragraph" w:customStyle="1" w:styleId="Appendixref">
    <w:name w:val="Appendix_ref"/>
    <w:basedOn w:val="Annexref"/>
    <w:next w:val="Appendixtitle"/>
    <w:rsid w:val="000F5A95"/>
  </w:style>
  <w:style w:type="paragraph" w:customStyle="1" w:styleId="enumlev1">
    <w:name w:val="enumlev1"/>
    <w:basedOn w:val="Normal"/>
    <w:rsid w:val="000F5A95"/>
    <w:pPr>
      <w:spacing w:before="80"/>
      <w:ind w:left="567" w:hanging="567"/>
    </w:pPr>
  </w:style>
  <w:style w:type="paragraph" w:customStyle="1" w:styleId="enumlev2">
    <w:name w:val="enumlev2"/>
    <w:basedOn w:val="enumlev1"/>
    <w:rsid w:val="000F5A95"/>
    <w:pPr>
      <w:ind w:left="1134"/>
    </w:pPr>
  </w:style>
  <w:style w:type="paragraph" w:customStyle="1" w:styleId="enumlev3">
    <w:name w:val="enumlev3"/>
    <w:basedOn w:val="enumlev2"/>
    <w:rsid w:val="000F5A95"/>
    <w:pPr>
      <w:ind w:left="1701"/>
    </w:pPr>
  </w:style>
  <w:style w:type="paragraph" w:customStyle="1" w:styleId="Artheading">
    <w:name w:val="Art_heading"/>
    <w:basedOn w:val="Normal"/>
    <w:next w:val="Normalaftertitle"/>
    <w:rsid w:val="000F5A9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0F5A95"/>
    <w:pPr>
      <w:keepNext/>
      <w:keepLines/>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0F5A95"/>
    <w:pPr>
      <w:keepNext/>
      <w:keepLines/>
      <w:tabs>
        <w:tab w:val="clear" w:pos="567"/>
        <w:tab w:val="clear" w:pos="1134"/>
        <w:tab w:val="clear" w:pos="1701"/>
        <w:tab w:val="clear" w:pos="2268"/>
        <w:tab w:val="clear" w:pos="2835"/>
      </w:tabs>
      <w:spacing w:before="240" w:after="240"/>
      <w:jc w:val="center"/>
    </w:pPr>
    <w:rPr>
      <w:b/>
      <w:sz w:val="28"/>
    </w:rPr>
  </w:style>
  <w:style w:type="paragraph" w:customStyle="1" w:styleId="Call">
    <w:name w:val="Call"/>
    <w:basedOn w:val="Normal"/>
    <w:next w:val="Normal"/>
    <w:rsid w:val="000F5A95"/>
    <w:pPr>
      <w:keepNext/>
      <w:keepLines/>
      <w:tabs>
        <w:tab w:val="clear" w:pos="1134"/>
        <w:tab w:val="clear" w:pos="1701"/>
        <w:tab w:val="clear" w:pos="2268"/>
        <w:tab w:val="clear" w:pos="2835"/>
      </w:tabs>
      <w:spacing w:before="160"/>
      <w:ind w:left="567"/>
    </w:pPr>
    <w:rPr>
      <w:i/>
    </w:rPr>
  </w:style>
  <w:style w:type="paragraph" w:customStyle="1" w:styleId="ChapNo">
    <w:name w:val="Chap_No"/>
    <w:basedOn w:val="ArtNo"/>
    <w:next w:val="Chaptitle"/>
    <w:rsid w:val="000F5A95"/>
  </w:style>
  <w:style w:type="paragraph" w:customStyle="1" w:styleId="Chaptitle">
    <w:name w:val="Chap_title"/>
    <w:basedOn w:val="Arttitle"/>
    <w:next w:val="Normalaftertitle"/>
    <w:rsid w:val="000F5A95"/>
  </w:style>
  <w:style w:type="paragraph" w:customStyle="1" w:styleId="Equationlegend">
    <w:name w:val="Equation_legend"/>
    <w:basedOn w:val="NormalIndent"/>
    <w:rsid w:val="000F5A95"/>
    <w:pPr>
      <w:tabs>
        <w:tab w:val="right" w:pos="1531"/>
      </w:tabs>
      <w:spacing w:before="80"/>
      <w:ind w:left="1701" w:hanging="1701"/>
    </w:pPr>
  </w:style>
  <w:style w:type="paragraph" w:customStyle="1" w:styleId="Figure">
    <w:name w:val="Figure"/>
    <w:basedOn w:val="Normal"/>
    <w:next w:val="Normal"/>
    <w:rsid w:val="000F5A95"/>
    <w:pPr>
      <w:spacing w:after="240"/>
      <w:jc w:val="center"/>
    </w:pPr>
  </w:style>
  <w:style w:type="paragraph" w:customStyle="1" w:styleId="Figuretitle">
    <w:name w:val="Figure_title"/>
    <w:basedOn w:val="Tabletitle"/>
    <w:next w:val="Normalaftertitle"/>
    <w:rsid w:val="000F5A95"/>
    <w:pPr>
      <w:spacing w:before="120" w:after="0"/>
    </w:pPr>
  </w:style>
  <w:style w:type="paragraph" w:customStyle="1" w:styleId="Tabletitle">
    <w:name w:val="Table_title"/>
    <w:basedOn w:val="TableNo"/>
    <w:next w:val="Tabletext"/>
    <w:rsid w:val="000F5A95"/>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0F5A95"/>
    <w:pPr>
      <w:keepNext/>
      <w:keepLines/>
      <w:spacing w:before="480" w:after="120"/>
      <w:jc w:val="center"/>
    </w:pPr>
    <w:rPr>
      <w:caps/>
    </w:rPr>
  </w:style>
  <w:style w:type="paragraph" w:customStyle="1" w:styleId="Tabletext">
    <w:name w:val="Table_text"/>
    <w:basedOn w:val="Normal"/>
    <w:rsid w:val="000F5A95"/>
    <w:pPr>
      <w:tabs>
        <w:tab w:val="clear" w:pos="1134"/>
        <w:tab w:val="clear" w:pos="1701"/>
        <w:tab w:val="clear" w:pos="2268"/>
        <w:tab w:val="clear" w:pos="2835"/>
        <w:tab w:val="left" w:pos="284"/>
        <w:tab w:val="left" w:pos="851"/>
      </w:tabs>
      <w:spacing w:before="40" w:after="40"/>
    </w:pPr>
    <w:rPr>
      <w:sz w:val="22"/>
    </w:rPr>
  </w:style>
  <w:style w:type="paragraph" w:customStyle="1" w:styleId="Figurelegend">
    <w:name w:val="Figure_legend"/>
    <w:basedOn w:val="Normal"/>
    <w:next w:val="Normal"/>
    <w:rsid w:val="000F5A95"/>
    <w:pPr>
      <w:spacing w:before="20" w:after="240"/>
    </w:pPr>
    <w:rPr>
      <w:sz w:val="18"/>
    </w:rPr>
  </w:style>
  <w:style w:type="paragraph" w:customStyle="1" w:styleId="Equation">
    <w:name w:val="Equation"/>
    <w:basedOn w:val="Normal"/>
    <w:rsid w:val="000F5A95"/>
    <w:pPr>
      <w:tabs>
        <w:tab w:val="center" w:pos="4820"/>
        <w:tab w:val="right" w:pos="9639"/>
      </w:tabs>
    </w:pPr>
  </w:style>
  <w:style w:type="paragraph" w:customStyle="1" w:styleId="Head">
    <w:name w:val="Head"/>
    <w:basedOn w:val="Normal"/>
    <w:rsid w:val="000F5A95"/>
    <w:pPr>
      <w:tabs>
        <w:tab w:val="left" w:pos="6663"/>
      </w:tabs>
      <w:overflowPunct/>
      <w:autoSpaceDE/>
      <w:autoSpaceDN/>
      <w:adjustRightInd/>
      <w:spacing w:before="0"/>
      <w:textAlignment w:val="auto"/>
    </w:pPr>
  </w:style>
  <w:style w:type="paragraph" w:customStyle="1" w:styleId="toc0">
    <w:name w:val="toc 0"/>
    <w:basedOn w:val="Normal"/>
    <w:next w:val="TOC1"/>
    <w:rsid w:val="000F5A95"/>
    <w:pPr>
      <w:tabs>
        <w:tab w:val="clear" w:pos="567"/>
        <w:tab w:val="clear" w:pos="1134"/>
        <w:tab w:val="clear" w:pos="1701"/>
        <w:tab w:val="clear" w:pos="2268"/>
        <w:tab w:val="clear" w:pos="2835"/>
        <w:tab w:val="right" w:pos="9781"/>
      </w:tabs>
    </w:pPr>
    <w:rPr>
      <w:b/>
    </w:rPr>
  </w:style>
  <w:style w:type="paragraph" w:styleId="List">
    <w:name w:val="List"/>
    <w:basedOn w:val="Normal"/>
    <w:rsid w:val="000F5A95"/>
    <w:pPr>
      <w:tabs>
        <w:tab w:val="left" w:pos="2127"/>
      </w:tabs>
      <w:ind w:left="2127" w:hanging="2127"/>
    </w:pPr>
  </w:style>
  <w:style w:type="paragraph" w:customStyle="1" w:styleId="Part">
    <w:name w:val="Part"/>
    <w:basedOn w:val="Normal"/>
    <w:rsid w:val="000F5A95"/>
    <w:pPr>
      <w:tabs>
        <w:tab w:val="left" w:pos="1276"/>
      </w:tabs>
      <w:spacing w:before="199"/>
      <w:ind w:left="1701" w:hanging="1701"/>
    </w:pPr>
    <w:rPr>
      <w:caps/>
    </w:rPr>
  </w:style>
  <w:style w:type="paragraph" w:customStyle="1" w:styleId="Figurewithouttitle">
    <w:name w:val="Figure_without_title"/>
    <w:basedOn w:val="Figure"/>
    <w:next w:val="Normal"/>
    <w:rsid w:val="000F5A95"/>
  </w:style>
  <w:style w:type="character" w:styleId="PageNumber">
    <w:name w:val="page number"/>
    <w:basedOn w:val="DefaultParagraphFont"/>
    <w:rsid w:val="000F5A95"/>
    <w:rPr>
      <w:rFonts w:ascii="Calibri" w:hAnsi="Calibri"/>
    </w:rPr>
  </w:style>
  <w:style w:type="paragraph" w:customStyle="1" w:styleId="meeting">
    <w:name w:val="meeting"/>
    <w:basedOn w:val="Head"/>
    <w:next w:val="Head"/>
    <w:rsid w:val="000F5A95"/>
    <w:pPr>
      <w:tabs>
        <w:tab w:val="left" w:pos="7371"/>
      </w:tabs>
      <w:spacing w:after="567"/>
    </w:pPr>
  </w:style>
  <w:style w:type="paragraph" w:customStyle="1" w:styleId="PartNo">
    <w:name w:val="Part_No"/>
    <w:basedOn w:val="AnnexNo"/>
    <w:next w:val="Parttitle"/>
    <w:rsid w:val="000F5A95"/>
  </w:style>
  <w:style w:type="paragraph" w:customStyle="1" w:styleId="Parttitle">
    <w:name w:val="Part_title"/>
    <w:basedOn w:val="Annextitle"/>
    <w:next w:val="Partref"/>
    <w:rsid w:val="000F5A95"/>
  </w:style>
  <w:style w:type="paragraph" w:customStyle="1" w:styleId="Partref">
    <w:name w:val="Part_ref"/>
    <w:basedOn w:val="Annexref"/>
    <w:next w:val="Normalaftertitle"/>
    <w:rsid w:val="000F5A95"/>
  </w:style>
  <w:style w:type="paragraph" w:customStyle="1" w:styleId="Headingb">
    <w:name w:val="Heading_b"/>
    <w:basedOn w:val="Heading3"/>
    <w:next w:val="Normal"/>
    <w:rsid w:val="000F5A95"/>
    <w:pPr>
      <w:spacing w:before="160"/>
      <w:ind w:left="0" w:firstLine="0"/>
      <w:outlineLvl w:val="0"/>
    </w:pPr>
  </w:style>
  <w:style w:type="paragraph" w:customStyle="1" w:styleId="Subject">
    <w:name w:val="Subject"/>
    <w:basedOn w:val="Normal"/>
    <w:next w:val="Source"/>
    <w:rsid w:val="000F5A95"/>
    <w:pPr>
      <w:tabs>
        <w:tab w:val="left" w:pos="709"/>
      </w:tabs>
      <w:spacing w:before="0"/>
      <w:ind w:left="709" w:hanging="709"/>
    </w:pPr>
  </w:style>
  <w:style w:type="paragraph" w:customStyle="1" w:styleId="Source">
    <w:name w:val="Source"/>
    <w:basedOn w:val="Normal"/>
    <w:next w:val="Title1"/>
    <w:rsid w:val="002654B7"/>
    <w:pPr>
      <w:framePr w:hSpace="181" w:wrap="around" w:vAnchor="page" w:hAnchor="page" w:x="1589" w:y="2314"/>
      <w:spacing w:before="840"/>
    </w:pPr>
    <w:rPr>
      <w:rFonts w:cstheme="minorHAnsi"/>
      <w:b/>
      <w:sz w:val="32"/>
      <w:szCs w:val="32"/>
      <w:lang w:val="es-ES"/>
    </w:rPr>
  </w:style>
  <w:style w:type="paragraph" w:customStyle="1" w:styleId="Data">
    <w:name w:val="Data"/>
    <w:basedOn w:val="Subject"/>
    <w:next w:val="Subject"/>
    <w:rsid w:val="000F5A95"/>
  </w:style>
  <w:style w:type="character" w:styleId="Hyperlink">
    <w:name w:val="Hyperlink"/>
    <w:basedOn w:val="DefaultParagraphFont"/>
    <w:rsid w:val="000F5A95"/>
    <w:rPr>
      <w:rFonts w:eastAsiaTheme="minorHAnsi" w:cstheme="minorBidi"/>
      <w:color w:val="4F81BD" w:themeColor="accent1"/>
      <w:szCs w:val="22"/>
    </w:rPr>
  </w:style>
  <w:style w:type="character" w:styleId="FollowedHyperlink">
    <w:name w:val="FollowedHyperlink"/>
    <w:basedOn w:val="DefaultParagraphFont"/>
    <w:rsid w:val="000F5A95"/>
    <w:rPr>
      <w:color w:val="800080"/>
      <w:u w:val="single"/>
    </w:rPr>
  </w:style>
  <w:style w:type="paragraph" w:customStyle="1" w:styleId="FirstFooter">
    <w:name w:val="FirstFooter"/>
    <w:basedOn w:val="Footer"/>
    <w:rsid w:val="000F5A95"/>
    <w:rPr>
      <w:caps w:val="0"/>
    </w:rPr>
  </w:style>
  <w:style w:type="paragraph" w:customStyle="1" w:styleId="Note">
    <w:name w:val="Note"/>
    <w:basedOn w:val="Normal"/>
    <w:rsid w:val="000F5A95"/>
    <w:pPr>
      <w:spacing w:before="80"/>
    </w:pPr>
    <w:rPr>
      <w:sz w:val="22"/>
    </w:rPr>
  </w:style>
  <w:style w:type="paragraph" w:styleId="TOC9">
    <w:name w:val="toc 9"/>
    <w:basedOn w:val="Normal"/>
    <w:next w:val="Normal"/>
    <w:rsid w:val="000F5A95"/>
    <w:pPr>
      <w:tabs>
        <w:tab w:val="clear" w:pos="567"/>
        <w:tab w:val="clear" w:pos="1134"/>
        <w:tab w:val="clear" w:pos="1701"/>
        <w:tab w:val="clear" w:pos="2268"/>
        <w:tab w:val="clear" w:pos="2835"/>
        <w:tab w:val="right" w:leader="dot" w:pos="9645"/>
      </w:tabs>
      <w:ind w:left="1920"/>
    </w:pPr>
  </w:style>
  <w:style w:type="paragraph" w:customStyle="1" w:styleId="Headingi">
    <w:name w:val="Heading_i"/>
    <w:basedOn w:val="Heading3"/>
    <w:next w:val="Normal"/>
    <w:rsid w:val="000F5A95"/>
    <w:pPr>
      <w:spacing w:before="160"/>
      <w:ind w:left="0" w:firstLine="0"/>
      <w:outlineLvl w:val="0"/>
    </w:pPr>
    <w:rPr>
      <w:b w:val="0"/>
      <w:i/>
    </w:rPr>
  </w:style>
  <w:style w:type="paragraph" w:customStyle="1" w:styleId="Title1">
    <w:name w:val="Title 1"/>
    <w:basedOn w:val="Normal"/>
    <w:next w:val="Normalaftertitle"/>
    <w:rsid w:val="000F5A95"/>
    <w:pPr>
      <w:spacing w:before="360"/>
      <w:jc w:val="center"/>
    </w:pPr>
    <w:rPr>
      <w:caps/>
    </w:rPr>
  </w:style>
  <w:style w:type="paragraph" w:customStyle="1" w:styleId="Title2">
    <w:name w:val="Title 2"/>
    <w:basedOn w:val="Title1"/>
    <w:next w:val="Normalaftertitle"/>
    <w:rsid w:val="000F5A95"/>
    <w:pPr>
      <w:keepNext/>
      <w:keepLines/>
      <w:spacing w:before="240"/>
    </w:pPr>
    <w:rPr>
      <w:b/>
      <w:caps w:val="0"/>
    </w:rPr>
  </w:style>
  <w:style w:type="paragraph" w:customStyle="1" w:styleId="Title3">
    <w:name w:val="Title 3"/>
    <w:basedOn w:val="Title2"/>
    <w:next w:val="Normalaftertitle"/>
    <w:rsid w:val="000F5A95"/>
    <w:rPr>
      <w:b w:val="0"/>
      <w:caps/>
    </w:rPr>
  </w:style>
  <w:style w:type="paragraph" w:customStyle="1" w:styleId="Title4">
    <w:name w:val="Title 4"/>
    <w:basedOn w:val="Annextitle"/>
    <w:next w:val="Normal"/>
    <w:rsid w:val="000F5A95"/>
    <w:pPr>
      <w:spacing w:after="120"/>
    </w:pPr>
    <w:rPr>
      <w:b w:val="0"/>
    </w:rPr>
  </w:style>
  <w:style w:type="paragraph" w:customStyle="1" w:styleId="dnum">
    <w:name w:val="dnum"/>
    <w:basedOn w:val="Normal"/>
    <w:rsid w:val="000F5A95"/>
    <w:pPr>
      <w:framePr w:hSpace="181" w:wrap="notBeside" w:vAnchor="page" w:hAnchor="margin" w:x="1" w:y="852"/>
      <w:shd w:val="solid" w:color="FFFFFF" w:fill="FFFFFF"/>
      <w:tabs>
        <w:tab w:val="left" w:pos="1871"/>
      </w:tabs>
    </w:pPr>
    <w:rPr>
      <w:b/>
      <w:bCs/>
    </w:rPr>
  </w:style>
  <w:style w:type="paragraph" w:customStyle="1" w:styleId="ddate">
    <w:name w:val="ddate"/>
    <w:basedOn w:val="Normal"/>
    <w:rsid w:val="000F5A95"/>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0F5A95"/>
    <w:pPr>
      <w:framePr w:hSpace="181" w:wrap="notBeside" w:vAnchor="page" w:hAnchor="margin" w:x="1" w:y="852"/>
      <w:shd w:val="solid" w:color="FFFFFF" w:fill="FFFFFF"/>
      <w:tabs>
        <w:tab w:val="left" w:pos="1871"/>
      </w:tabs>
      <w:spacing w:before="0"/>
    </w:pPr>
    <w:rPr>
      <w:b/>
      <w:bCs/>
    </w:rPr>
  </w:style>
  <w:style w:type="paragraph" w:customStyle="1" w:styleId="RecNo">
    <w:name w:val="Rec_No"/>
    <w:basedOn w:val="Normal"/>
    <w:next w:val="Rectitle"/>
    <w:rsid w:val="000F5A95"/>
    <w:pPr>
      <w:keepNext/>
      <w:keepLines/>
      <w:spacing w:before="720"/>
      <w:jc w:val="center"/>
    </w:pPr>
    <w:rPr>
      <w:caps/>
      <w:sz w:val="28"/>
    </w:rPr>
  </w:style>
  <w:style w:type="paragraph" w:customStyle="1" w:styleId="Rectitle">
    <w:name w:val="Rec_title"/>
    <w:basedOn w:val="Normal"/>
    <w:next w:val="Heading1"/>
    <w:rsid w:val="000F5A95"/>
    <w:pPr>
      <w:keepNext/>
      <w:keepLines/>
      <w:jc w:val="center"/>
    </w:pPr>
    <w:rPr>
      <w:b/>
      <w:sz w:val="28"/>
    </w:rPr>
  </w:style>
  <w:style w:type="paragraph" w:customStyle="1" w:styleId="Recref">
    <w:name w:val="Rec_ref"/>
    <w:basedOn w:val="Rectitle"/>
    <w:next w:val="Recdate"/>
    <w:rsid w:val="000F5A95"/>
    <w:rPr>
      <w:rFonts w:ascii="Times New Roman" w:hAnsi="Times New Roman"/>
      <w:b w:val="0"/>
      <w:sz w:val="24"/>
    </w:rPr>
  </w:style>
  <w:style w:type="paragraph" w:customStyle="1" w:styleId="Recdate">
    <w:name w:val="Rec_date"/>
    <w:basedOn w:val="Recref"/>
    <w:next w:val="Normalaftertitle"/>
    <w:rsid w:val="000F5A95"/>
    <w:pPr>
      <w:jc w:val="right"/>
    </w:pPr>
    <w:rPr>
      <w:sz w:val="22"/>
    </w:rPr>
  </w:style>
  <w:style w:type="paragraph" w:customStyle="1" w:styleId="Questiondate">
    <w:name w:val="Question_date"/>
    <w:basedOn w:val="Recdate"/>
    <w:next w:val="Normalaftertitle"/>
    <w:rsid w:val="000F5A95"/>
  </w:style>
  <w:style w:type="paragraph" w:customStyle="1" w:styleId="QuestionNo">
    <w:name w:val="Question_No"/>
    <w:basedOn w:val="RecNo"/>
    <w:next w:val="Questiontitle"/>
    <w:rsid w:val="000F5A95"/>
  </w:style>
  <w:style w:type="paragraph" w:customStyle="1" w:styleId="Questiontitle">
    <w:name w:val="Question_title"/>
    <w:basedOn w:val="Rectitle"/>
    <w:next w:val="Questionref"/>
    <w:rsid w:val="000F5A95"/>
  </w:style>
  <w:style w:type="paragraph" w:customStyle="1" w:styleId="Questionref">
    <w:name w:val="Question_ref"/>
    <w:basedOn w:val="Recref"/>
    <w:next w:val="Questiondate"/>
    <w:rsid w:val="000F5A95"/>
  </w:style>
  <w:style w:type="paragraph" w:customStyle="1" w:styleId="Reftext">
    <w:name w:val="Ref_text"/>
    <w:basedOn w:val="Normal"/>
    <w:rsid w:val="000F5A95"/>
    <w:pPr>
      <w:ind w:left="567" w:hanging="567"/>
    </w:pPr>
  </w:style>
  <w:style w:type="paragraph" w:customStyle="1" w:styleId="Reftitle">
    <w:name w:val="Ref_title"/>
    <w:basedOn w:val="Normal"/>
    <w:next w:val="Reftext"/>
    <w:rsid w:val="000F5A95"/>
    <w:pPr>
      <w:spacing w:before="480"/>
      <w:jc w:val="center"/>
    </w:pPr>
    <w:rPr>
      <w:caps/>
      <w:sz w:val="28"/>
    </w:rPr>
  </w:style>
  <w:style w:type="paragraph" w:customStyle="1" w:styleId="Repdate">
    <w:name w:val="Rep_date"/>
    <w:basedOn w:val="Recdate"/>
    <w:next w:val="Normalaftertitle"/>
    <w:rsid w:val="000F5A95"/>
  </w:style>
  <w:style w:type="paragraph" w:customStyle="1" w:styleId="RepNo">
    <w:name w:val="Rep_No"/>
    <w:basedOn w:val="RecNo"/>
    <w:next w:val="Reptitle"/>
    <w:rsid w:val="000F5A95"/>
  </w:style>
  <w:style w:type="paragraph" w:customStyle="1" w:styleId="Reptitle">
    <w:name w:val="Rep_title"/>
    <w:basedOn w:val="Rectitle"/>
    <w:next w:val="Repref"/>
    <w:rsid w:val="000F5A95"/>
  </w:style>
  <w:style w:type="paragraph" w:customStyle="1" w:styleId="Repref">
    <w:name w:val="Rep_ref"/>
    <w:basedOn w:val="Recref"/>
    <w:next w:val="Repdate"/>
    <w:rsid w:val="000F5A95"/>
  </w:style>
  <w:style w:type="paragraph" w:customStyle="1" w:styleId="Resdate">
    <w:name w:val="Res_date"/>
    <w:basedOn w:val="Recdate"/>
    <w:next w:val="Normalaftertitle"/>
    <w:rsid w:val="000F5A95"/>
  </w:style>
  <w:style w:type="paragraph" w:customStyle="1" w:styleId="ResNo">
    <w:name w:val="Res_No"/>
    <w:basedOn w:val="AnnexNo"/>
    <w:next w:val="Restitle"/>
    <w:rsid w:val="000F5A95"/>
  </w:style>
  <w:style w:type="paragraph" w:customStyle="1" w:styleId="Restitle">
    <w:name w:val="Res_title"/>
    <w:basedOn w:val="Annextitle"/>
    <w:next w:val="Normal"/>
    <w:rsid w:val="000F5A95"/>
  </w:style>
  <w:style w:type="paragraph" w:customStyle="1" w:styleId="Resref">
    <w:name w:val="Res_ref"/>
    <w:basedOn w:val="Recref"/>
    <w:next w:val="Resdate"/>
    <w:rsid w:val="000F5A95"/>
  </w:style>
  <w:style w:type="paragraph" w:customStyle="1" w:styleId="SectionNo">
    <w:name w:val="Section_No"/>
    <w:basedOn w:val="AnnexNo"/>
    <w:next w:val="Sectiontitle"/>
    <w:rsid w:val="000F5A95"/>
  </w:style>
  <w:style w:type="paragraph" w:customStyle="1" w:styleId="Sectiontitle">
    <w:name w:val="Section_title"/>
    <w:basedOn w:val="Normal"/>
    <w:next w:val="Normalaftertitle"/>
    <w:rsid w:val="000F5A95"/>
    <w:rPr>
      <w:sz w:val="28"/>
    </w:rPr>
  </w:style>
  <w:style w:type="paragraph" w:customStyle="1" w:styleId="SpecialFooter">
    <w:name w:val="Special Footer"/>
    <w:basedOn w:val="Footer"/>
    <w:rsid w:val="000F5A95"/>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0F5A95"/>
    <w:pPr>
      <w:keepNext/>
      <w:keepLines/>
      <w:spacing w:before="80" w:after="80"/>
      <w:jc w:val="center"/>
    </w:pPr>
    <w:rPr>
      <w:b/>
    </w:rPr>
  </w:style>
  <w:style w:type="paragraph" w:customStyle="1" w:styleId="Tablelegend">
    <w:name w:val="Table_legend"/>
    <w:basedOn w:val="Tabletext"/>
    <w:rsid w:val="000F5A95"/>
    <w:pPr>
      <w:ind w:left="284" w:hanging="284"/>
    </w:pPr>
    <w:rPr>
      <w:sz w:val="20"/>
    </w:rPr>
  </w:style>
  <w:style w:type="paragraph" w:customStyle="1" w:styleId="Tableref">
    <w:name w:val="Table_ref"/>
    <w:basedOn w:val="Normal"/>
    <w:next w:val="Tabletitle"/>
    <w:rsid w:val="000F5A95"/>
    <w:pPr>
      <w:keepNext/>
      <w:keepLines/>
      <w:jc w:val="center"/>
    </w:pPr>
    <w:rPr>
      <w:sz w:val="20"/>
    </w:rPr>
  </w:style>
  <w:style w:type="paragraph" w:customStyle="1" w:styleId="Reasons">
    <w:name w:val="Reasons"/>
    <w:basedOn w:val="Normal"/>
    <w:qFormat/>
    <w:rsid w:val="000F5A95"/>
  </w:style>
  <w:style w:type="paragraph" w:customStyle="1" w:styleId="FigureNo">
    <w:name w:val="Figure_No"/>
    <w:basedOn w:val="Normal"/>
    <w:next w:val="Figuretitle"/>
    <w:rsid w:val="000F5A95"/>
    <w:pPr>
      <w:keepNext/>
      <w:keepLines/>
      <w:spacing w:before="480" w:after="120"/>
      <w:jc w:val="center"/>
    </w:pPr>
    <w:rPr>
      <w:caps/>
    </w:rPr>
  </w:style>
  <w:style w:type="paragraph" w:customStyle="1" w:styleId="Table">
    <w:name w:val="Table_#"/>
    <w:basedOn w:val="Normal"/>
    <w:next w:val="Normal"/>
    <w:rsid w:val="00093EEB"/>
    <w:pPr>
      <w:keepNext/>
      <w:overflowPunct/>
      <w:autoSpaceDE/>
      <w:autoSpaceDN/>
      <w:adjustRightInd/>
      <w:spacing w:before="560" w:after="120"/>
      <w:jc w:val="center"/>
      <w:textAlignment w:val="auto"/>
    </w:pPr>
    <w:rPr>
      <w:caps/>
      <w:lang w:val="en-GB"/>
    </w:rPr>
  </w:style>
  <w:style w:type="paragraph" w:customStyle="1" w:styleId="Subtitle">
    <w:name w:val="Sub_title"/>
    <w:basedOn w:val="Normal"/>
    <w:qFormat/>
    <w:rsid w:val="000F5A95"/>
    <w:pPr>
      <w:framePr w:hSpace="180" w:wrap="around" w:hAnchor="page" w:x="1821" w:y="2317"/>
      <w:spacing w:after="160"/>
    </w:pPr>
    <w:rPr>
      <w:sz w:val="34"/>
      <w:lang w:val="en-GB"/>
    </w:rPr>
  </w:style>
  <w:style w:type="character" w:customStyle="1" w:styleId="HeaderChar">
    <w:name w:val="Header Char"/>
    <w:basedOn w:val="DefaultParagraphFont"/>
    <w:link w:val="Header"/>
    <w:uiPriority w:val="99"/>
    <w:rsid w:val="000F5A95"/>
    <w:rPr>
      <w:rFonts w:ascii="Calibri" w:hAnsi="Calibri"/>
      <w:sz w:val="18"/>
      <w:lang w:val="fr-FR" w:eastAsia="en-US"/>
    </w:rPr>
  </w:style>
  <w:style w:type="table" w:styleId="TableGrid">
    <w:name w:val="Table Grid"/>
    <w:basedOn w:val="TableNormal"/>
    <w:uiPriority w:val="39"/>
    <w:rsid w:val="000F5A95"/>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F5A95"/>
    <w:rPr>
      <w:color w:val="666666"/>
    </w:rPr>
  </w:style>
  <w:style w:type="character" w:styleId="UnresolvedMention">
    <w:name w:val="Unresolved Mention"/>
    <w:basedOn w:val="DefaultParagraphFont"/>
    <w:uiPriority w:val="99"/>
    <w:semiHidden/>
    <w:unhideWhenUsed/>
    <w:rsid w:val="002946E2"/>
    <w:rPr>
      <w:color w:val="605E5C"/>
      <w:shd w:val="clear" w:color="auto" w:fill="E1DFDD"/>
    </w:rPr>
  </w:style>
  <w:style w:type="paragraph" w:customStyle="1" w:styleId="firstfooter0">
    <w:name w:val="firstfooter"/>
    <w:basedOn w:val="Normal"/>
    <w:rsid w:val="000F5A9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Object">
    <w:name w:val="Object"/>
    <w:basedOn w:val="Subject"/>
    <w:next w:val="Subject"/>
    <w:rsid w:val="000F5A95"/>
  </w:style>
  <w:style w:type="paragraph" w:customStyle="1" w:styleId="Referencetext">
    <w:name w:val="Reference_text"/>
    <w:basedOn w:val="Normal"/>
    <w:rsid w:val="000F5A95"/>
    <w:pPr>
      <w:framePr w:hSpace="181" w:wrap="around" w:vAnchor="page" w:hAnchor="page" w:x="1589" w:y="2314"/>
      <w:spacing w:after="160"/>
    </w:pPr>
    <w:rPr>
      <w:i/>
      <w:iCs/>
      <w:sz w:val="22"/>
      <w:szCs w:val="22"/>
    </w:rPr>
  </w:style>
  <w:style w:type="character" w:styleId="CommentReference">
    <w:name w:val="annotation reference"/>
    <w:basedOn w:val="DefaultParagraphFont"/>
    <w:semiHidden/>
    <w:unhideWhenUsed/>
    <w:rsid w:val="00517E9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wrc-27/"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ww.itu.int/md/S25-SG-CIR-0045/es" TargetMode="External"/><Relationship Id="rId12" Type="http://schemas.openxmlformats.org/officeDocument/2006/relationships/hyperlink" Target="https://www.itu.int/md/S25-CL-C-0113/es"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itu.int/md/S24-CL-C-0125/es" TargetMode="External"/><Relationship Id="rId11" Type="http://schemas.openxmlformats.org/officeDocument/2006/relationships/hyperlink" Target="https://www.itu.int/en/about/Pages/data-protection.aspx"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https://www.itu.int/iris-wrc-27/" TargetMode="External"/><Relationship Id="rId4" Type="http://schemas.openxmlformats.org/officeDocument/2006/relationships/footnotes" Target="footnotes.xml"/><Relationship Id="rId9" Type="http://schemas.openxmlformats.org/officeDocument/2006/relationships/hyperlink" Target="https://www.itu.int/ra-27/"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yala\AppData\Roaming\Microsoft\Templates\POOL%20S%20-%20ITU\GS\PS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PS_Council26.dotx</Template>
  <TotalTime>3</TotalTime>
  <Pages>3</Pages>
  <Words>991</Words>
  <Characters>5732</Characters>
  <Application>Microsoft Office Word</Application>
  <DocSecurity>0</DocSecurity>
  <Lines>108</Lines>
  <Paragraphs>45</Paragraphs>
  <ScaleCrop>false</ScaleCrop>
  <HeadingPairs>
    <vt:vector size="4" baseType="variant">
      <vt:variant>
        <vt:lpstr>Title</vt:lpstr>
      </vt:variant>
      <vt:variant>
        <vt:i4>1</vt:i4>
      </vt:variant>
      <vt:variant>
        <vt:lpstr>UNIÓN INTERNACIONAL DE TELECOMUNICACIONES	</vt:lpstr>
      </vt:variant>
      <vt:variant>
        <vt:i4>0</vt:i4>
      </vt:variant>
    </vt:vector>
  </HeadingPairs>
  <TitlesOfParts>
    <vt:vector size="1" baseType="lpstr">
      <vt:lpstr>Preparativos para la Asamblea de Radiocomunicaciones de 2027 (AR-27) y la Conferencia Mundial de Radiocomunicaciones de 2027 (CMR-27)</vt:lpstr>
    </vt:vector>
  </TitlesOfParts>
  <Manager>Secretaría General - Pool</Manager>
  <Company>International Telecommunication Union</Company>
  <LinksUpToDate>false</LinksUpToDate>
  <CharactersWithSpaces>6678</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Preparativos para la Asamblea de Radiocomunicaciones de 2027 (AR-27) y la Conferencia Mundial de Radiocomunicaciones de 2027 (CMR-27)</dc:title>
  <dc:subject>Consejo 2026 de la UIT</dc:subject>
  <cp:keywords>C26; C2026; Council 2026; PP26</cp:keywords>
  <dc:description/>
  <cp:lastPrinted>2006-03-24T09:51:00Z</cp:lastPrinted>
  <dcterms:created xsi:type="dcterms:W3CDTF">2026-04-07T11:31:00Z</dcterms:created>
  <dcterms:modified xsi:type="dcterms:W3CDTF">2026-04-07T11:34:00Z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Documento C17/-S</vt:lpwstr>
  </property>
  <property fmtid="{D5CDD505-2E9C-101B-9397-08002B2CF9AE}" pid="3" name="Docdate">
    <vt:lpwstr>enero de 2017</vt:lpwstr>
  </property>
  <property fmtid="{D5CDD505-2E9C-101B-9397-08002B2CF9AE}" pid="4" name="Docorlang">
    <vt:lpwstr>Original: inglés</vt:lpwstr>
  </property>
  <property fmtid="{D5CDD505-2E9C-101B-9397-08002B2CF9AE}" pid="5" name="Docbluepink">
    <vt:lpwstr>Consejo 2017 Ginebra, 15-25 de mayo de 2017</vt:lpwstr>
  </property>
  <property fmtid="{D5CDD505-2E9C-101B-9397-08002B2CF9AE}" pid="6" name="Docdest">
    <vt:lpwstr/>
  </property>
  <property fmtid="{D5CDD505-2E9C-101B-9397-08002B2CF9AE}" pid="7" name="Docauthor">
    <vt:lpwstr/>
  </property>
  <property fmtid="{D5CDD505-2E9C-101B-9397-08002B2CF9AE}" pid="8" name="GrammarlyDocumentId">
    <vt:lpwstr>5c03a5c9b91678b956e25536f0296632c716f66cf9a10e87f22af88ff3e788b1</vt:lpwstr>
  </property>
</Properties>
</file>