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2D3EEC" w14:paraId="62659784" w14:textId="77777777" w:rsidTr="00796BDB">
        <w:trPr>
          <w:cantSplit/>
          <w:trHeight w:val="23"/>
        </w:trPr>
        <w:tc>
          <w:tcPr>
            <w:tcW w:w="3969" w:type="dxa"/>
            <w:vMerge w:val="restart"/>
            <w:tcMar>
              <w:left w:w="0" w:type="dxa"/>
            </w:tcMar>
          </w:tcPr>
          <w:p w14:paraId="3520164D" w14:textId="315F330A" w:rsidR="00D72F49" w:rsidRPr="002D3EEC" w:rsidRDefault="00D72F49" w:rsidP="00796BDB">
            <w:pPr>
              <w:tabs>
                <w:tab w:val="left" w:pos="851"/>
              </w:tabs>
              <w:spacing w:before="0" w:line="240" w:lineRule="atLeast"/>
              <w:rPr>
                <w:b/>
              </w:rPr>
            </w:pPr>
            <w:r w:rsidRPr="002D3EEC">
              <w:rPr>
                <w:b/>
              </w:rPr>
              <w:t xml:space="preserve">Point de l'ordre du </w:t>
            </w:r>
            <w:proofErr w:type="gramStart"/>
            <w:r w:rsidRPr="002D3EEC">
              <w:rPr>
                <w:b/>
              </w:rPr>
              <w:t>jour:</w:t>
            </w:r>
            <w:proofErr w:type="gramEnd"/>
            <w:r w:rsidR="00B97C62" w:rsidRPr="002D3EEC">
              <w:rPr>
                <w:b/>
              </w:rPr>
              <w:t xml:space="preserve"> </w:t>
            </w:r>
            <w:proofErr w:type="spellStart"/>
            <w:r w:rsidR="00B97C62" w:rsidRPr="002D3EEC">
              <w:rPr>
                <w:b/>
                <w:bCs/>
                <w:color w:val="000000"/>
              </w:rPr>
              <w:t>PL</w:t>
            </w:r>
            <w:r w:rsidR="00970FF0">
              <w:rPr>
                <w:b/>
                <w:bCs/>
                <w:color w:val="000000"/>
              </w:rPr>
              <w:t>-</w:t>
            </w:r>
            <w:r w:rsidR="00B97C62" w:rsidRPr="002D3EEC">
              <w:rPr>
                <w:b/>
                <w:bCs/>
                <w:color w:val="000000"/>
              </w:rPr>
              <w:t>3</w:t>
            </w:r>
            <w:proofErr w:type="spellEnd"/>
          </w:p>
        </w:tc>
        <w:tc>
          <w:tcPr>
            <w:tcW w:w="5245" w:type="dxa"/>
          </w:tcPr>
          <w:p w14:paraId="2B046363" w14:textId="3F2D8530" w:rsidR="00D72F49" w:rsidRPr="002D3EEC" w:rsidRDefault="00D72F49" w:rsidP="00796BDB">
            <w:pPr>
              <w:tabs>
                <w:tab w:val="left" w:pos="851"/>
              </w:tabs>
              <w:spacing w:before="0" w:line="240" w:lineRule="atLeast"/>
              <w:jc w:val="right"/>
              <w:rPr>
                <w:b/>
              </w:rPr>
            </w:pPr>
            <w:r w:rsidRPr="002D3EEC">
              <w:rPr>
                <w:b/>
              </w:rPr>
              <w:t>Document C2</w:t>
            </w:r>
            <w:r w:rsidR="00E4448E" w:rsidRPr="002D3EEC">
              <w:rPr>
                <w:b/>
              </w:rPr>
              <w:t>6</w:t>
            </w:r>
            <w:r w:rsidRPr="002D3EEC">
              <w:rPr>
                <w:b/>
              </w:rPr>
              <w:t>/</w:t>
            </w:r>
            <w:r w:rsidR="00B97C62" w:rsidRPr="002D3EEC">
              <w:rPr>
                <w:b/>
              </w:rPr>
              <w:t>6</w:t>
            </w:r>
            <w:r w:rsidRPr="002D3EEC">
              <w:rPr>
                <w:b/>
              </w:rPr>
              <w:t>-F</w:t>
            </w:r>
          </w:p>
        </w:tc>
      </w:tr>
      <w:tr w:rsidR="00D72F49" w:rsidRPr="002D3EEC" w14:paraId="2F748456" w14:textId="77777777" w:rsidTr="00796BDB">
        <w:trPr>
          <w:cantSplit/>
        </w:trPr>
        <w:tc>
          <w:tcPr>
            <w:tcW w:w="3969" w:type="dxa"/>
            <w:vMerge/>
          </w:tcPr>
          <w:p w14:paraId="6E7298E3" w14:textId="77777777" w:rsidR="00D72F49" w:rsidRPr="002D3EEC" w:rsidRDefault="00D72F49" w:rsidP="00796BDB">
            <w:pPr>
              <w:tabs>
                <w:tab w:val="left" w:pos="851"/>
              </w:tabs>
              <w:spacing w:line="240" w:lineRule="atLeast"/>
              <w:rPr>
                <w:b/>
              </w:rPr>
            </w:pPr>
          </w:p>
        </w:tc>
        <w:tc>
          <w:tcPr>
            <w:tcW w:w="5245" w:type="dxa"/>
          </w:tcPr>
          <w:p w14:paraId="3D6038EC" w14:textId="5339D40E" w:rsidR="00D72F49" w:rsidRPr="002D3EEC" w:rsidRDefault="00B97C62" w:rsidP="00796BDB">
            <w:pPr>
              <w:tabs>
                <w:tab w:val="left" w:pos="851"/>
              </w:tabs>
              <w:spacing w:before="0"/>
              <w:jc w:val="right"/>
              <w:rPr>
                <w:b/>
              </w:rPr>
            </w:pPr>
            <w:r w:rsidRPr="002D3EEC">
              <w:rPr>
                <w:b/>
                <w:bCs/>
                <w:color w:val="000000"/>
              </w:rPr>
              <w:t>27 mars 2026</w:t>
            </w:r>
          </w:p>
        </w:tc>
      </w:tr>
      <w:tr w:rsidR="00D72F49" w:rsidRPr="002D3EEC" w14:paraId="1F10E30F" w14:textId="77777777" w:rsidTr="00796BDB">
        <w:trPr>
          <w:cantSplit/>
          <w:trHeight w:val="23"/>
        </w:trPr>
        <w:tc>
          <w:tcPr>
            <w:tcW w:w="3969" w:type="dxa"/>
            <w:vMerge/>
          </w:tcPr>
          <w:p w14:paraId="24059F7A" w14:textId="77777777" w:rsidR="00D72F49" w:rsidRPr="002D3EEC" w:rsidRDefault="00D72F49" w:rsidP="00796BDB">
            <w:pPr>
              <w:tabs>
                <w:tab w:val="left" w:pos="851"/>
              </w:tabs>
              <w:spacing w:line="240" w:lineRule="atLeast"/>
              <w:rPr>
                <w:b/>
              </w:rPr>
            </w:pPr>
          </w:p>
        </w:tc>
        <w:tc>
          <w:tcPr>
            <w:tcW w:w="5245" w:type="dxa"/>
          </w:tcPr>
          <w:p w14:paraId="06C3C2B2" w14:textId="77777777" w:rsidR="00D72F49" w:rsidRPr="002D3EEC" w:rsidRDefault="00D72F49" w:rsidP="00796BDB">
            <w:pPr>
              <w:tabs>
                <w:tab w:val="left" w:pos="851"/>
              </w:tabs>
              <w:spacing w:before="0" w:line="240" w:lineRule="atLeast"/>
              <w:jc w:val="right"/>
              <w:rPr>
                <w:b/>
              </w:rPr>
            </w:pPr>
            <w:r w:rsidRPr="002D3EEC">
              <w:rPr>
                <w:b/>
              </w:rPr>
              <w:t>Original: anglais</w:t>
            </w:r>
          </w:p>
        </w:tc>
      </w:tr>
      <w:tr w:rsidR="00D72F49" w:rsidRPr="002D3EEC" w14:paraId="2012E66F" w14:textId="77777777" w:rsidTr="00796BDB">
        <w:trPr>
          <w:cantSplit/>
          <w:trHeight w:val="23"/>
        </w:trPr>
        <w:tc>
          <w:tcPr>
            <w:tcW w:w="3969" w:type="dxa"/>
          </w:tcPr>
          <w:p w14:paraId="65E3795C" w14:textId="77777777" w:rsidR="00D72F49" w:rsidRPr="002D3EEC" w:rsidRDefault="00D72F49" w:rsidP="00796BDB">
            <w:pPr>
              <w:tabs>
                <w:tab w:val="left" w:pos="851"/>
              </w:tabs>
              <w:spacing w:line="240" w:lineRule="atLeast"/>
              <w:rPr>
                <w:b/>
              </w:rPr>
            </w:pPr>
          </w:p>
        </w:tc>
        <w:tc>
          <w:tcPr>
            <w:tcW w:w="5245" w:type="dxa"/>
          </w:tcPr>
          <w:p w14:paraId="62B3A020" w14:textId="77777777" w:rsidR="00D72F49" w:rsidRPr="002D3EEC" w:rsidRDefault="00D72F49" w:rsidP="00796BDB">
            <w:pPr>
              <w:tabs>
                <w:tab w:val="left" w:pos="851"/>
              </w:tabs>
              <w:spacing w:before="0" w:line="240" w:lineRule="atLeast"/>
              <w:jc w:val="right"/>
              <w:rPr>
                <w:b/>
              </w:rPr>
            </w:pPr>
          </w:p>
        </w:tc>
      </w:tr>
      <w:tr w:rsidR="00D72F49" w:rsidRPr="002D3EEC" w14:paraId="10297234" w14:textId="77777777" w:rsidTr="00796BDB">
        <w:trPr>
          <w:cantSplit/>
        </w:trPr>
        <w:tc>
          <w:tcPr>
            <w:tcW w:w="9214" w:type="dxa"/>
            <w:gridSpan w:val="2"/>
            <w:tcMar>
              <w:left w:w="0" w:type="dxa"/>
            </w:tcMar>
          </w:tcPr>
          <w:p w14:paraId="101EFF01" w14:textId="77777777" w:rsidR="00D72F49" w:rsidRPr="00970FF0" w:rsidRDefault="00D72F49" w:rsidP="00970FF0">
            <w:pPr>
              <w:pStyle w:val="Source"/>
              <w:framePr w:hSpace="0" w:wrap="auto" w:vAnchor="margin" w:hAnchor="text" w:xAlign="left" w:yAlign="inline"/>
            </w:pPr>
            <w:r w:rsidRPr="00970FF0">
              <w:t xml:space="preserve">Rapport </w:t>
            </w:r>
            <w:r w:rsidR="00E95647" w:rsidRPr="00970FF0">
              <w:t xml:space="preserve">de la </w:t>
            </w:r>
            <w:r w:rsidRPr="00970FF0">
              <w:t>Secrétaire général</w:t>
            </w:r>
            <w:r w:rsidR="00E95647" w:rsidRPr="00970FF0">
              <w:t>e</w:t>
            </w:r>
          </w:p>
        </w:tc>
      </w:tr>
      <w:tr w:rsidR="00D72F49" w:rsidRPr="002D3EEC" w14:paraId="53EC9035" w14:textId="77777777" w:rsidTr="00796BDB">
        <w:trPr>
          <w:cantSplit/>
        </w:trPr>
        <w:tc>
          <w:tcPr>
            <w:tcW w:w="9214" w:type="dxa"/>
            <w:gridSpan w:val="2"/>
            <w:tcMar>
              <w:left w:w="0" w:type="dxa"/>
            </w:tcMar>
          </w:tcPr>
          <w:p w14:paraId="210EE825" w14:textId="61042560" w:rsidR="00D72F49" w:rsidRPr="002D3EEC" w:rsidRDefault="00970FF0" w:rsidP="00796BDB">
            <w:pPr>
              <w:pStyle w:val="Subtitle"/>
              <w:framePr w:hSpace="0" w:wrap="auto" w:hAnchor="text" w:xAlign="left" w:yAlign="inline"/>
              <w:rPr>
                <w:sz w:val="32"/>
                <w:szCs w:val="32"/>
                <w:lang w:val="fr-FR"/>
              </w:rPr>
            </w:pPr>
            <w:r w:rsidRPr="002D3EEC">
              <w:rPr>
                <w:rFonts w:cstheme="minorHAnsi"/>
                <w:sz w:val="32"/>
                <w:szCs w:val="32"/>
                <w:lang w:val="fr-FR"/>
              </w:rPr>
              <w:t>TRAVAUX PRÉPARATOIRES EN VUE DE L'ASSEMBLÉE DES RADIOCOMMUNICATIONS DE 2027 (</w:t>
            </w:r>
            <w:proofErr w:type="spellStart"/>
            <w:r w:rsidRPr="002D3EEC">
              <w:rPr>
                <w:rFonts w:cstheme="minorHAnsi"/>
                <w:sz w:val="32"/>
                <w:szCs w:val="32"/>
                <w:lang w:val="fr-FR"/>
              </w:rPr>
              <w:t>AR-27</w:t>
            </w:r>
            <w:proofErr w:type="spellEnd"/>
            <w:r w:rsidRPr="002D3EEC">
              <w:rPr>
                <w:rFonts w:cstheme="minorHAnsi"/>
                <w:sz w:val="32"/>
                <w:szCs w:val="32"/>
                <w:lang w:val="fr-FR"/>
              </w:rPr>
              <w:t>) ET DE LA CONFÉRENCE MONDIALE DES RADIOCOMMUNICATIONS DE 2027 (CMR-27)</w:t>
            </w:r>
          </w:p>
        </w:tc>
      </w:tr>
      <w:tr w:rsidR="00D72F49" w:rsidRPr="002D3EEC" w14:paraId="57431B0C" w14:textId="77777777" w:rsidTr="00796BDB">
        <w:trPr>
          <w:cantSplit/>
        </w:trPr>
        <w:tc>
          <w:tcPr>
            <w:tcW w:w="9214" w:type="dxa"/>
            <w:gridSpan w:val="2"/>
            <w:tcBorders>
              <w:top w:val="single" w:sz="4" w:space="0" w:color="auto"/>
              <w:bottom w:val="single" w:sz="4" w:space="0" w:color="auto"/>
            </w:tcBorders>
            <w:tcMar>
              <w:left w:w="0" w:type="dxa"/>
            </w:tcMar>
          </w:tcPr>
          <w:p w14:paraId="35652702" w14:textId="77777777" w:rsidR="00D72F49" w:rsidRPr="002D3EEC" w:rsidRDefault="00F37FE5" w:rsidP="00796BDB">
            <w:pPr>
              <w:spacing w:before="160"/>
              <w:rPr>
                <w:b/>
                <w:bCs/>
                <w:sz w:val="26"/>
                <w:szCs w:val="26"/>
              </w:rPr>
            </w:pPr>
            <w:r w:rsidRPr="002D3EEC">
              <w:rPr>
                <w:b/>
                <w:bCs/>
                <w:sz w:val="26"/>
                <w:szCs w:val="26"/>
              </w:rPr>
              <w:t>Objet</w:t>
            </w:r>
          </w:p>
          <w:p w14:paraId="049644D5" w14:textId="29176D34" w:rsidR="00D72F49" w:rsidRPr="002D3EEC" w:rsidRDefault="00B97C62" w:rsidP="003E5E2F">
            <w:pPr>
              <w:jc w:val="both"/>
            </w:pPr>
            <w:r w:rsidRPr="002D3EEC">
              <w:t>Le présent document rend compte des travaux préparatoires en cours en vue de l'Assemblée des radiocommunications de 2027 (AR-27), de la Conférence mondiale des radiocommunications de 2027 (CMR-27) et de la première session de la Réunion de préparation à la Conférence en vue de la CMR-31 (RPC31-1).</w:t>
            </w:r>
          </w:p>
          <w:p w14:paraId="13DB4F56" w14:textId="77777777" w:rsidR="00D72F49" w:rsidRPr="002D3EEC" w:rsidRDefault="00D72F49" w:rsidP="00796BDB">
            <w:pPr>
              <w:spacing w:before="160"/>
              <w:rPr>
                <w:b/>
                <w:bCs/>
                <w:sz w:val="26"/>
                <w:szCs w:val="26"/>
              </w:rPr>
            </w:pPr>
            <w:r w:rsidRPr="002D3EEC">
              <w:rPr>
                <w:b/>
                <w:bCs/>
                <w:sz w:val="26"/>
                <w:szCs w:val="26"/>
              </w:rPr>
              <w:t>Suite à donner par le Conseil</w:t>
            </w:r>
          </w:p>
          <w:p w14:paraId="5F7F534F" w14:textId="52084918" w:rsidR="00D72F49" w:rsidRPr="002D3EEC" w:rsidRDefault="00B97C62" w:rsidP="003E5E2F">
            <w:pPr>
              <w:jc w:val="both"/>
            </w:pPr>
            <w:r w:rsidRPr="002D3EEC">
              <w:t xml:space="preserve">Le Conseil de l'UIT est invité à </w:t>
            </w:r>
            <w:r w:rsidRPr="002D3EEC">
              <w:rPr>
                <w:b/>
                <w:bCs/>
              </w:rPr>
              <w:t>prendre note</w:t>
            </w:r>
            <w:r w:rsidRPr="002D3EEC">
              <w:t xml:space="preserve"> de l'état d'avancement des travaux préparatoires en vue de l'AR-27, de la CMR-27 et de la RPC31-1.</w:t>
            </w:r>
          </w:p>
          <w:p w14:paraId="32ABD8F7" w14:textId="54EFE02F" w:rsidR="00D72F49" w:rsidRPr="002D3EEC" w:rsidRDefault="00D72F49" w:rsidP="00796BDB">
            <w:pPr>
              <w:spacing w:before="160"/>
              <w:rPr>
                <w:b/>
                <w:bCs/>
                <w:sz w:val="26"/>
                <w:szCs w:val="26"/>
              </w:rPr>
            </w:pPr>
            <w:r w:rsidRPr="002D3EEC">
              <w:rPr>
                <w:b/>
                <w:bCs/>
                <w:sz w:val="26"/>
                <w:szCs w:val="26"/>
              </w:rPr>
              <w:t xml:space="preserve">Liens pertinents avec le </w:t>
            </w:r>
            <w:r w:rsidR="00F37FE5" w:rsidRPr="002D3EEC">
              <w:rPr>
                <w:b/>
                <w:bCs/>
                <w:sz w:val="26"/>
                <w:szCs w:val="26"/>
              </w:rPr>
              <w:t>p</w:t>
            </w:r>
            <w:r w:rsidRPr="002D3EEC">
              <w:rPr>
                <w:b/>
                <w:bCs/>
                <w:sz w:val="26"/>
                <w:szCs w:val="26"/>
              </w:rPr>
              <w:t>lan stratégique</w:t>
            </w:r>
          </w:p>
          <w:p w14:paraId="05AF385A" w14:textId="20F15AF8" w:rsidR="00D72F49" w:rsidRPr="002D3EEC" w:rsidRDefault="00B97C62" w:rsidP="003E5E2F">
            <w:pPr>
              <w:jc w:val="both"/>
            </w:pPr>
            <w:r w:rsidRPr="002D3EEC">
              <w:t>Utilisation du spectre pour les services spatiaux et les services de Terre; élaboration et application des règlements administratifs de l'UIT; attribution et gestion des ressources.</w:t>
            </w:r>
          </w:p>
          <w:p w14:paraId="2E118626" w14:textId="77777777" w:rsidR="00E95647" w:rsidRPr="002D3EEC" w:rsidRDefault="00D72F49" w:rsidP="00796BDB">
            <w:pPr>
              <w:spacing w:before="160"/>
              <w:rPr>
                <w:b/>
                <w:bCs/>
                <w:sz w:val="26"/>
                <w:szCs w:val="26"/>
              </w:rPr>
            </w:pPr>
            <w:r w:rsidRPr="002D3EEC">
              <w:rPr>
                <w:b/>
                <w:bCs/>
                <w:sz w:val="26"/>
                <w:szCs w:val="26"/>
              </w:rPr>
              <w:t>Incidences financières</w:t>
            </w:r>
          </w:p>
          <w:p w14:paraId="71543525" w14:textId="73BF1982" w:rsidR="00D72F49" w:rsidRPr="002D3EEC" w:rsidRDefault="00B97C62" w:rsidP="00796BDB">
            <w:pPr>
              <w:rPr>
                <w:szCs w:val="24"/>
              </w:rPr>
            </w:pPr>
            <w:r w:rsidRPr="002D3EEC">
              <w:rPr>
                <w:szCs w:val="24"/>
              </w:rPr>
              <w:t>Dans les limites du budget alloué pour 2026-2027.</w:t>
            </w:r>
          </w:p>
          <w:p w14:paraId="4687C85F" w14:textId="77777777" w:rsidR="00D72F49" w:rsidRPr="002D3EEC" w:rsidRDefault="00D72F49" w:rsidP="00796BDB">
            <w:pPr>
              <w:spacing w:before="160"/>
              <w:rPr>
                <w:caps/>
                <w:sz w:val="22"/>
              </w:rPr>
            </w:pPr>
            <w:r w:rsidRPr="002D3EEC">
              <w:rPr>
                <w:sz w:val="22"/>
              </w:rPr>
              <w:t>__________________</w:t>
            </w:r>
          </w:p>
          <w:p w14:paraId="621ECF22" w14:textId="77777777" w:rsidR="00D72F49" w:rsidRPr="002D3EEC" w:rsidRDefault="00D72F49" w:rsidP="00796BDB">
            <w:pPr>
              <w:spacing w:before="160"/>
              <w:rPr>
                <w:b/>
                <w:bCs/>
                <w:sz w:val="26"/>
                <w:szCs w:val="26"/>
              </w:rPr>
            </w:pPr>
            <w:r w:rsidRPr="002D3EEC">
              <w:rPr>
                <w:b/>
                <w:bCs/>
                <w:sz w:val="26"/>
                <w:szCs w:val="26"/>
              </w:rPr>
              <w:t>Références</w:t>
            </w:r>
          </w:p>
          <w:p w14:paraId="52FD3766" w14:textId="68FFD5BA" w:rsidR="00D72F49" w:rsidRPr="003E5E2F" w:rsidRDefault="00B97C62" w:rsidP="00CE5172">
            <w:pPr>
              <w:pStyle w:val="Referencetext"/>
              <w:framePr w:hSpace="0" w:wrap="auto" w:vAnchor="margin" w:hAnchor="text" w:xAlign="left" w:yAlign="inline"/>
            </w:pPr>
            <w:r w:rsidRPr="003E5E2F">
              <w:t xml:space="preserve">Résolution </w:t>
            </w:r>
            <w:hyperlink r:id="rId7" w:history="1">
              <w:r w:rsidRPr="003E5E2F">
                <w:rPr>
                  <w:rStyle w:val="Hyperlink"/>
                  <w:rFonts w:eastAsia="Times New Roman" w:cs="Times New Roman"/>
                </w:rPr>
                <w:t>1422</w:t>
              </w:r>
            </w:hyperlink>
            <w:r w:rsidRPr="003E5E2F">
              <w:t xml:space="preserve"> (</w:t>
            </w:r>
            <w:proofErr w:type="spellStart"/>
            <w:r w:rsidRPr="003E5E2F">
              <w:t>C24</w:t>
            </w:r>
            <w:proofErr w:type="spellEnd"/>
            <w:r w:rsidRPr="003E5E2F">
              <w:t xml:space="preserve">) du Conseil; Lettre circulaire </w:t>
            </w:r>
            <w:hyperlink r:id="rId8" w:history="1">
              <w:proofErr w:type="spellStart"/>
              <w:r w:rsidRPr="003E5E2F">
                <w:rPr>
                  <w:rStyle w:val="Hyperlink"/>
                  <w:rFonts w:eastAsia="Times New Roman" w:cs="Times New Roman"/>
                </w:rPr>
                <w:t>CL-25</w:t>
              </w:r>
              <w:proofErr w:type="spellEnd"/>
              <w:r w:rsidRPr="003E5E2F">
                <w:rPr>
                  <w:rStyle w:val="Hyperlink"/>
                  <w:rFonts w:eastAsia="Times New Roman" w:cs="Times New Roman"/>
                </w:rPr>
                <w:t>/45</w:t>
              </w:r>
            </w:hyperlink>
            <w:r w:rsidRPr="003E5E2F">
              <w:t xml:space="preserve">; </w:t>
            </w:r>
            <w:hyperlink r:id="rId9" w:anchor="/fr" w:history="1">
              <w:r w:rsidRPr="003E5E2F">
                <w:rPr>
                  <w:rStyle w:val="Hyperlink"/>
                  <w:rFonts w:eastAsia="Times New Roman" w:cs="Times New Roman"/>
                </w:rPr>
                <w:t>site web de la CMR-27</w:t>
              </w:r>
            </w:hyperlink>
            <w:r w:rsidRPr="003E5E2F">
              <w:t xml:space="preserve">; </w:t>
            </w:r>
            <w:r w:rsidR="003E5E2F">
              <w:br/>
            </w:r>
            <w:hyperlink r:id="rId10" w:anchor="/fr" w:history="1">
              <w:r w:rsidRPr="003E5E2F">
                <w:rPr>
                  <w:rStyle w:val="Hyperlink"/>
                  <w:rFonts w:eastAsia="Times New Roman" w:cs="Times New Roman"/>
                </w:rPr>
                <w:t>site web de l'</w:t>
              </w:r>
              <w:proofErr w:type="spellStart"/>
              <w:r w:rsidRPr="003E5E2F">
                <w:rPr>
                  <w:rStyle w:val="Hyperlink"/>
                  <w:rFonts w:eastAsia="Times New Roman" w:cs="Times New Roman"/>
                </w:rPr>
                <w:t>AR-27</w:t>
              </w:r>
              <w:proofErr w:type="spellEnd"/>
            </w:hyperlink>
            <w:r w:rsidRPr="003E5E2F">
              <w:t xml:space="preserve">; </w:t>
            </w:r>
            <w:hyperlink r:id="rId11" w:anchor="/fr" w:history="1">
              <w:r w:rsidRPr="003E5E2F">
                <w:rPr>
                  <w:rStyle w:val="Hyperlink"/>
                  <w:rFonts w:eastAsia="Times New Roman" w:cs="Times New Roman"/>
                </w:rPr>
                <w:t>site web des séances d'information interrégionales sur les travaux préparatoires en vue de la CMR-27</w:t>
              </w:r>
            </w:hyperlink>
            <w:r w:rsidRPr="003E5E2F">
              <w:t xml:space="preserve">; </w:t>
            </w:r>
            <w:hyperlink r:id="rId12" w:anchor="/fr" w:history="1">
              <w:r w:rsidR="007C09BC" w:rsidRPr="003E5E2F">
                <w:rPr>
                  <w:rStyle w:val="Hyperlink"/>
                  <w:rFonts w:eastAsia="Times New Roman" w:cs="Times New Roman"/>
                </w:rPr>
                <w:t>P</w:t>
              </w:r>
              <w:r w:rsidRPr="003E5E2F">
                <w:rPr>
                  <w:rStyle w:val="Hyperlink"/>
                  <w:rFonts w:eastAsia="Times New Roman" w:cs="Times New Roman"/>
                </w:rPr>
                <w:t>olitique de l'UIT en matière de protection des données et de confidentialité</w:t>
              </w:r>
            </w:hyperlink>
          </w:p>
        </w:tc>
      </w:tr>
    </w:tbl>
    <w:p w14:paraId="4F005ED4" w14:textId="77777777" w:rsidR="00A51849" w:rsidRPr="002D3EEC" w:rsidRDefault="00A51849">
      <w:pPr>
        <w:tabs>
          <w:tab w:val="clear" w:pos="567"/>
          <w:tab w:val="clear" w:pos="1134"/>
          <w:tab w:val="clear" w:pos="1701"/>
          <w:tab w:val="clear" w:pos="2268"/>
          <w:tab w:val="clear" w:pos="2835"/>
        </w:tabs>
        <w:overflowPunct/>
        <w:autoSpaceDE/>
        <w:autoSpaceDN/>
        <w:adjustRightInd/>
        <w:spacing w:before="0"/>
        <w:textAlignment w:val="auto"/>
      </w:pPr>
      <w:r w:rsidRPr="002D3EEC">
        <w:br w:type="page"/>
      </w:r>
    </w:p>
    <w:p w14:paraId="6D6F0CAD" w14:textId="77777777" w:rsidR="00B97C62" w:rsidRPr="002D3EEC" w:rsidRDefault="00B97C62" w:rsidP="00B97C62">
      <w:pPr>
        <w:pStyle w:val="Heading1"/>
      </w:pPr>
      <w:r w:rsidRPr="002D3EEC">
        <w:rPr>
          <w:bCs/>
        </w:rPr>
        <w:lastRenderedPageBreak/>
        <w:t>1</w:t>
      </w:r>
      <w:r w:rsidRPr="002D3EEC">
        <w:tab/>
      </w:r>
      <w:r w:rsidRPr="002D3EEC">
        <w:rPr>
          <w:bCs/>
        </w:rPr>
        <w:t>Considérations générales</w:t>
      </w:r>
    </w:p>
    <w:p w14:paraId="58463AAA" w14:textId="77777777" w:rsidR="00B97C62" w:rsidRPr="002D3EEC" w:rsidRDefault="00B97C62" w:rsidP="003E5E2F">
      <w:pPr>
        <w:jc w:val="both"/>
      </w:pPr>
      <w:r w:rsidRPr="002D3EEC">
        <w:t>L'ordre du jour de la Conférence mondiale des radiocommunications de 2027 (CMR-27) a été établi dans sa version finale par le Conseil de l'Union internationale des télécommunications (UIT) dans sa Résolution 1422 (C24).</w:t>
      </w:r>
    </w:p>
    <w:p w14:paraId="1945624D" w14:textId="7F8FFE42" w:rsidR="00B97C62" w:rsidRPr="002D3EEC" w:rsidRDefault="00B97C62" w:rsidP="003E5E2F">
      <w:pPr>
        <w:jc w:val="both"/>
      </w:pPr>
      <w:r w:rsidRPr="002D3EEC">
        <w:t xml:space="preserve">À sa session de 2025, le Conseil de l'UIT a décidé, ainsi qu'il ressort du compte rendu de la septième séance plénière (Document </w:t>
      </w:r>
      <w:hyperlink r:id="rId13" w:history="1">
        <w:r w:rsidRPr="002D3EEC">
          <w:rPr>
            <w:rStyle w:val="Hyperlink"/>
            <w:rFonts w:eastAsia="Times New Roman" w:cs="Times New Roman"/>
            <w:szCs w:val="20"/>
          </w:rPr>
          <w:t>C25/113</w:t>
        </w:r>
      </w:hyperlink>
      <w:r w:rsidRPr="002D3EEC">
        <w:t>), "d'accepter l'invitation présentée par la Chine en vue d'accueillir l'Assemblée des radiocommunications de 2027 (AR-27), la CMR-27 et la première session de la Réunion de préparation à la Conférence en vue de la CMR-31 (RPC31-1) à Shanghai. En conséquence, et sous réserve de l'accord de la majorité des États</w:t>
      </w:r>
      <w:r w:rsidR="007C09BC" w:rsidRPr="002D3EEC">
        <w:t> </w:t>
      </w:r>
      <w:r w:rsidRPr="002D3EEC">
        <w:t>Membres de l'Union, la CMR-27, précédée de l'AR-27, se tiendra à Shanghai (Chine)".</w:t>
      </w:r>
      <w:hyperlink r:id="rId14" w:history="1"/>
    </w:p>
    <w:p w14:paraId="15D8F5F2" w14:textId="71B79B22" w:rsidR="00B97C62" w:rsidRPr="002D3EEC" w:rsidRDefault="00B97C62" w:rsidP="003E5E2F">
      <w:pPr>
        <w:jc w:val="both"/>
      </w:pPr>
      <w:r w:rsidRPr="002D3EEC">
        <w:t>Conformément à cette décision et au numéro 42 de la Convention de l'UIT, le Secrétariat général a engagé des consultations auprès des États Membres sur le lieu précis et les dates exactes de l'AR-27 et de la CMR-27, pour lesquelles l'accord de la majorité requise des États</w:t>
      </w:r>
      <w:r w:rsidR="007C09BC" w:rsidRPr="002D3EEC">
        <w:t> </w:t>
      </w:r>
      <w:r w:rsidRPr="002D3EEC">
        <w:t>Membres a été obtenu, comme indiqué dans la Lettre circulaire CL-25/45. En conséquence, les États Membres se sont mis d'accord pour que l'AR-27 et la CMR-27 se tiennent à Shanghai (Chine), du 11 octobre au 12 novembre 2027.</w:t>
      </w:r>
    </w:p>
    <w:p w14:paraId="3F6013D0" w14:textId="77777777" w:rsidR="00B97C62" w:rsidRPr="002D3EEC" w:rsidRDefault="00B97C62" w:rsidP="003E5E2F">
      <w:pPr>
        <w:jc w:val="both"/>
      </w:pPr>
      <w:r w:rsidRPr="002D3EEC">
        <w:t>Comme il est généralement prévu, la RPC31-1 se tiendra également à Shanghai, immédiatement après la CMR-27, les 15 et 16 novembre 2027.</w:t>
      </w:r>
    </w:p>
    <w:p w14:paraId="63E4F6AA" w14:textId="2BC76BE7" w:rsidR="00B97C62" w:rsidRPr="002D3EEC" w:rsidRDefault="00B97C62" w:rsidP="003E5E2F">
      <w:pPr>
        <w:jc w:val="both"/>
      </w:pPr>
      <w:r w:rsidRPr="002D3EEC">
        <w:t>Les sites web de l'AR-27 et de la CMR-27 ont également été mis en ligne et seront actualisés régulièrement à mesure que parviendront de nouveaux éléments.</w:t>
      </w:r>
    </w:p>
    <w:p w14:paraId="61D7CB5F" w14:textId="77777777" w:rsidR="00B97C62" w:rsidRPr="002D3EEC" w:rsidRDefault="00B97C62" w:rsidP="00B97C62">
      <w:pPr>
        <w:pStyle w:val="Heading1"/>
      </w:pPr>
      <w:r w:rsidRPr="002D3EEC">
        <w:rPr>
          <w:bCs/>
        </w:rPr>
        <w:t>2</w:t>
      </w:r>
      <w:r w:rsidRPr="002D3EEC">
        <w:tab/>
      </w:r>
      <w:r w:rsidRPr="002D3EEC">
        <w:rPr>
          <w:bCs/>
        </w:rPr>
        <w:t>Communications envoyées par les administrations</w:t>
      </w:r>
    </w:p>
    <w:p w14:paraId="2EA1DFC4" w14:textId="77777777" w:rsidR="00B97C62" w:rsidRPr="002D3EEC" w:rsidRDefault="00B97C62" w:rsidP="003E5E2F">
      <w:pPr>
        <w:jc w:val="both"/>
      </w:pPr>
      <w:r w:rsidRPr="002D3EEC">
        <w:t>À la suite de la confirmation du lieu précis et des dates exactes de la CMR-27, la Secrétaire générale a reçu des courriers d'un certain nombre d'administrations dans lesquels elles rendent compte de leurs vues et préoccupations en ce qui concerne divers aspects de l'organisation de la CMR-27 et de l'AR-27. Il a été dûment accusé réception de ces communications et il en est tenu compte, selon qu'il convient.</w:t>
      </w:r>
    </w:p>
    <w:p w14:paraId="13123D65" w14:textId="77777777" w:rsidR="00B97C62" w:rsidRPr="002D3EEC" w:rsidRDefault="00B97C62" w:rsidP="00B97C62">
      <w:pPr>
        <w:pStyle w:val="Heading1"/>
      </w:pPr>
      <w:r w:rsidRPr="002D3EEC">
        <w:rPr>
          <w:bCs/>
        </w:rPr>
        <w:t>3</w:t>
      </w:r>
      <w:r w:rsidRPr="002D3EEC">
        <w:tab/>
      </w:r>
      <w:r w:rsidRPr="002D3EEC">
        <w:rPr>
          <w:bCs/>
        </w:rPr>
        <w:t>Accord de pays hôte</w:t>
      </w:r>
    </w:p>
    <w:p w14:paraId="3DCA0157" w14:textId="77777777" w:rsidR="00B97C62" w:rsidRPr="002D3EEC" w:rsidRDefault="00B97C62" w:rsidP="003E5E2F">
      <w:pPr>
        <w:jc w:val="both"/>
      </w:pPr>
      <w:r w:rsidRPr="002D3EEC">
        <w:t>Le projet d'accord de pays hôte a été communiqué à la Chine. Il traite des exigences requises pour l'organisation de l'AR-27, de la CMR-27 et de la RPC31-1, notamment en ce qui concerne les installations de conférence, les dispositions en matière de sécurité, les privilèges et immunités, les procédures d'obtention de visas, les infrastructures et services des technologies de l'information et de la communication (TIC), ainsi que d'autres questions logistiques et opérationnelles. Le projet comprend également des dispositions relatives aux privilèges et immunités en vertu de la Convention des Nations Unies de 1947. En outre, l'accord de pays hôte contient des dispositions relatives à la cybersécurité et à la protection des données, en particulier compte tenu de l'adoption, en décembre 2023, de la politique de l'UIT en matière de protection des données et de confidentialité.</w:t>
      </w:r>
    </w:p>
    <w:p w14:paraId="09A2428C" w14:textId="77777777" w:rsidR="00B97C62" w:rsidRPr="002D3EEC" w:rsidRDefault="00B97C62" w:rsidP="002D3EEC">
      <w:pPr>
        <w:pStyle w:val="Heading1"/>
      </w:pPr>
      <w:r w:rsidRPr="002D3EEC">
        <w:rPr>
          <w:bCs/>
        </w:rPr>
        <w:lastRenderedPageBreak/>
        <w:t>4</w:t>
      </w:r>
      <w:r w:rsidRPr="002D3EEC">
        <w:tab/>
      </w:r>
      <w:r w:rsidRPr="002D3EEC">
        <w:rPr>
          <w:bCs/>
        </w:rPr>
        <w:t>Visite du site</w:t>
      </w:r>
    </w:p>
    <w:p w14:paraId="30DFA377" w14:textId="77777777" w:rsidR="00B97C62" w:rsidRPr="002D3EEC" w:rsidRDefault="00B97C62" w:rsidP="003E5E2F">
      <w:pPr>
        <w:keepNext/>
        <w:keepLines/>
        <w:jc w:val="both"/>
        <w:rPr>
          <w:rFonts w:cs="Calibri"/>
        </w:rPr>
      </w:pPr>
      <w:r w:rsidRPr="002D3EEC">
        <w:t>Le Secrétariat a effectué une première visite sur place en mars. Cette visite a permis de procéder à une première évaluation du lieu où il est proposé de tenir la conférence, à savoir le complexe Shanghai Expo Center, et des installations connexes, notamment les salles et les services de conférence, les infrastructures TIC et les mesures de sécurité. Les résultats de la visite serviront à y voir plus clair en termes de planification et à répertorier les éléments nécessitant un suivi.</w:t>
      </w:r>
    </w:p>
    <w:p w14:paraId="0E8EE553" w14:textId="77777777" w:rsidR="00B97C62" w:rsidRPr="002D3EEC" w:rsidRDefault="00B97C62" w:rsidP="00B97C62">
      <w:pPr>
        <w:pStyle w:val="Heading1"/>
      </w:pPr>
      <w:r w:rsidRPr="002D3EEC">
        <w:rPr>
          <w:bCs/>
        </w:rPr>
        <w:t>5</w:t>
      </w:r>
      <w:r w:rsidRPr="002D3EEC">
        <w:tab/>
      </w:r>
      <w:r w:rsidRPr="002D3EEC">
        <w:rPr>
          <w:bCs/>
        </w:rPr>
        <w:t>Coordination interne et coordination avec le pays hôte</w:t>
      </w:r>
    </w:p>
    <w:p w14:paraId="1B005382" w14:textId="77777777" w:rsidR="00B97C62" w:rsidRPr="002D3EEC" w:rsidRDefault="00B97C62" w:rsidP="003E5E2F">
      <w:pPr>
        <w:jc w:val="both"/>
      </w:pPr>
      <w:r w:rsidRPr="002D3EEC">
        <w:t>La procédure de coordination entre les services concernés du Secrétariat général et du Bureau des radiocommunications a déjà été engagée afin de procéder aux travaux préparatoires administratifs et logistiques en vue de l'AR-27 et de la CMR-27. Cette procédure se poursuivra et s'intensifiera à mesure que les travaux préparatoires progresseront, y compris en ce qui concerne la collaboration continue avec le pays hôte.</w:t>
      </w:r>
    </w:p>
    <w:p w14:paraId="76905819" w14:textId="77777777" w:rsidR="00B97C62" w:rsidRPr="002D3EEC" w:rsidRDefault="00B97C62" w:rsidP="00B97C62">
      <w:pPr>
        <w:pStyle w:val="Heading1"/>
      </w:pPr>
      <w:r w:rsidRPr="002D3EEC">
        <w:rPr>
          <w:bCs/>
        </w:rPr>
        <w:t>6</w:t>
      </w:r>
      <w:r w:rsidRPr="002D3EEC">
        <w:tab/>
      </w:r>
      <w:r w:rsidRPr="002D3EEC">
        <w:rPr>
          <w:bCs/>
        </w:rPr>
        <w:t>Travaux préparatoires au niveau régional</w:t>
      </w:r>
    </w:p>
    <w:p w14:paraId="1A90A7ED" w14:textId="79FAAFD2" w:rsidR="00B97C62" w:rsidRPr="002D3EEC" w:rsidRDefault="00B97C62" w:rsidP="003E5E2F">
      <w:pPr>
        <w:jc w:val="both"/>
        <w:rPr>
          <w:rFonts w:cs="Calibri"/>
        </w:rPr>
      </w:pPr>
      <w:r w:rsidRPr="002D3EEC">
        <w:t>Compte tenu de la Résolution 80 (Rév. Marrakech, 2002) de la Conférence de plénipotentiaires, d'importantes activités de préparation en vue de l'AR-27 et de la CMR-27 sont actuellement menées, en particulier par l'intermédiaire des organisations régionales de télécommunication, à savoir la Télécommunauté Asie-Pacifique (APT), le Groupe arabe de gestion du spectre (ASMG), l'Union arabe des télécommunications (UAT), la Conférence européenne des administrations des postes et des télécommunications (CEPT), la Commission interaméricaine des télécommunications (CITEL) et la Communauté régionale des communications (RCC). L'UIT a prêté son concours à ces activités de préparation chaque fois que cela était possible, compte tenu notamment de la Résolution 72 (Rév.CMR-19) de la Conférence mondiale des radiocommunications. À cet égard, la première séance d'information interrégionale de l'UIT sur les travaux préparatoires en vue de la CMR-27 s'est tenue du 3 au 5 décembre 2025. Les deuxième et troisième séances se tiendront respectivement fin 2026 et quelques mois avant la CMR-27.</w:t>
      </w:r>
    </w:p>
    <w:p w14:paraId="3A86F7DB" w14:textId="77777777" w:rsidR="00B97C62" w:rsidRPr="002D3EEC" w:rsidRDefault="00B97C62" w:rsidP="00B97C62">
      <w:pPr>
        <w:pStyle w:val="Heading1"/>
      </w:pPr>
      <w:r w:rsidRPr="002D3EEC">
        <w:rPr>
          <w:bCs/>
        </w:rPr>
        <w:t>7</w:t>
      </w:r>
      <w:r w:rsidRPr="002D3EEC">
        <w:tab/>
      </w:r>
      <w:r w:rsidRPr="002D3EEC">
        <w:rPr>
          <w:bCs/>
        </w:rPr>
        <w:t>Conclusion</w:t>
      </w:r>
    </w:p>
    <w:p w14:paraId="66DF4E58" w14:textId="77777777" w:rsidR="00B97C62" w:rsidRDefault="00B97C62" w:rsidP="003E5E2F">
      <w:pPr>
        <w:jc w:val="both"/>
      </w:pPr>
      <w:r w:rsidRPr="002D3EEC">
        <w:t>Le Secrétariat considère que les travaux préparatoires en vue de l'AR-27 et de la CMR-27 progressent conformément aux décisions prises par le Conseil à sa session de 2025 et aux procédures établies par l'UIT. Le Conseil est invité à prendre note des informations figurant dans le présent document à cet égard.</w:t>
      </w:r>
    </w:p>
    <w:p w14:paraId="42AD8699" w14:textId="77777777" w:rsidR="003E5E2F" w:rsidRPr="002D3EEC" w:rsidRDefault="003E5E2F" w:rsidP="003E5E2F">
      <w:pPr>
        <w:jc w:val="both"/>
        <w:rPr>
          <w:rFonts w:cs="Calibri"/>
        </w:rPr>
      </w:pPr>
    </w:p>
    <w:p w14:paraId="27EADF91" w14:textId="77777777" w:rsidR="00897553" w:rsidRPr="002D3EEC" w:rsidRDefault="006A11AE" w:rsidP="002D2336">
      <w:pPr>
        <w:jc w:val="center"/>
      </w:pPr>
      <w:r w:rsidRPr="002D3EEC">
        <w:t>______________</w:t>
      </w:r>
    </w:p>
    <w:sectPr w:rsidR="00897553" w:rsidRPr="002D3EEC" w:rsidSect="00D72F49">
      <w:headerReference w:type="even" r:id="rId15"/>
      <w:footerReference w:type="even" r:id="rId16"/>
      <w:footerReference w:type="default" r:id="rId17"/>
      <w:headerReference w:type="first" r:id="rId18"/>
      <w:footerReference w:type="first" r:id="rId1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7887" w14:textId="77777777" w:rsidR="00B97C62" w:rsidRDefault="00B97C62">
      <w:r>
        <w:separator/>
      </w:r>
    </w:p>
  </w:endnote>
  <w:endnote w:type="continuationSeparator" w:id="0">
    <w:p w14:paraId="161BCF78" w14:textId="77777777" w:rsidR="00B97C62" w:rsidRDefault="00B9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4224" w14:textId="5EA58976" w:rsidR="00732045" w:rsidRDefault="00B97C62">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2F7D75">
      <w:t>01.04.26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215F2AE" w14:textId="77777777" w:rsidTr="00E31DCE">
      <w:trPr>
        <w:jc w:val="center"/>
      </w:trPr>
      <w:tc>
        <w:tcPr>
          <w:tcW w:w="1803" w:type="dxa"/>
          <w:vAlign w:val="center"/>
        </w:tcPr>
        <w:p w14:paraId="725A7292" w14:textId="0744770C" w:rsidR="00A51849" w:rsidRDefault="00B97C62" w:rsidP="00A51849">
          <w:pPr>
            <w:pStyle w:val="Header"/>
            <w:jc w:val="left"/>
            <w:rPr>
              <w:noProof/>
            </w:rPr>
          </w:pPr>
          <w:r>
            <w:rPr>
              <w:noProof/>
            </w:rPr>
            <w:t>2600705</w:t>
          </w:r>
        </w:p>
      </w:tc>
      <w:tc>
        <w:tcPr>
          <w:tcW w:w="8261" w:type="dxa"/>
        </w:tcPr>
        <w:p w14:paraId="12EA5044" w14:textId="10A1F09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B97C62">
            <w:rPr>
              <w:bCs/>
            </w:rPr>
            <w:t>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F0BDCF8"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2244E9C" w14:textId="77777777" w:rsidTr="00E31DCE">
      <w:trPr>
        <w:jc w:val="center"/>
      </w:trPr>
      <w:tc>
        <w:tcPr>
          <w:tcW w:w="1803" w:type="dxa"/>
          <w:vAlign w:val="center"/>
        </w:tcPr>
        <w:p w14:paraId="2847918A"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5CA71D85" w14:textId="0934EFD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B97C62">
            <w:rPr>
              <w:bCs/>
            </w:rPr>
            <w:t>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5E8819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AD46" w14:textId="77777777" w:rsidR="00B97C62" w:rsidRDefault="00B97C62">
      <w:r>
        <w:t>____________________</w:t>
      </w:r>
    </w:p>
  </w:footnote>
  <w:footnote w:type="continuationSeparator" w:id="0">
    <w:p w14:paraId="5A708A75" w14:textId="77777777" w:rsidR="00B97C62" w:rsidRDefault="00B9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B40D"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3882F5C"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AC71"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62"/>
    <w:rsid w:val="00076A2C"/>
    <w:rsid w:val="000D0D0A"/>
    <w:rsid w:val="00103163"/>
    <w:rsid w:val="00106B19"/>
    <w:rsid w:val="001133EF"/>
    <w:rsid w:val="00115D93"/>
    <w:rsid w:val="001247A8"/>
    <w:rsid w:val="001342E0"/>
    <w:rsid w:val="001370B2"/>
    <w:rsid w:val="001378C0"/>
    <w:rsid w:val="001658F9"/>
    <w:rsid w:val="00184E63"/>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D3EEC"/>
    <w:rsid w:val="002E0BC4"/>
    <w:rsid w:val="002F1B76"/>
    <w:rsid w:val="002F7D75"/>
    <w:rsid w:val="003064C9"/>
    <w:rsid w:val="0033568E"/>
    <w:rsid w:val="00355FF5"/>
    <w:rsid w:val="00361350"/>
    <w:rsid w:val="003C3FAE"/>
    <w:rsid w:val="003E5E2F"/>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09BC"/>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0FF0"/>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97C62"/>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806E4"/>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1364E"/>
  <w15:docId w15:val="{6286F095-EA4A-4EEA-97E4-2507006A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970FF0"/>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B97C62"/>
    <w:rPr>
      <w:sz w:val="16"/>
      <w:szCs w:val="16"/>
    </w:rPr>
  </w:style>
  <w:style w:type="paragraph" w:styleId="CommentText">
    <w:name w:val="annotation text"/>
    <w:basedOn w:val="Normal"/>
    <w:link w:val="CommentTextChar"/>
    <w:unhideWhenUsed/>
    <w:rsid w:val="00B97C62"/>
    <w:rPr>
      <w:sz w:val="20"/>
      <w:lang w:val="en-GB"/>
    </w:rPr>
  </w:style>
  <w:style w:type="character" w:customStyle="1" w:styleId="CommentTextChar">
    <w:name w:val="Comment Text Char"/>
    <w:basedOn w:val="DefaultParagraphFont"/>
    <w:link w:val="CommentText"/>
    <w:rsid w:val="00B97C62"/>
    <w:rPr>
      <w:rFonts w:ascii="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SG-CIR-0045/en" TargetMode="External"/><Relationship Id="rId13" Type="http://schemas.openxmlformats.org/officeDocument/2006/relationships/hyperlink" Target="https://www.itu.int/md/S25-CL-C-0113/e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u.int/md/S24-CL-C-0125/en" TargetMode="External"/><Relationship Id="rId12" Type="http://schemas.openxmlformats.org/officeDocument/2006/relationships/hyperlink" Target="https://www.itu.int/en/about/Pages/data-protection.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iris-wrc-2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ra-2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wrc-27/" TargetMode="External"/><Relationship Id="rId14" Type="http://schemas.openxmlformats.org/officeDocument/2006/relationships/hyperlink" Target="https://www.itu.int/md/S25-CL-C-0113/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3</Pages>
  <Words>1047</Words>
  <Characters>6177</Characters>
  <Application>Microsoft Office Word</Application>
  <DocSecurity>0</DocSecurity>
  <Lines>116</Lines>
  <Paragraphs>48</Paragraphs>
  <ScaleCrop>false</ScaleCrop>
  <HeadingPairs>
    <vt:vector size="2" baseType="variant">
      <vt:variant>
        <vt:lpstr>Title</vt:lpstr>
      </vt:variant>
      <vt:variant>
        <vt:i4>1</vt:i4>
      </vt:variant>
    </vt:vector>
  </HeadingPairs>
  <TitlesOfParts>
    <vt:vector size="1" baseType="lpstr">
      <vt:lpstr>Travaux préparatoires en vue de l'Assemblée des radiocommunications de 2027 (AR-27) et de la Conférence mondiale des radiocommunications de 2027 (CMR-27)</vt:lpstr>
    </vt:vector>
  </TitlesOfParts>
  <Manager>Secrétariat général - Pool</Manager>
  <Company>Union internationale des télécommunications (UIT)</Company>
  <LinksUpToDate>false</LinksUpToDate>
  <CharactersWithSpaces>7176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préparatoires en vue de l'Assemblée des radiocommunications de 2027 (AR-27) et de la Conférence mondiale des radiocommunications de 2027 (CMR-27)</dc:title>
  <dc:subject>Conseil 2026 de l'UIT</dc:subject>
  <cp:keywords>C26; C2026; Council 2026; PP26</cp:keywords>
  <dc:description/>
  <cp:lastPrinted>2000-07-18T08:55:00Z</cp:lastPrinted>
  <dcterms:created xsi:type="dcterms:W3CDTF">2026-04-07T11:36:00Z</dcterms:created>
  <dcterms:modified xsi:type="dcterms:W3CDTF">2026-04-07T11:37:00Z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