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614145" w:rsidRPr="00BB6FD8" w14:paraId="03F61372" w14:textId="77777777" w:rsidTr="00C4421B">
        <w:trPr>
          <w:cantSplit/>
          <w:trHeight w:val="23"/>
        </w:trPr>
        <w:tc>
          <w:tcPr>
            <w:tcW w:w="3969" w:type="dxa"/>
            <w:vMerge w:val="restart"/>
            <w:tcMar>
              <w:left w:w="0" w:type="dxa"/>
            </w:tcMar>
          </w:tcPr>
          <w:p w14:paraId="0276AFE2" w14:textId="5F8175EB" w:rsidR="00614145" w:rsidRPr="00BB6FD8" w:rsidRDefault="00614145" w:rsidP="00614145">
            <w:pPr>
              <w:tabs>
                <w:tab w:val="left" w:pos="851"/>
              </w:tabs>
              <w:spacing w:before="0" w:line="240" w:lineRule="atLeast"/>
              <w:rPr>
                <w:b/>
              </w:rPr>
            </w:pPr>
            <w:bookmarkStart w:id="0" w:name="_Hlk133421839"/>
            <w:r w:rsidRPr="00BB6FD8">
              <w:rPr>
                <w:b/>
              </w:rPr>
              <w:t xml:space="preserve">Orden del día: </w:t>
            </w:r>
            <w:r w:rsidR="00F21258">
              <w:rPr>
                <w:b/>
                <w:bCs/>
                <w:color w:val="000000"/>
                <w:lang w:val="es-ES"/>
              </w:rPr>
              <w:t>PL-3</w:t>
            </w:r>
          </w:p>
        </w:tc>
        <w:tc>
          <w:tcPr>
            <w:tcW w:w="5245" w:type="dxa"/>
          </w:tcPr>
          <w:p w14:paraId="1E462494" w14:textId="06493E25" w:rsidR="00614145" w:rsidRPr="00BB6FD8" w:rsidRDefault="00614145" w:rsidP="00614145">
            <w:pPr>
              <w:tabs>
                <w:tab w:val="left" w:pos="851"/>
              </w:tabs>
              <w:spacing w:before="0" w:line="240" w:lineRule="atLeast"/>
              <w:jc w:val="right"/>
              <w:rPr>
                <w:b/>
              </w:rPr>
            </w:pPr>
            <w:r>
              <w:rPr>
                <w:b/>
                <w:bCs/>
                <w:color w:val="000000"/>
                <w:lang w:val="es-ES"/>
              </w:rPr>
              <w:t>Documento C26/5-S</w:t>
            </w:r>
          </w:p>
        </w:tc>
      </w:tr>
      <w:tr w:rsidR="00614145" w:rsidRPr="00666D09" w14:paraId="0B40B3F7" w14:textId="77777777" w:rsidTr="00C4421B">
        <w:trPr>
          <w:cantSplit/>
        </w:trPr>
        <w:tc>
          <w:tcPr>
            <w:tcW w:w="3969" w:type="dxa"/>
            <w:vMerge/>
          </w:tcPr>
          <w:p w14:paraId="1254A015" w14:textId="77777777" w:rsidR="00614145" w:rsidRPr="00BB6FD8" w:rsidRDefault="00614145" w:rsidP="00614145">
            <w:pPr>
              <w:tabs>
                <w:tab w:val="left" w:pos="851"/>
              </w:tabs>
              <w:spacing w:line="240" w:lineRule="atLeast"/>
              <w:rPr>
                <w:b/>
              </w:rPr>
            </w:pPr>
          </w:p>
        </w:tc>
        <w:tc>
          <w:tcPr>
            <w:tcW w:w="5245" w:type="dxa"/>
          </w:tcPr>
          <w:p w14:paraId="538E0AC9" w14:textId="69944551" w:rsidR="00614145" w:rsidRPr="00666D09" w:rsidRDefault="00614145" w:rsidP="00614145">
            <w:pPr>
              <w:tabs>
                <w:tab w:val="left" w:pos="851"/>
              </w:tabs>
              <w:spacing w:before="0"/>
              <w:jc w:val="right"/>
              <w:rPr>
                <w:b/>
                <w:lang w:val="en-GB"/>
              </w:rPr>
            </w:pPr>
            <w:r>
              <w:rPr>
                <w:b/>
                <w:bCs/>
                <w:color w:val="000000"/>
                <w:lang w:val="es-ES"/>
              </w:rPr>
              <w:t>27 de marzo de 2026</w:t>
            </w:r>
          </w:p>
        </w:tc>
      </w:tr>
      <w:tr w:rsidR="00614145" w:rsidRPr="00BB6FD8" w14:paraId="4B9D15D3" w14:textId="77777777" w:rsidTr="00C4421B">
        <w:trPr>
          <w:cantSplit/>
          <w:trHeight w:val="23"/>
        </w:trPr>
        <w:tc>
          <w:tcPr>
            <w:tcW w:w="3969" w:type="dxa"/>
            <w:vMerge/>
          </w:tcPr>
          <w:p w14:paraId="4C44B045" w14:textId="77777777" w:rsidR="00614145" w:rsidRPr="00666D09" w:rsidRDefault="00614145" w:rsidP="00614145">
            <w:pPr>
              <w:tabs>
                <w:tab w:val="left" w:pos="851"/>
              </w:tabs>
              <w:spacing w:line="240" w:lineRule="atLeast"/>
              <w:rPr>
                <w:b/>
                <w:lang w:val="en-GB"/>
              </w:rPr>
            </w:pPr>
          </w:p>
        </w:tc>
        <w:tc>
          <w:tcPr>
            <w:tcW w:w="5245" w:type="dxa"/>
          </w:tcPr>
          <w:p w14:paraId="022B20FC" w14:textId="050A9F38" w:rsidR="00614145" w:rsidRPr="00BB6FD8" w:rsidRDefault="00614145" w:rsidP="00614145">
            <w:pPr>
              <w:tabs>
                <w:tab w:val="left" w:pos="851"/>
              </w:tabs>
              <w:spacing w:before="0" w:line="240" w:lineRule="atLeast"/>
              <w:jc w:val="right"/>
              <w:rPr>
                <w:b/>
                <w:bCs/>
              </w:rPr>
            </w:pPr>
            <w:r>
              <w:rPr>
                <w:b/>
                <w:bCs/>
                <w:color w:val="000000"/>
                <w:lang w:val="es-ES"/>
              </w:rPr>
              <w:t>Original: inglés</w:t>
            </w:r>
          </w:p>
        </w:tc>
      </w:tr>
      <w:tr w:rsidR="00FE57F6" w:rsidRPr="00BB6FD8" w14:paraId="1ADAD3C6" w14:textId="77777777" w:rsidTr="00C4421B">
        <w:trPr>
          <w:cantSplit/>
          <w:trHeight w:val="23"/>
        </w:trPr>
        <w:tc>
          <w:tcPr>
            <w:tcW w:w="3969" w:type="dxa"/>
          </w:tcPr>
          <w:p w14:paraId="645B14EC" w14:textId="77777777" w:rsidR="00FE57F6" w:rsidRPr="00BB6FD8" w:rsidRDefault="00FE57F6" w:rsidP="00C4421B">
            <w:pPr>
              <w:tabs>
                <w:tab w:val="left" w:pos="851"/>
              </w:tabs>
              <w:spacing w:line="240" w:lineRule="atLeast"/>
              <w:rPr>
                <w:b/>
              </w:rPr>
            </w:pPr>
          </w:p>
        </w:tc>
        <w:tc>
          <w:tcPr>
            <w:tcW w:w="5245" w:type="dxa"/>
          </w:tcPr>
          <w:p w14:paraId="153E8757" w14:textId="77777777" w:rsidR="00FE57F6" w:rsidRPr="00BB6FD8" w:rsidRDefault="00FE57F6" w:rsidP="00C4421B">
            <w:pPr>
              <w:tabs>
                <w:tab w:val="left" w:pos="851"/>
              </w:tabs>
              <w:spacing w:before="0" w:line="240" w:lineRule="atLeast"/>
              <w:jc w:val="right"/>
              <w:rPr>
                <w:b/>
              </w:rPr>
            </w:pPr>
          </w:p>
        </w:tc>
      </w:tr>
      <w:tr w:rsidR="00FE57F6" w:rsidRPr="00EA07DC" w14:paraId="54E6AD4E" w14:textId="77777777" w:rsidTr="00C4421B">
        <w:trPr>
          <w:cantSplit/>
        </w:trPr>
        <w:tc>
          <w:tcPr>
            <w:tcW w:w="9214" w:type="dxa"/>
            <w:gridSpan w:val="2"/>
            <w:tcMar>
              <w:left w:w="0" w:type="dxa"/>
            </w:tcMar>
          </w:tcPr>
          <w:p w14:paraId="57FB0B20" w14:textId="77777777" w:rsidR="00FE57F6" w:rsidRPr="00EA07DC" w:rsidRDefault="00157AC4" w:rsidP="00C4421B">
            <w:pPr>
              <w:pStyle w:val="Source"/>
              <w:jc w:val="left"/>
              <w:rPr>
                <w:sz w:val="34"/>
                <w:szCs w:val="34"/>
                <w:lang w:val="es-ES"/>
              </w:rPr>
            </w:pPr>
            <w:r w:rsidRPr="00EA07DC">
              <w:rPr>
                <w:rFonts w:cstheme="minorHAnsi"/>
                <w:sz w:val="34"/>
                <w:szCs w:val="34"/>
                <w:lang w:val="es-ES"/>
              </w:rPr>
              <w:t>Informe de la Secretaria General</w:t>
            </w:r>
          </w:p>
        </w:tc>
      </w:tr>
      <w:tr w:rsidR="00FE57F6" w:rsidRPr="00EA07DC" w14:paraId="22955868" w14:textId="77777777" w:rsidTr="00C4421B">
        <w:trPr>
          <w:cantSplit/>
        </w:trPr>
        <w:tc>
          <w:tcPr>
            <w:tcW w:w="9214" w:type="dxa"/>
            <w:gridSpan w:val="2"/>
            <w:tcMar>
              <w:left w:w="0" w:type="dxa"/>
            </w:tcMar>
          </w:tcPr>
          <w:p w14:paraId="30936BA5" w14:textId="72F16B1E" w:rsidR="00FE57F6" w:rsidRPr="00614145" w:rsidRDefault="00EA07DC" w:rsidP="00C4421B">
            <w:pPr>
              <w:pStyle w:val="Subtitle"/>
              <w:framePr w:hSpace="0" w:wrap="auto" w:hAnchor="text" w:xAlign="left" w:yAlign="inline"/>
              <w:rPr>
                <w:lang w:val="es-ES"/>
              </w:rPr>
            </w:pPr>
            <w:r>
              <w:rPr>
                <w:color w:val="000000"/>
                <w:lang w:val="es-ES"/>
              </w:rPr>
              <w:t>PREPARACIÓN PARA EL FORO MUNDIAL DE POLÍTICA DE LAS TELECOMUNICACIONES/TIC DE 2026 (FMPT-26)</w:t>
            </w:r>
          </w:p>
        </w:tc>
      </w:tr>
      <w:tr w:rsidR="00FE57F6" w:rsidRPr="00EA07DC" w14:paraId="3D6AF4E7" w14:textId="77777777" w:rsidTr="00C4421B">
        <w:trPr>
          <w:cantSplit/>
        </w:trPr>
        <w:tc>
          <w:tcPr>
            <w:tcW w:w="9214" w:type="dxa"/>
            <w:gridSpan w:val="2"/>
            <w:tcBorders>
              <w:top w:val="single" w:sz="4" w:space="0" w:color="auto"/>
              <w:bottom w:val="single" w:sz="4" w:space="0" w:color="auto"/>
            </w:tcBorders>
            <w:tcMar>
              <w:left w:w="0" w:type="dxa"/>
            </w:tcMar>
          </w:tcPr>
          <w:p w14:paraId="566D61DA" w14:textId="4C3B1CE7" w:rsidR="00FE57F6" w:rsidRPr="00EA07DC" w:rsidRDefault="00614145" w:rsidP="00C4421B">
            <w:pPr>
              <w:spacing w:before="160"/>
              <w:rPr>
                <w:b/>
                <w:bCs/>
                <w:sz w:val="26"/>
                <w:szCs w:val="26"/>
                <w:lang w:val="es-ES"/>
              </w:rPr>
            </w:pPr>
            <w:r w:rsidRPr="00EA07DC">
              <w:rPr>
                <w:b/>
                <w:bCs/>
                <w:sz w:val="26"/>
                <w:szCs w:val="26"/>
                <w:lang w:val="es-ES"/>
              </w:rPr>
              <w:t>Objetivo</w:t>
            </w:r>
          </w:p>
          <w:p w14:paraId="08084E6A" w14:textId="77777777" w:rsidR="00614145" w:rsidRPr="00EA07DC" w:rsidRDefault="00614145" w:rsidP="00EA07DC">
            <w:pPr>
              <w:jc w:val="both"/>
              <w:rPr>
                <w:spacing w:val="-3"/>
                <w:lang w:val="es-ES"/>
              </w:rPr>
            </w:pPr>
            <w:r w:rsidRPr="00EA07DC">
              <w:rPr>
                <w:color w:val="000000"/>
                <w:spacing w:val="-3"/>
                <w:lang w:val="es-ES"/>
              </w:rPr>
              <w:t>En la Resolución 2 (Rev. Bucarest, 2022) de la Conferencia de Plenipotenciarios se resuelve celebrar el Foro Mundial de Política de las Telecomunicaciones/TIC (FMPT). El Consejo de 2024 decidió convocar un séptimo FMPT de tres días de duración en el primer semestre de 2026 (FMPT-26), cuyas fechas y lugar de celebración se determinarán en la próxima reunión del Consejo, y creó un Grupo Informal de Expertos (GIE) para ayudar a elaborar el Informe de la Secretaria General al FMPT-26. El Acuerdo 641 se modificó posteriormente en la reunión de 2025 del Consejo, confirmando Nassau (Commonwealth de las Bahamas) como lugar de celebración y las fechas del 9 al 11 de junio de 2026. En este documento se facilita información actualizada sobre el proceso preparatorio del FMPT-26 y sobre el estado de los preparativos del Foro.</w:t>
            </w:r>
          </w:p>
          <w:p w14:paraId="36AE7222" w14:textId="77777777" w:rsidR="00FE57F6" w:rsidRPr="00EA07DC" w:rsidRDefault="00F24B71" w:rsidP="00C4421B">
            <w:pPr>
              <w:spacing w:before="160"/>
              <w:rPr>
                <w:b/>
                <w:bCs/>
                <w:sz w:val="26"/>
                <w:szCs w:val="26"/>
                <w:lang w:val="es-ES"/>
              </w:rPr>
            </w:pPr>
            <w:r w:rsidRPr="00EA07DC">
              <w:rPr>
                <w:b/>
                <w:bCs/>
                <w:sz w:val="26"/>
                <w:szCs w:val="26"/>
                <w:lang w:val="es-ES"/>
              </w:rPr>
              <w:t xml:space="preserve">Acción solicitada </w:t>
            </w:r>
            <w:r w:rsidR="00677A97" w:rsidRPr="00EA07DC">
              <w:rPr>
                <w:b/>
                <w:bCs/>
                <w:sz w:val="26"/>
                <w:szCs w:val="26"/>
                <w:lang w:val="es-ES"/>
              </w:rPr>
              <w:t>al</w:t>
            </w:r>
            <w:r w:rsidRPr="00EA07DC">
              <w:rPr>
                <w:b/>
                <w:bCs/>
                <w:sz w:val="26"/>
                <w:szCs w:val="26"/>
                <w:lang w:val="es-ES"/>
              </w:rPr>
              <w:t xml:space="preserve"> Consejo</w:t>
            </w:r>
          </w:p>
          <w:p w14:paraId="5D5D5A17" w14:textId="67A8CC59" w:rsidR="00F92BED" w:rsidRPr="00F92BED" w:rsidRDefault="00614145" w:rsidP="00C4421B">
            <w:pPr>
              <w:spacing w:before="160"/>
              <w:rPr>
                <w:szCs w:val="24"/>
                <w:lang w:val="es-ES"/>
              </w:rPr>
            </w:pPr>
            <w:r>
              <w:rPr>
                <w:color w:val="000000"/>
                <w:lang w:val="es-ES"/>
              </w:rPr>
              <w:t>Se invita al Consejo a</w:t>
            </w:r>
            <w:r>
              <w:rPr>
                <w:b/>
                <w:bCs/>
                <w:color w:val="000000"/>
                <w:lang w:val="es-ES"/>
              </w:rPr>
              <w:t xml:space="preserve"> tomar nota</w:t>
            </w:r>
            <w:r>
              <w:rPr>
                <w:color w:val="000000"/>
                <w:lang w:val="es-ES"/>
              </w:rPr>
              <w:t xml:space="preserve"> del proceso preparatorio.</w:t>
            </w:r>
          </w:p>
          <w:p w14:paraId="61561918" w14:textId="77777777" w:rsidR="00F92BED" w:rsidRPr="00F24B71" w:rsidRDefault="00F92BED" w:rsidP="00C4421B">
            <w:pPr>
              <w:spacing w:before="160"/>
              <w:rPr>
                <w:b/>
                <w:bCs/>
                <w:sz w:val="26"/>
                <w:szCs w:val="26"/>
                <w:lang w:val="es-ES"/>
              </w:rPr>
            </w:pPr>
            <w:r w:rsidRPr="00F24B71">
              <w:rPr>
                <w:b/>
                <w:bCs/>
                <w:sz w:val="26"/>
                <w:szCs w:val="26"/>
                <w:lang w:val="es-ES"/>
              </w:rPr>
              <w:t>Vínculo</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pertinente</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con el Plan Estratégico</w:t>
            </w:r>
          </w:p>
          <w:p w14:paraId="3F0D8769" w14:textId="119C0E53" w:rsidR="00F92BED" w:rsidRPr="00F24B71" w:rsidRDefault="00614145" w:rsidP="00C4421B">
            <w:pPr>
              <w:rPr>
                <w:lang w:val="es-ES"/>
              </w:rPr>
            </w:pPr>
            <w:r>
              <w:rPr>
                <w:color w:val="000000"/>
                <w:lang w:val="es-ES"/>
              </w:rPr>
              <w:t>Plataformas de reunión.</w:t>
            </w:r>
          </w:p>
          <w:p w14:paraId="05108AE2" w14:textId="77777777" w:rsidR="00F92BED" w:rsidRPr="00EA07DC" w:rsidRDefault="00F92BED" w:rsidP="00C4421B">
            <w:pPr>
              <w:spacing w:before="160"/>
              <w:rPr>
                <w:b/>
                <w:bCs/>
                <w:sz w:val="26"/>
                <w:szCs w:val="26"/>
                <w:lang w:val="es-ES"/>
              </w:rPr>
            </w:pPr>
            <w:r w:rsidRPr="00EA07DC">
              <w:rPr>
                <w:b/>
                <w:bCs/>
                <w:sz w:val="26"/>
                <w:szCs w:val="26"/>
                <w:lang w:val="es-ES"/>
              </w:rPr>
              <w:t>Repercusiones financieras</w:t>
            </w:r>
          </w:p>
          <w:p w14:paraId="66ACBB5E" w14:textId="3AFE0466" w:rsidR="00F92BED" w:rsidRPr="00EA07DC" w:rsidRDefault="00614145" w:rsidP="00C4421B">
            <w:pPr>
              <w:rPr>
                <w:lang w:val="es-ES"/>
              </w:rPr>
            </w:pPr>
            <w:r>
              <w:rPr>
                <w:color w:val="000000"/>
                <w:lang w:val="es-ES"/>
              </w:rPr>
              <w:t>Con cargo al presupuesto asignado para 2026-2027.</w:t>
            </w:r>
          </w:p>
          <w:p w14:paraId="0B9CF8FE" w14:textId="77777777" w:rsidR="00FE57F6" w:rsidRPr="00EA07DC" w:rsidRDefault="00FE57F6" w:rsidP="00C4421B">
            <w:pPr>
              <w:spacing w:before="160"/>
              <w:rPr>
                <w:caps/>
                <w:sz w:val="22"/>
                <w:lang w:val="es-ES"/>
              </w:rPr>
            </w:pPr>
            <w:r w:rsidRPr="00EA07DC">
              <w:rPr>
                <w:sz w:val="22"/>
                <w:lang w:val="es-ES"/>
              </w:rPr>
              <w:t>__________________</w:t>
            </w:r>
          </w:p>
          <w:p w14:paraId="2008D4B5" w14:textId="77777777" w:rsidR="00FE57F6" w:rsidRPr="00EA07DC" w:rsidRDefault="00F24B71" w:rsidP="00C4421B">
            <w:pPr>
              <w:spacing w:before="160"/>
              <w:rPr>
                <w:b/>
                <w:bCs/>
                <w:sz w:val="26"/>
                <w:szCs w:val="26"/>
                <w:lang w:val="es-ES"/>
              </w:rPr>
            </w:pPr>
            <w:r w:rsidRPr="00EA07DC">
              <w:rPr>
                <w:b/>
                <w:bCs/>
                <w:sz w:val="26"/>
                <w:szCs w:val="26"/>
                <w:lang w:val="es-ES"/>
              </w:rPr>
              <w:t>Referencia</w:t>
            </w:r>
            <w:r w:rsidR="00F92BED" w:rsidRPr="00EA07DC">
              <w:rPr>
                <w:b/>
                <w:bCs/>
                <w:sz w:val="26"/>
                <w:szCs w:val="26"/>
                <w:lang w:val="es-ES"/>
              </w:rPr>
              <w:t>s</w:t>
            </w:r>
            <w:r w:rsidR="00D375E0" w:rsidRPr="00EA07DC">
              <w:rPr>
                <w:sz w:val="26"/>
                <w:szCs w:val="26"/>
                <w:lang w:val="es-ES"/>
              </w:rPr>
              <w:t xml:space="preserve"> </w:t>
            </w:r>
          </w:p>
          <w:p w14:paraId="0DD4F295" w14:textId="2BB1BC79" w:rsidR="00FE57F6" w:rsidRPr="00EA07DC" w:rsidRDefault="00614145" w:rsidP="00C4421B">
            <w:pPr>
              <w:spacing w:after="160"/>
              <w:rPr>
                <w:i/>
                <w:iCs/>
                <w:sz w:val="22"/>
                <w:szCs w:val="22"/>
                <w:lang w:val="es-ES"/>
              </w:rPr>
            </w:pPr>
            <w:r w:rsidRPr="00EA07DC">
              <w:rPr>
                <w:i/>
                <w:iCs/>
                <w:color w:val="000000"/>
                <w:sz w:val="22"/>
                <w:szCs w:val="22"/>
                <w:lang w:val="es-ES"/>
              </w:rPr>
              <w:t xml:space="preserve">Resolución </w:t>
            </w:r>
            <w:hyperlink r:id="rId6" w:history="1">
              <w:r w:rsidRPr="00EA07DC">
                <w:rPr>
                  <w:rStyle w:val="Hyperlink"/>
                  <w:i/>
                  <w:iCs/>
                  <w:sz w:val="22"/>
                  <w:lang w:val="es-ES"/>
                </w:rPr>
                <w:t>2 (Rev. Bucarest, 2022)</w:t>
              </w:r>
            </w:hyperlink>
            <w:r w:rsidRPr="00EA07DC">
              <w:rPr>
                <w:i/>
                <w:iCs/>
                <w:color w:val="000000"/>
                <w:sz w:val="22"/>
                <w:szCs w:val="22"/>
                <w:lang w:val="es-ES"/>
              </w:rPr>
              <w:t xml:space="preserve"> de la Conferencia de Plenipotenciarios;</w:t>
            </w:r>
            <w:r w:rsidRPr="00EA07DC">
              <w:rPr>
                <w:color w:val="000000"/>
                <w:sz w:val="22"/>
                <w:szCs w:val="22"/>
                <w:lang w:val="es-ES"/>
              </w:rPr>
              <w:t xml:space="preserve"> </w:t>
            </w:r>
            <w:r w:rsidRPr="00EA07DC">
              <w:rPr>
                <w:i/>
                <w:iCs/>
                <w:color w:val="000000"/>
                <w:sz w:val="22"/>
                <w:szCs w:val="22"/>
                <w:lang w:val="es-ES"/>
              </w:rPr>
              <w:t xml:space="preserve">Documento </w:t>
            </w:r>
            <w:hyperlink r:id="rId7" w:history="1">
              <w:r w:rsidRPr="00EA07DC">
                <w:rPr>
                  <w:rStyle w:val="Hyperlink"/>
                  <w:i/>
                  <w:iCs/>
                  <w:sz w:val="22"/>
                  <w:lang w:val="es-ES"/>
                </w:rPr>
                <w:t>207</w:t>
              </w:r>
            </w:hyperlink>
            <w:r w:rsidRPr="00EA07DC">
              <w:rPr>
                <w:i/>
                <w:iCs/>
                <w:color w:val="000000"/>
                <w:sz w:val="22"/>
                <w:szCs w:val="22"/>
                <w:lang w:val="es-ES"/>
              </w:rPr>
              <w:t xml:space="preserve"> de la Conferencia de Plenipotenciarios de 2022;</w:t>
            </w:r>
            <w:r w:rsidRPr="00EA07DC">
              <w:rPr>
                <w:color w:val="000000"/>
                <w:sz w:val="22"/>
                <w:szCs w:val="22"/>
                <w:lang w:val="es-ES"/>
              </w:rPr>
              <w:t xml:space="preserve"> </w:t>
            </w:r>
            <w:r w:rsidRPr="00EA07DC">
              <w:rPr>
                <w:i/>
                <w:iCs/>
                <w:color w:val="000000"/>
                <w:sz w:val="22"/>
                <w:szCs w:val="22"/>
                <w:lang w:val="es-ES"/>
              </w:rPr>
              <w:t xml:space="preserve">Documento </w:t>
            </w:r>
            <w:hyperlink r:id="rId8" w:history="1">
              <w:proofErr w:type="spellStart"/>
              <w:r w:rsidRPr="00EA07DC">
                <w:rPr>
                  <w:rStyle w:val="Hyperlink"/>
                  <w:i/>
                  <w:iCs/>
                  <w:sz w:val="22"/>
                  <w:lang w:val="es-ES"/>
                </w:rPr>
                <w:t>C24</w:t>
              </w:r>
              <w:proofErr w:type="spellEnd"/>
              <w:r w:rsidRPr="00EA07DC">
                <w:rPr>
                  <w:rStyle w:val="Hyperlink"/>
                  <w:i/>
                  <w:iCs/>
                  <w:sz w:val="22"/>
                  <w:lang w:val="es-ES"/>
                </w:rPr>
                <w:t>/5</w:t>
              </w:r>
            </w:hyperlink>
            <w:r w:rsidRPr="00EA07DC">
              <w:rPr>
                <w:i/>
                <w:iCs/>
                <w:color w:val="000000"/>
                <w:sz w:val="22"/>
                <w:szCs w:val="22"/>
                <w:lang w:val="es-ES"/>
              </w:rPr>
              <w:t>;</w:t>
            </w:r>
            <w:r w:rsidRPr="00EA07DC">
              <w:rPr>
                <w:color w:val="000000"/>
                <w:sz w:val="22"/>
                <w:szCs w:val="22"/>
                <w:lang w:val="es-ES"/>
              </w:rPr>
              <w:t xml:space="preserve"> </w:t>
            </w:r>
            <w:r w:rsidRPr="00EA07DC">
              <w:rPr>
                <w:i/>
                <w:iCs/>
                <w:color w:val="000000"/>
                <w:sz w:val="22"/>
                <w:szCs w:val="22"/>
                <w:lang w:val="es-ES"/>
              </w:rPr>
              <w:t xml:space="preserve">Acuerdo </w:t>
            </w:r>
            <w:hyperlink r:id="rId9" w:history="1">
              <w:r w:rsidRPr="00EA07DC">
                <w:rPr>
                  <w:rStyle w:val="Hyperlink"/>
                  <w:i/>
                  <w:iCs/>
                  <w:sz w:val="22"/>
                  <w:lang w:val="es-ES"/>
                </w:rPr>
                <w:t>641</w:t>
              </w:r>
            </w:hyperlink>
            <w:r w:rsidRPr="00EA07DC">
              <w:rPr>
                <w:i/>
                <w:iCs/>
                <w:color w:val="000000"/>
                <w:sz w:val="22"/>
                <w:szCs w:val="22"/>
                <w:lang w:val="es-ES"/>
              </w:rPr>
              <w:t xml:space="preserve"> del Consejo</w:t>
            </w:r>
          </w:p>
        </w:tc>
      </w:tr>
      <w:bookmarkEnd w:id="0"/>
    </w:tbl>
    <w:p w14:paraId="4B42134A" w14:textId="77777777" w:rsidR="00093EEB" w:rsidRPr="00EA07DC" w:rsidRDefault="00093EEB">
      <w:pPr>
        <w:rPr>
          <w:lang w:val="es-ES"/>
        </w:rPr>
      </w:pPr>
    </w:p>
    <w:p w14:paraId="40EAE1C3" w14:textId="77777777" w:rsidR="001559F5" w:rsidRPr="00EA07DC"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EA07DC">
        <w:rPr>
          <w:lang w:val="es-ES"/>
        </w:rPr>
        <w:br w:type="page"/>
      </w:r>
    </w:p>
    <w:p w14:paraId="5EFB868F" w14:textId="77777777" w:rsidR="00614145" w:rsidRPr="009C0F44" w:rsidRDefault="00614145" w:rsidP="00614145">
      <w:pPr>
        <w:pStyle w:val="Heading1"/>
        <w:rPr>
          <w:lang w:val="es-ES"/>
        </w:rPr>
      </w:pPr>
      <w:r>
        <w:rPr>
          <w:bCs/>
          <w:lang w:val="es-ES"/>
        </w:rPr>
        <w:lastRenderedPageBreak/>
        <w:t>1</w:t>
      </w:r>
      <w:r>
        <w:rPr>
          <w:lang w:val="es-ES"/>
        </w:rPr>
        <w:tab/>
      </w:r>
      <w:r>
        <w:rPr>
          <w:bCs/>
          <w:lang w:val="es-ES"/>
        </w:rPr>
        <w:t>Antecedentes</w:t>
      </w:r>
    </w:p>
    <w:p w14:paraId="7265F7BC" w14:textId="77777777" w:rsidR="00614145" w:rsidRPr="009C0F44" w:rsidRDefault="00614145" w:rsidP="00EA07DC">
      <w:pPr>
        <w:jc w:val="both"/>
        <w:rPr>
          <w:lang w:val="es-ES"/>
        </w:rPr>
      </w:pPr>
      <w:r>
        <w:rPr>
          <w:lang w:val="es-ES"/>
        </w:rPr>
        <w:t>1.1</w:t>
      </w:r>
      <w:r>
        <w:rPr>
          <w:lang w:val="es-ES"/>
        </w:rPr>
        <w:tab/>
        <w:t>El Foro Mundial de Política de las Telecomunicaciones/TIC (FMPT) de la UIT fue creado por la Conferencia de Plenipotenciarios (Kyoto, 1994) y está contemplado en las disposiciones de la Resolución 2 (Rev. Bucarest, 2022).</w:t>
      </w:r>
    </w:p>
    <w:p w14:paraId="4CDDD4B1" w14:textId="77777777" w:rsidR="00614145" w:rsidRPr="009C0F44" w:rsidRDefault="00614145" w:rsidP="00EA07DC">
      <w:pPr>
        <w:jc w:val="both"/>
        <w:rPr>
          <w:lang w:val="es-ES"/>
        </w:rPr>
      </w:pPr>
      <w:r>
        <w:rPr>
          <w:lang w:val="es-ES"/>
        </w:rPr>
        <w:t>1.2</w:t>
      </w:r>
      <w:r>
        <w:rPr>
          <w:lang w:val="es-ES"/>
        </w:rPr>
        <w:tab/>
        <w:t>De conformidad con la Resolución 2 (Rev. Bucarest, 2022), en su reunión de 2024 el Consejo aprobó el Acuerdo 641, en el que se decide convocar el séptimo FMPT (FMPT-26) durante tres días en el primer semestre de 2026, cuyas fechas y lugar de celebración se determinarán en la próxima reunión del Consejo. El Acuerdo 641 fue modificado posteriormente por la reunión de 2025 del Consejo (Acuerdo 641 (C24, modificado por última vez C25)), confirmando que el FMPT-26 se celebrará en Nassau (Bahamas), del 9 al 11 de junio de 2026, con un Diálogo Estratégico el 8 de junio de 2026.</w:t>
      </w:r>
    </w:p>
    <w:p w14:paraId="75356BA1" w14:textId="77777777" w:rsidR="00614145" w:rsidRPr="009C0F44" w:rsidRDefault="00614145" w:rsidP="00EA07DC">
      <w:pPr>
        <w:jc w:val="both"/>
        <w:rPr>
          <w:lang w:val="es-ES"/>
        </w:rPr>
      </w:pPr>
      <w:r>
        <w:rPr>
          <w:lang w:val="es-ES"/>
        </w:rPr>
        <w:t>1.3</w:t>
      </w:r>
      <w:r>
        <w:rPr>
          <w:lang w:val="es-ES"/>
        </w:rPr>
        <w:tab/>
        <w:t>En su Acuerdo 641, el Consejo decidió que el tema del FMPT-26 sea el siguiente:</w:t>
      </w:r>
    </w:p>
    <w:p w14:paraId="1D6EFDD2" w14:textId="77777777" w:rsidR="00614145" w:rsidRPr="009C0F44" w:rsidRDefault="00614145" w:rsidP="00EA07DC">
      <w:pPr>
        <w:pStyle w:val="enumlev1"/>
        <w:jc w:val="both"/>
        <w:rPr>
          <w:lang w:val="es-ES"/>
        </w:rPr>
      </w:pPr>
      <w:r>
        <w:rPr>
          <w:lang w:val="es-ES"/>
        </w:rPr>
        <w:tab/>
        <w:t>"</w:t>
      </w:r>
      <w:r>
        <w:rPr>
          <w:b/>
          <w:bCs/>
          <w:lang w:val="es-ES"/>
        </w:rPr>
        <w:t>Acelerar un futuro digital inclusivo, sostenible, resiliente e innovador</w:t>
      </w:r>
      <w:r>
        <w:rPr>
          <w:lang w:val="es-ES"/>
        </w:rPr>
        <w:t>: A este respecto, el FMPT-26 examinará las oportunidades, los retos y las políticas para abordar los siguientes aspectos:</w:t>
      </w:r>
    </w:p>
    <w:p w14:paraId="460C1E5B" w14:textId="7BC28606" w:rsidR="00614145" w:rsidRPr="009C0F44" w:rsidRDefault="00614145" w:rsidP="00EA07DC">
      <w:pPr>
        <w:pStyle w:val="enumlev2"/>
        <w:jc w:val="both"/>
        <w:rPr>
          <w:lang w:val="es-ES"/>
        </w:rPr>
      </w:pPr>
      <w:r>
        <w:rPr>
          <w:lang w:val="es-ES"/>
        </w:rPr>
        <w:t>–</w:t>
      </w:r>
      <w:r>
        <w:rPr>
          <w:lang w:val="es-ES"/>
        </w:rPr>
        <w:tab/>
        <w:t>la reducción de las brechas digitales, en particular respecto del género y la edad, así como de las competencias y la conectividad</w:t>
      </w:r>
      <w:r w:rsidR="00C91B52">
        <w:rPr>
          <w:lang w:val="es-ES"/>
        </w:rPr>
        <w:t>;</w:t>
      </w:r>
    </w:p>
    <w:p w14:paraId="59F56452" w14:textId="709C9C9F" w:rsidR="00614145" w:rsidRPr="009C0F44" w:rsidRDefault="00614145" w:rsidP="00EA07DC">
      <w:pPr>
        <w:pStyle w:val="enumlev2"/>
        <w:jc w:val="both"/>
        <w:rPr>
          <w:lang w:val="es-ES"/>
        </w:rPr>
      </w:pPr>
      <w:r>
        <w:rPr>
          <w:lang w:val="es-ES"/>
        </w:rPr>
        <w:t>–</w:t>
      </w:r>
      <w:r>
        <w:rPr>
          <w:lang w:val="es-ES"/>
        </w:rPr>
        <w:tab/>
        <w:t>la transformación digital ecológica: El cambio climático y la sostenibilidad ambiental</w:t>
      </w:r>
      <w:r w:rsidR="00C91B52">
        <w:rPr>
          <w:lang w:val="es-ES"/>
        </w:rPr>
        <w:t>;</w:t>
      </w:r>
    </w:p>
    <w:p w14:paraId="361680C5" w14:textId="4331771F" w:rsidR="00614145" w:rsidRPr="009C0F44" w:rsidRDefault="00614145" w:rsidP="00EA07DC">
      <w:pPr>
        <w:pStyle w:val="enumlev2"/>
        <w:jc w:val="both"/>
        <w:rPr>
          <w:lang w:val="es-ES"/>
        </w:rPr>
      </w:pPr>
      <w:r>
        <w:rPr>
          <w:lang w:val="es-ES"/>
        </w:rPr>
        <w:t>–</w:t>
      </w:r>
      <w:r>
        <w:rPr>
          <w:lang w:val="es-ES"/>
        </w:rPr>
        <w:tab/>
        <w:t>la resiliencia de las telecomunicaciones/TIC</w:t>
      </w:r>
      <w:r w:rsidR="00C91B52">
        <w:rPr>
          <w:lang w:val="es-ES"/>
        </w:rPr>
        <w:t>;</w:t>
      </w:r>
    </w:p>
    <w:p w14:paraId="1856DD63" w14:textId="5BB3C7BC" w:rsidR="00614145" w:rsidRPr="009C0F44" w:rsidRDefault="00614145" w:rsidP="00EA07DC">
      <w:pPr>
        <w:pStyle w:val="enumlev2"/>
        <w:jc w:val="both"/>
        <w:rPr>
          <w:lang w:val="es-ES"/>
        </w:rPr>
      </w:pPr>
      <w:r>
        <w:rPr>
          <w:lang w:val="es-ES"/>
        </w:rPr>
        <w:t>–</w:t>
      </w:r>
      <w:r>
        <w:rPr>
          <w:lang w:val="es-ES"/>
        </w:rPr>
        <w:tab/>
        <w:t>la conectividad espacial</w:t>
      </w:r>
      <w:r w:rsidR="00C91B52">
        <w:rPr>
          <w:lang w:val="es-ES"/>
        </w:rPr>
        <w:t>;</w:t>
      </w:r>
    </w:p>
    <w:p w14:paraId="5777CDF2" w14:textId="47CC2563" w:rsidR="00614145" w:rsidRPr="009C0F44" w:rsidRDefault="00614145" w:rsidP="00EA07DC">
      <w:pPr>
        <w:pStyle w:val="enumlev2"/>
        <w:jc w:val="both"/>
        <w:rPr>
          <w:lang w:val="es-ES"/>
        </w:rPr>
      </w:pPr>
      <w:r>
        <w:rPr>
          <w:lang w:val="es-ES"/>
        </w:rPr>
        <w:t>–</w:t>
      </w:r>
      <w:r>
        <w:rPr>
          <w:lang w:val="es-ES"/>
        </w:rPr>
        <w:tab/>
        <w:t>el fortalecimiento de las iniciativas empresariales y los ecosistemas de innovación centrados en las TIC"</w:t>
      </w:r>
      <w:r w:rsidR="00C91B52">
        <w:rPr>
          <w:lang w:val="es-ES"/>
        </w:rPr>
        <w:t>.</w:t>
      </w:r>
    </w:p>
    <w:p w14:paraId="2A24927C" w14:textId="77777777" w:rsidR="00614145" w:rsidRPr="009C0F44" w:rsidRDefault="00614145" w:rsidP="00614145">
      <w:pPr>
        <w:pStyle w:val="Heading1"/>
        <w:rPr>
          <w:lang w:val="es-ES"/>
        </w:rPr>
      </w:pPr>
      <w:r>
        <w:rPr>
          <w:bCs/>
          <w:lang w:val="es-ES"/>
        </w:rPr>
        <w:t>2</w:t>
      </w:r>
      <w:r>
        <w:rPr>
          <w:lang w:val="es-ES"/>
        </w:rPr>
        <w:tab/>
      </w:r>
      <w:r>
        <w:rPr>
          <w:bCs/>
          <w:lang w:val="es-ES"/>
        </w:rPr>
        <w:t>Proceso preparatorio para el FMPT-26</w:t>
      </w:r>
    </w:p>
    <w:p w14:paraId="58146328" w14:textId="4488D115" w:rsidR="00614145" w:rsidRPr="00EA07DC" w:rsidRDefault="00614145" w:rsidP="00EA07DC">
      <w:pPr>
        <w:jc w:val="both"/>
        <w:rPr>
          <w:spacing w:val="-2"/>
          <w:lang w:val="es-ES"/>
        </w:rPr>
      </w:pPr>
      <w:r w:rsidRPr="00EA07DC">
        <w:rPr>
          <w:spacing w:val="-2"/>
          <w:lang w:val="es-ES"/>
        </w:rPr>
        <w:t>2.1</w:t>
      </w:r>
      <w:r w:rsidRPr="00EA07DC">
        <w:rPr>
          <w:spacing w:val="-2"/>
          <w:lang w:val="es-ES"/>
        </w:rPr>
        <w:tab/>
        <w:t>De conformidad con el Acuerdo 641, la Secretaria General de la UIT convocó un Grupo Informal de Expertos (GIE-FMPT-26) para preparar el Informe de la Secretaria General al FMPT-26 (Informe de la Secretaria General), que servirá de base para los debates del FMPT</w:t>
      </w:r>
      <w:r w:rsidR="00C91B52" w:rsidRPr="00EA07DC">
        <w:rPr>
          <w:spacing w:val="-2"/>
          <w:lang w:val="es-ES"/>
        </w:rPr>
        <w:noBreakHyphen/>
      </w:r>
      <w:r w:rsidRPr="00EA07DC">
        <w:rPr>
          <w:spacing w:val="-2"/>
          <w:lang w:val="es-ES"/>
        </w:rPr>
        <w:t>26. El Consejo de 2024 nombró al Sr. Rodney Taylor de Barbados Presidente del GIE, así como a seis Vicepresidentes en representación de cada una de las regiones de la UIT. Se invitó a los Estados Miembros, Miembros de Sector, Asociados e Instituciones Académicas, así como al Estado de Palestina y a las organizaciones que tienen derecho a asistir a las conferencias y reuniones de la UIT en calidad de observadores, a nombrar a sus expertos para el GIE-FMPT-26.</w:t>
      </w:r>
    </w:p>
    <w:p w14:paraId="212CD3A5" w14:textId="77777777" w:rsidR="00614145" w:rsidRPr="009C0F44" w:rsidRDefault="00614145" w:rsidP="00EA07DC">
      <w:pPr>
        <w:jc w:val="both"/>
        <w:rPr>
          <w:lang w:val="es-ES"/>
        </w:rPr>
      </w:pPr>
      <w:r>
        <w:rPr>
          <w:lang w:val="es-ES"/>
        </w:rPr>
        <w:t>2.2</w:t>
      </w:r>
      <w:r>
        <w:rPr>
          <w:lang w:val="es-ES"/>
        </w:rPr>
        <w:tab/>
        <w:t>El GIE ha celebrado cuatro reuniones:</w:t>
      </w:r>
    </w:p>
    <w:p w14:paraId="4FC019D0" w14:textId="3256D210" w:rsidR="00614145" w:rsidRPr="009C0F44" w:rsidRDefault="00614145" w:rsidP="00EA07DC">
      <w:pPr>
        <w:pStyle w:val="enumlev1"/>
        <w:jc w:val="both"/>
        <w:rPr>
          <w:lang w:val="es-ES"/>
        </w:rPr>
      </w:pPr>
      <w:r>
        <w:rPr>
          <w:i/>
          <w:iCs/>
          <w:lang w:val="es-ES"/>
        </w:rPr>
        <w:t>–</w:t>
      </w:r>
      <w:r>
        <w:rPr>
          <w:lang w:val="es-ES"/>
        </w:rPr>
        <w:tab/>
        <w:t>Primera reunión: 7-8 de octubre de 2024, Sede de la UIT</w:t>
      </w:r>
      <w:r w:rsidR="00C91B52">
        <w:rPr>
          <w:lang w:val="es-ES"/>
        </w:rPr>
        <w:t>.</w:t>
      </w:r>
    </w:p>
    <w:p w14:paraId="17AB153C" w14:textId="47C56CA7" w:rsidR="00614145" w:rsidRPr="009C0F44" w:rsidRDefault="00614145" w:rsidP="00EA07DC">
      <w:pPr>
        <w:pStyle w:val="enumlev1"/>
        <w:jc w:val="both"/>
        <w:rPr>
          <w:lang w:val="es-ES"/>
        </w:rPr>
      </w:pPr>
      <w:r>
        <w:rPr>
          <w:i/>
          <w:iCs/>
          <w:lang w:val="es-ES"/>
        </w:rPr>
        <w:t>–</w:t>
      </w:r>
      <w:r>
        <w:rPr>
          <w:lang w:val="es-ES"/>
        </w:rPr>
        <w:tab/>
        <w:t>Segunda reunión: 13-14 de febrero de 2025, Sede de la UIT</w:t>
      </w:r>
      <w:r w:rsidR="00C91B52">
        <w:rPr>
          <w:lang w:val="es-ES"/>
        </w:rPr>
        <w:t>.</w:t>
      </w:r>
    </w:p>
    <w:p w14:paraId="195A5C04" w14:textId="7BE62F63" w:rsidR="00614145" w:rsidRPr="009C0F44" w:rsidRDefault="00614145" w:rsidP="00EA07DC">
      <w:pPr>
        <w:pStyle w:val="enumlev1"/>
        <w:jc w:val="both"/>
        <w:rPr>
          <w:lang w:val="es-ES"/>
        </w:rPr>
      </w:pPr>
      <w:r>
        <w:rPr>
          <w:i/>
          <w:iCs/>
          <w:lang w:val="es-ES"/>
        </w:rPr>
        <w:t>–</w:t>
      </w:r>
      <w:r>
        <w:rPr>
          <w:lang w:val="es-ES"/>
        </w:rPr>
        <w:tab/>
        <w:t>Tercera reunión: 17-19 de septiembre de 2025, Sede de la UIT</w:t>
      </w:r>
      <w:r w:rsidR="00C91B52">
        <w:rPr>
          <w:lang w:val="es-ES"/>
        </w:rPr>
        <w:t>.</w:t>
      </w:r>
    </w:p>
    <w:p w14:paraId="3A88C84A" w14:textId="77777777" w:rsidR="00614145" w:rsidRPr="009C0F44" w:rsidRDefault="00614145" w:rsidP="00EA07DC">
      <w:pPr>
        <w:pStyle w:val="enumlev1"/>
        <w:jc w:val="both"/>
        <w:rPr>
          <w:lang w:val="es-ES"/>
        </w:rPr>
      </w:pPr>
      <w:r>
        <w:rPr>
          <w:i/>
          <w:iCs/>
          <w:lang w:val="es-ES"/>
        </w:rPr>
        <w:t>–</w:t>
      </w:r>
      <w:r>
        <w:rPr>
          <w:lang w:val="es-ES"/>
        </w:rPr>
        <w:tab/>
        <w:t>Cuarta reunión: 21-23 de enero de 2026, Sede de la UIT.</w:t>
      </w:r>
    </w:p>
    <w:p w14:paraId="2C78999F" w14:textId="77777777" w:rsidR="00614145" w:rsidRPr="006011C1" w:rsidRDefault="00614145" w:rsidP="00EA07DC">
      <w:pPr>
        <w:keepNext/>
        <w:keepLines/>
        <w:jc w:val="both"/>
        <w:rPr>
          <w:spacing w:val="-2"/>
          <w:lang w:val="es-ES"/>
        </w:rPr>
      </w:pPr>
      <w:r w:rsidRPr="006011C1">
        <w:rPr>
          <w:spacing w:val="-2"/>
          <w:lang w:val="es-ES"/>
        </w:rPr>
        <w:lastRenderedPageBreak/>
        <w:t>En su primera y segunda reunión, el GIE examinó los sucesivos proyectos de Informe de la SG y los posibles proyectos de Opinión, y facilitó los debates temáticos de los siguientes Vicepresidentes:</w:t>
      </w:r>
    </w:p>
    <w:p w14:paraId="29AA4154" w14:textId="59AE469A" w:rsidR="00614145" w:rsidRPr="009C0F44" w:rsidRDefault="00614145" w:rsidP="00EA07DC">
      <w:pPr>
        <w:pStyle w:val="enumlev1"/>
        <w:jc w:val="both"/>
        <w:rPr>
          <w:lang w:val="es-ES"/>
        </w:rPr>
      </w:pPr>
      <w:r>
        <w:rPr>
          <w:i/>
          <w:iCs/>
          <w:lang w:val="es-ES"/>
        </w:rPr>
        <w:t>–</w:t>
      </w:r>
      <w:r>
        <w:rPr>
          <w:lang w:val="es-ES"/>
        </w:rPr>
        <w:tab/>
        <w:t>Reducción de las brechas digitales, liderado por el Vicepresidente, Sr. Ashok Kumar (India)</w:t>
      </w:r>
      <w:r w:rsidR="00C91B52">
        <w:rPr>
          <w:lang w:val="es-ES"/>
        </w:rPr>
        <w:t>.</w:t>
      </w:r>
    </w:p>
    <w:p w14:paraId="039901D2" w14:textId="1A9E178C" w:rsidR="00614145" w:rsidRPr="009C0F44" w:rsidRDefault="00614145" w:rsidP="00EA07DC">
      <w:pPr>
        <w:pStyle w:val="enumlev1"/>
        <w:jc w:val="both"/>
        <w:rPr>
          <w:lang w:val="es-ES"/>
        </w:rPr>
      </w:pPr>
      <w:r>
        <w:rPr>
          <w:i/>
          <w:iCs/>
          <w:lang w:val="es-ES"/>
        </w:rPr>
        <w:t>–</w:t>
      </w:r>
      <w:r>
        <w:rPr>
          <w:lang w:val="es-ES"/>
        </w:rPr>
        <w:tab/>
        <w:t>Transformación digital ecológica, liderado por el Vicepresidente, Sr. Muath Alrumayh (Arabia Saudita)</w:t>
      </w:r>
      <w:r w:rsidR="00C91B52">
        <w:rPr>
          <w:lang w:val="es-ES"/>
        </w:rPr>
        <w:t>.</w:t>
      </w:r>
    </w:p>
    <w:p w14:paraId="1FE781A6" w14:textId="3D89CB4D" w:rsidR="00614145" w:rsidRPr="009C0F44" w:rsidRDefault="00614145" w:rsidP="00EA07DC">
      <w:pPr>
        <w:pStyle w:val="enumlev1"/>
        <w:jc w:val="both"/>
        <w:rPr>
          <w:lang w:val="es-ES"/>
        </w:rPr>
      </w:pPr>
      <w:r>
        <w:rPr>
          <w:i/>
          <w:iCs/>
          <w:lang w:val="es-ES"/>
        </w:rPr>
        <w:t>–</w:t>
      </w:r>
      <w:r>
        <w:rPr>
          <w:lang w:val="es-ES"/>
        </w:rPr>
        <w:tab/>
        <w:t>Creación de infraestructuras de telecomunicaciones/TIC resilientes, liderado por el Vicepresidente, Sr. Dominic Ooko (Kenya)</w:t>
      </w:r>
      <w:r w:rsidR="00C91B52">
        <w:rPr>
          <w:lang w:val="es-ES"/>
        </w:rPr>
        <w:t>.</w:t>
      </w:r>
    </w:p>
    <w:p w14:paraId="0F65852A" w14:textId="11EC0132" w:rsidR="00614145" w:rsidRPr="009C0F44" w:rsidRDefault="00614145" w:rsidP="00EA07DC">
      <w:pPr>
        <w:pStyle w:val="enumlev1"/>
        <w:jc w:val="both"/>
        <w:rPr>
          <w:lang w:val="es-ES"/>
        </w:rPr>
      </w:pPr>
      <w:r>
        <w:rPr>
          <w:i/>
          <w:iCs/>
          <w:lang w:val="es-ES"/>
        </w:rPr>
        <w:t>–</w:t>
      </w:r>
      <w:r>
        <w:rPr>
          <w:lang w:val="es-ES"/>
        </w:rPr>
        <w:tab/>
        <w:t>Conectividad espacial, liderado por el Facilitador temático, Sr. Ronaldo Neves de Moura Filho (Brasil)</w:t>
      </w:r>
      <w:r w:rsidR="00C91B52">
        <w:rPr>
          <w:lang w:val="es-ES"/>
        </w:rPr>
        <w:t>.</w:t>
      </w:r>
    </w:p>
    <w:p w14:paraId="44B25727" w14:textId="77777777" w:rsidR="00614145" w:rsidRPr="009C0F44" w:rsidRDefault="00614145" w:rsidP="00EA07DC">
      <w:pPr>
        <w:pStyle w:val="enumlev1"/>
        <w:jc w:val="both"/>
        <w:rPr>
          <w:lang w:val="es-ES"/>
        </w:rPr>
      </w:pPr>
      <w:r>
        <w:rPr>
          <w:i/>
          <w:iCs/>
          <w:lang w:val="es-ES"/>
        </w:rPr>
        <w:t>–</w:t>
      </w:r>
      <w:r>
        <w:rPr>
          <w:lang w:val="es-ES"/>
        </w:rPr>
        <w:tab/>
        <w:t>Fortalecimiento de los ecosistemas de innovación centrados en las TIC, dirigido por el Vicepresidente, Sr. Tobias Kaufman (Alemania).</w:t>
      </w:r>
    </w:p>
    <w:p w14:paraId="08C6442B" w14:textId="77777777" w:rsidR="00614145" w:rsidRPr="009C0F44" w:rsidRDefault="00614145" w:rsidP="00EA07DC">
      <w:pPr>
        <w:jc w:val="both"/>
        <w:rPr>
          <w:lang w:val="es-ES"/>
        </w:rPr>
      </w:pPr>
      <w:r>
        <w:rPr>
          <w:lang w:val="es-ES"/>
        </w:rPr>
        <w:t>2.3</w:t>
      </w:r>
      <w:r>
        <w:rPr>
          <w:lang w:val="es-ES"/>
        </w:rPr>
        <w:tab/>
        <w:t>Entre la segunda y la tercera reunión del GIE, cada una de las cinco áreas temáticas se siguió desarrollando a través de una serie de consultas informales en línea dirigidas por los respectivos Vicepresidentes y el Facilitador temático. La Secretaría elaboró un tercer proyecto de Informe de la SG, que se publicó en marzo de 2025, incluido el texto de los posibles proyectos de Opinión como anexo, para recibir contribuciones de los miembros del GIE y mediante una segunda consulta pública abierta.</w:t>
      </w:r>
    </w:p>
    <w:p w14:paraId="3931E6A9" w14:textId="77777777" w:rsidR="00614145" w:rsidRPr="009C0F44" w:rsidRDefault="00614145" w:rsidP="00EA07DC">
      <w:pPr>
        <w:jc w:val="both"/>
        <w:rPr>
          <w:lang w:val="es-ES"/>
        </w:rPr>
      </w:pPr>
      <w:r>
        <w:rPr>
          <w:lang w:val="es-ES"/>
        </w:rPr>
        <w:t>2.4</w:t>
      </w:r>
      <w:r>
        <w:rPr>
          <w:lang w:val="es-ES"/>
        </w:rPr>
        <w:tab/>
        <w:t>En su tercera reunión, el GIE examinó el tercer proyecto de Informe de la SG, así como los proyectos de Opinión y los comentarios recibidos, incluidos los de la consulta pública abierta. El 16 de junio de 2025, el Presidente publicó un Informe del Presidente que contenía cinco proyectos de Opinión básicos consolidados, y se estableció un plazo provisional hasta el 7 de agosto de 2025 para comentarios adicionales por escrito sobre los proyectos de Opinión.</w:t>
      </w:r>
    </w:p>
    <w:p w14:paraId="4A6AAE58" w14:textId="6D4B73EE" w:rsidR="00614145" w:rsidRPr="006011C1" w:rsidRDefault="00614145" w:rsidP="00EA07DC">
      <w:pPr>
        <w:jc w:val="both"/>
        <w:rPr>
          <w:rFonts w:cstheme="minorBidi"/>
          <w:spacing w:val="-2"/>
          <w:lang w:val="es-ES"/>
        </w:rPr>
      </w:pPr>
      <w:r w:rsidRPr="006011C1">
        <w:rPr>
          <w:spacing w:val="-2"/>
          <w:lang w:val="es-ES"/>
        </w:rPr>
        <w:t>2.5</w:t>
      </w:r>
      <w:r w:rsidRPr="006011C1">
        <w:rPr>
          <w:spacing w:val="-2"/>
          <w:lang w:val="es-ES"/>
        </w:rPr>
        <w:tab/>
        <w:t xml:space="preserve">El GIE celebró su cuarta y última reunión formal del 21 al 23 de enero de 2026, durante la serie de reuniones de los Grupos de Trabajo y Grupos de Expertos del Consejo. En el calendario original que figura en el Anexo 2 al Acuerdo 641 se preveía la conclusión de los trabajos del GIE en la cuarta reunión y se indicaba el plazo del 13 de abril para la publicación del Informe de la Secretaria General y las Opiniones anexas. Sin embargo, dos proyectos de Opinión necesitaron más tiempo debido al volumen y fondo de las cuestiones planteadas por los miembros del GIE en cada área temática. En consecuencia, los miembros del GIE acordaron celebrar tres reuniones informales de seguimiento para finalizar los dos proyectos de Opinión restantes y el Informe de la SG. Entre ellas cabe citar las reuniones virtuales informales celebradas los días 24 de febrero y 24 de marzo de 2026, y una reunión presencial informal con participación a distancia el 26 de abril de 2026, justo antes del Consejo de la UIT. El GIE prevé concluir sus trabajos en la reunión del 26 de abril, tras lo cual se publicará el Informe de la Secretaria General, incluidos los cinco proyectos de Opinión como anexos, como documento de contribución al FMPT-26. El Informe de la Secretaria General, incluidos los cinco proyectos de Opinión como anexos, estará disponible en el sitio web del FMPT-26 en la dirección </w:t>
      </w:r>
      <w:hyperlink r:id="rId10" w:history="1">
        <w:r w:rsidRPr="006011C1">
          <w:rPr>
            <w:rStyle w:val="Hyperlink"/>
            <w:spacing w:val="-2"/>
            <w:lang w:val="es-ES"/>
          </w:rPr>
          <w:t>wtpf.itu.int/2026</w:t>
        </w:r>
      </w:hyperlink>
      <w:r w:rsidRPr="006011C1">
        <w:rPr>
          <w:spacing w:val="-2"/>
          <w:lang w:val="es-ES"/>
        </w:rPr>
        <w:t>.</w:t>
      </w:r>
      <w:hyperlink r:id="rId11"/>
    </w:p>
    <w:p w14:paraId="79AF54B6" w14:textId="77777777" w:rsidR="00614145" w:rsidRPr="008E0096" w:rsidRDefault="00614145" w:rsidP="00EA07DC">
      <w:pPr>
        <w:jc w:val="both"/>
        <w:rPr>
          <w:rFonts w:cstheme="minorBidi"/>
          <w:lang w:val="es-ES"/>
        </w:rPr>
      </w:pPr>
      <w:r>
        <w:rPr>
          <w:lang w:val="es-ES"/>
        </w:rPr>
        <w:t>2.6</w:t>
      </w:r>
      <w:r>
        <w:rPr>
          <w:lang w:val="es-ES"/>
        </w:rPr>
        <w:tab/>
        <w:t xml:space="preserve">Siguiendo la práctica habitual, en la Carta Circular </w:t>
      </w:r>
      <w:hyperlink r:id="rId12" w:history="1">
        <w:r w:rsidRPr="005E3936">
          <w:rPr>
            <w:rStyle w:val="Hyperlink"/>
            <w:lang w:val="es-ES"/>
          </w:rPr>
          <w:t>CL-26/7</w:t>
        </w:r>
      </w:hyperlink>
      <w:r>
        <w:rPr>
          <w:lang w:val="es-ES"/>
        </w:rPr>
        <w:t xml:space="preserve"> (13 de febrero de 2026) se invitó a los Estados Miembros y Miembros de Sector a presentar candidaturas a la Presidencia y seis Vicepresidencias del Foro, así como a las Presidencias y Vicepresidencias de los cinco Grupos de Trabajo de la Plenaria, antes del 20 de abril de 2026.</w:t>
      </w:r>
      <w:hyperlink r:id="rId13"/>
    </w:p>
    <w:p w14:paraId="5651B5CA" w14:textId="18C3D112" w:rsidR="00614145" w:rsidRPr="008E0096" w:rsidRDefault="00614145" w:rsidP="00EA07DC">
      <w:pPr>
        <w:jc w:val="both"/>
        <w:rPr>
          <w:lang w:val="es-ES"/>
        </w:rPr>
      </w:pPr>
      <w:r>
        <w:rPr>
          <w:lang w:val="es-ES"/>
        </w:rPr>
        <w:lastRenderedPageBreak/>
        <w:t>2.7</w:t>
      </w:r>
      <w:r>
        <w:rPr>
          <w:lang w:val="es-ES"/>
        </w:rPr>
        <w:tab/>
        <w:t xml:space="preserve">Todos los documentos relacionados con el proceso preparatorio están disponibles en el sitio web del GIE en </w:t>
      </w:r>
      <w:hyperlink r:id="rId14" w:anchor="/es" w:history="1">
        <w:r w:rsidR="00C91B52">
          <w:rPr>
            <w:rStyle w:val="Hyperlink"/>
            <w:lang w:val="es-ES"/>
          </w:rPr>
          <w:t>https://www.itu.int/en/council/Pages/ieg-wtpf-26.aspx#/es</w:t>
        </w:r>
      </w:hyperlink>
      <w:r>
        <w:rPr>
          <w:lang w:val="es-ES"/>
        </w:rPr>
        <w:t>. Entre ellos figuran los diversos proyectos de Informe de la SG, las contribuciones recibidas de los miembros del GIE y los comentarios del proceso de consulta pública abierta. Se ha creado un reflector de correo electrónico (</w:t>
      </w:r>
      <w:hyperlink r:id="rId15" w:history="1">
        <w:r w:rsidRPr="007B76D2">
          <w:rPr>
            <w:rStyle w:val="Hyperlink"/>
            <w:lang w:val="es-ES"/>
          </w:rPr>
          <w:t>iegwtpf26@lists.itu.int</w:t>
        </w:r>
      </w:hyperlink>
      <w:r>
        <w:rPr>
          <w:lang w:val="es-ES"/>
        </w:rPr>
        <w:t>) para facilitar las comunicaciones entre los miembros del Grupo entre reuniones.</w:t>
      </w:r>
      <w:hyperlink r:id="rId16" w:history="1"/>
      <w:hyperlink r:id="rId17" w:history="1"/>
    </w:p>
    <w:p w14:paraId="17B7E0F9" w14:textId="77777777" w:rsidR="00614145" w:rsidRPr="009C0F44" w:rsidRDefault="00614145" w:rsidP="00C91B52">
      <w:pPr>
        <w:pStyle w:val="Heading1"/>
        <w:rPr>
          <w:lang w:val="es-ES"/>
        </w:rPr>
      </w:pPr>
      <w:r>
        <w:rPr>
          <w:bCs/>
          <w:lang w:val="es-ES"/>
        </w:rPr>
        <w:t>3</w:t>
      </w:r>
      <w:r>
        <w:rPr>
          <w:lang w:val="es-ES"/>
        </w:rPr>
        <w:tab/>
      </w:r>
      <w:r>
        <w:rPr>
          <w:bCs/>
          <w:lang w:val="es-ES"/>
        </w:rPr>
        <w:t>Organización del FMPT-26 y lugar de celebración</w:t>
      </w:r>
    </w:p>
    <w:p w14:paraId="043E7B17" w14:textId="77777777" w:rsidR="00614145" w:rsidRPr="009C0F44" w:rsidRDefault="00614145" w:rsidP="00EA07DC">
      <w:pPr>
        <w:jc w:val="both"/>
        <w:rPr>
          <w:lang w:val="es-ES"/>
        </w:rPr>
      </w:pPr>
      <w:r>
        <w:rPr>
          <w:lang w:val="es-ES"/>
        </w:rPr>
        <w:t>3.1</w:t>
      </w:r>
      <w:r>
        <w:rPr>
          <w:lang w:val="es-ES"/>
        </w:rPr>
        <w:tab/>
        <w:t>El FMPT-26 se celebrará en el Atlantis Paradise Island Resort, Nassau (Bahamas), del 9 al 11 de junio de 2026. El 8 de junio de 2026 se celebrará un Diálogo Estratégico, coorganizado con el Gobierno del Commonwealth de las Bahamas.</w:t>
      </w:r>
    </w:p>
    <w:p w14:paraId="6C04D188" w14:textId="0766D768" w:rsidR="00614145" w:rsidRPr="008E0096" w:rsidRDefault="00614145" w:rsidP="00EA07DC">
      <w:pPr>
        <w:jc w:val="both"/>
        <w:rPr>
          <w:rFonts w:cstheme="minorHAnsi"/>
          <w:szCs w:val="24"/>
          <w:lang w:val="es-ES"/>
        </w:rPr>
      </w:pPr>
      <w:r>
        <w:rPr>
          <w:lang w:val="es-ES"/>
        </w:rPr>
        <w:t>3.2</w:t>
      </w:r>
      <w:r>
        <w:rPr>
          <w:lang w:val="es-ES"/>
        </w:rPr>
        <w:tab/>
        <w:t xml:space="preserve">El sitio web del FMPT-26, que contiene toda la información relacionada con el Foro y el proceso preparatorio, está disponible en wtpf.itu.int/2026. Las </w:t>
      </w:r>
      <w:hyperlink r:id="rId18" w:history="1">
        <w:r w:rsidRPr="008730F1">
          <w:rPr>
            <w:rStyle w:val="Hyperlink"/>
            <w:lang w:val="es-ES"/>
          </w:rPr>
          <w:t>inscripciones</w:t>
        </w:r>
      </w:hyperlink>
      <w:r>
        <w:rPr>
          <w:lang w:val="es-ES"/>
        </w:rPr>
        <w:t xml:space="preserve"> para el Foro están abiertas. El sitio web oficial del país anfitrión, que contiene información sobre solicitudes de visado, alojamiento en hoteles y otras disposiciones logísticas, está disponible en </w:t>
      </w:r>
      <w:hyperlink r:id="rId19" w:history="1">
        <w:r w:rsidRPr="00766968">
          <w:rPr>
            <w:rStyle w:val="Hyperlink"/>
            <w:lang w:val="es-ES"/>
          </w:rPr>
          <w:t>wtpf26bahamas.com</w:t>
        </w:r>
      </w:hyperlink>
      <w:r>
        <w:rPr>
          <w:lang w:val="es-ES"/>
        </w:rPr>
        <w:t>. Los delegados podrán alojarse en el lugar de celebración del Foro</w:t>
      </w:r>
      <w:r w:rsidR="00C91B52">
        <w:rPr>
          <w:lang w:val="es-ES"/>
        </w:rPr>
        <w:t>.</w:t>
      </w:r>
      <w:hyperlink r:id="rId20"/>
      <w:hyperlink r:id="rId21" w:history="1"/>
      <w:hyperlink r:id="rId22"/>
    </w:p>
    <w:p w14:paraId="0FE746BF" w14:textId="77777777" w:rsidR="00614145" w:rsidRPr="009C0F44" w:rsidRDefault="00614145" w:rsidP="00EA07DC">
      <w:pPr>
        <w:jc w:val="both"/>
        <w:rPr>
          <w:rFonts w:cstheme="minorHAnsi"/>
          <w:szCs w:val="24"/>
          <w:lang w:val="es-ES"/>
        </w:rPr>
      </w:pPr>
      <w:r>
        <w:rPr>
          <w:lang w:val="es-ES"/>
        </w:rPr>
        <w:t>3.3</w:t>
      </w:r>
      <w:r>
        <w:rPr>
          <w:lang w:val="es-ES"/>
        </w:rPr>
        <w:tab/>
        <w:t>Se han publicado las siguientes Cartas Circulares en relación con el FMPT-26:</w:t>
      </w:r>
    </w:p>
    <w:p w14:paraId="3691B613" w14:textId="27C850F8" w:rsidR="00614145" w:rsidRPr="008E0096" w:rsidRDefault="00614145" w:rsidP="00EA07DC">
      <w:pPr>
        <w:pStyle w:val="enumlev1"/>
        <w:jc w:val="both"/>
        <w:rPr>
          <w:rFonts w:asciiTheme="minorHAnsi" w:hAnsiTheme="minorHAnsi" w:cstheme="minorHAnsi"/>
          <w:lang w:val="es-ES"/>
        </w:rPr>
      </w:pPr>
      <w:r>
        <w:rPr>
          <w:i/>
          <w:iCs/>
          <w:lang w:val="es-ES"/>
        </w:rPr>
        <w:t>–</w:t>
      </w:r>
      <w:r>
        <w:rPr>
          <w:lang w:val="es-ES"/>
        </w:rPr>
        <w:tab/>
        <w:t xml:space="preserve">Carta Circular </w:t>
      </w:r>
      <w:hyperlink r:id="rId23" w:history="1">
        <w:r w:rsidRPr="005A370D">
          <w:rPr>
            <w:rStyle w:val="Hyperlink"/>
            <w:lang w:val="es-ES"/>
          </w:rPr>
          <w:t>CL-25/56</w:t>
        </w:r>
      </w:hyperlink>
      <w:r>
        <w:rPr>
          <w:lang w:val="es-ES"/>
        </w:rPr>
        <w:t>: Invitación al FMPT-26</w:t>
      </w:r>
      <w:r w:rsidR="00500168">
        <w:rPr>
          <w:lang w:val="es-ES"/>
        </w:rPr>
        <w:t>.</w:t>
      </w:r>
      <w:hyperlink r:id="rId24" w:history="1"/>
    </w:p>
    <w:p w14:paraId="0F02C295" w14:textId="4AD707B8" w:rsidR="00614145" w:rsidRPr="008E0096" w:rsidRDefault="00614145" w:rsidP="00EA07DC">
      <w:pPr>
        <w:pStyle w:val="enumlev1"/>
        <w:jc w:val="both"/>
        <w:rPr>
          <w:rFonts w:asciiTheme="minorHAnsi" w:hAnsiTheme="minorHAnsi" w:cstheme="minorHAnsi"/>
          <w:lang w:val="es-ES"/>
        </w:rPr>
      </w:pPr>
      <w:r>
        <w:rPr>
          <w:i/>
          <w:iCs/>
          <w:lang w:val="es-ES"/>
        </w:rPr>
        <w:t>–</w:t>
      </w:r>
      <w:r>
        <w:rPr>
          <w:lang w:val="es-ES"/>
        </w:rPr>
        <w:tab/>
        <w:t xml:space="preserve">Carta Circular </w:t>
      </w:r>
      <w:hyperlink r:id="rId25" w:history="1">
        <w:r w:rsidRPr="002D14F6">
          <w:rPr>
            <w:rStyle w:val="Hyperlink"/>
            <w:lang w:val="es-ES"/>
          </w:rPr>
          <w:t>CL-26/7</w:t>
        </w:r>
      </w:hyperlink>
      <w:r>
        <w:rPr>
          <w:lang w:val="es-ES"/>
        </w:rPr>
        <w:t>: Invitación a nombrar Presidentes y Vicepresidentes para el FMPT-26</w:t>
      </w:r>
      <w:r w:rsidR="00500168">
        <w:rPr>
          <w:lang w:val="es-ES"/>
        </w:rPr>
        <w:t>.</w:t>
      </w:r>
      <w:hyperlink r:id="rId26" w:history="1"/>
    </w:p>
    <w:p w14:paraId="77EF9323" w14:textId="36500A14" w:rsidR="00614145" w:rsidRPr="008E0096" w:rsidRDefault="00614145" w:rsidP="00EA07DC">
      <w:pPr>
        <w:pStyle w:val="enumlev1"/>
        <w:jc w:val="both"/>
        <w:rPr>
          <w:rFonts w:asciiTheme="minorHAnsi" w:hAnsiTheme="minorHAnsi" w:cstheme="minorHAnsi"/>
          <w:lang w:val="es-ES"/>
        </w:rPr>
      </w:pPr>
      <w:r>
        <w:rPr>
          <w:i/>
          <w:iCs/>
          <w:lang w:val="es-ES"/>
        </w:rPr>
        <w:t>–</w:t>
      </w:r>
      <w:r>
        <w:rPr>
          <w:lang w:val="es-ES"/>
        </w:rPr>
        <w:tab/>
        <w:t xml:space="preserve">Carta Circular </w:t>
      </w:r>
      <w:hyperlink r:id="rId27" w:history="1">
        <w:r w:rsidRPr="0055505F">
          <w:rPr>
            <w:rStyle w:val="Hyperlink"/>
            <w:lang w:val="es-ES"/>
          </w:rPr>
          <w:t>CL-26/9</w:t>
        </w:r>
      </w:hyperlink>
      <w:r>
        <w:rPr>
          <w:lang w:val="es-ES"/>
        </w:rPr>
        <w:t>: Información actualizada sobre los preparativos del FMPT-26 y el Diálogo Estratégico</w:t>
      </w:r>
      <w:r w:rsidR="00500168">
        <w:rPr>
          <w:lang w:val="es-ES"/>
        </w:rPr>
        <w:t>.</w:t>
      </w:r>
      <w:hyperlink r:id="rId28" w:history="1"/>
    </w:p>
    <w:p w14:paraId="3CEC8AB8" w14:textId="77777777" w:rsidR="00614145" w:rsidRPr="008E0096" w:rsidRDefault="00614145" w:rsidP="00EA07DC">
      <w:pPr>
        <w:pStyle w:val="enumlev1"/>
        <w:jc w:val="both"/>
        <w:rPr>
          <w:rFonts w:asciiTheme="minorHAnsi" w:hAnsiTheme="minorHAnsi" w:cstheme="minorHAnsi"/>
          <w:lang w:val="es-ES"/>
        </w:rPr>
      </w:pPr>
      <w:r>
        <w:rPr>
          <w:i/>
          <w:iCs/>
          <w:lang w:val="es-ES"/>
        </w:rPr>
        <w:t>–</w:t>
      </w:r>
      <w:r>
        <w:rPr>
          <w:lang w:val="es-ES"/>
        </w:rPr>
        <w:tab/>
        <w:t xml:space="preserve">Cartas Circulares </w:t>
      </w:r>
      <w:hyperlink r:id="rId29" w:history="1">
        <w:r w:rsidRPr="00F269BC">
          <w:rPr>
            <w:rStyle w:val="Hyperlink"/>
            <w:lang w:val="es-ES"/>
          </w:rPr>
          <w:t>CL-26/13</w:t>
        </w:r>
      </w:hyperlink>
      <w:r>
        <w:rPr>
          <w:lang w:val="es-ES"/>
        </w:rPr>
        <w:t xml:space="preserve">, </w:t>
      </w:r>
      <w:hyperlink r:id="rId30" w:history="1">
        <w:r w:rsidRPr="0098672E">
          <w:rPr>
            <w:rStyle w:val="Hyperlink"/>
            <w:lang w:val="es-ES"/>
          </w:rPr>
          <w:t>CL-26/14</w:t>
        </w:r>
      </w:hyperlink>
      <w:r>
        <w:rPr>
          <w:lang w:val="es-ES"/>
        </w:rPr>
        <w:t xml:space="preserve">, </w:t>
      </w:r>
      <w:hyperlink r:id="rId31" w:history="1">
        <w:r w:rsidRPr="00046AF1">
          <w:rPr>
            <w:rStyle w:val="Hyperlink"/>
            <w:lang w:val="es-ES"/>
          </w:rPr>
          <w:t>CL-26/15</w:t>
        </w:r>
      </w:hyperlink>
      <w:r>
        <w:rPr>
          <w:lang w:val="es-ES"/>
        </w:rPr>
        <w:t xml:space="preserve"> y </w:t>
      </w:r>
      <w:hyperlink r:id="rId32" w:history="1">
        <w:r w:rsidRPr="00B433A5">
          <w:rPr>
            <w:rStyle w:val="Hyperlink"/>
            <w:lang w:val="es-ES"/>
          </w:rPr>
          <w:t>CL-26/16</w:t>
        </w:r>
      </w:hyperlink>
      <w:r>
        <w:rPr>
          <w:lang w:val="es-ES"/>
        </w:rPr>
        <w:t>: Invitaciones al FMPT-26 dirigidas respectivamente a los Ministros de los Estados Miembros de la UIT, los Reguladores de los Estados Miembros de la UIT, los Directores Generales de los Miembros de Sector de la UIT, los organismos especializados de las Naciones Unidas y las Instituciones Académicas de la UIT.</w:t>
      </w:r>
      <w:hyperlink r:id="rId33" w:history="1"/>
      <w:hyperlink r:id="rId34" w:history="1"/>
      <w:hyperlink r:id="rId35" w:history="1"/>
      <w:hyperlink r:id="rId36" w:history="1"/>
    </w:p>
    <w:p w14:paraId="599288FD" w14:textId="77777777" w:rsidR="00614145" w:rsidRPr="008E0096" w:rsidRDefault="00614145" w:rsidP="00EA07DC">
      <w:pPr>
        <w:jc w:val="both"/>
        <w:rPr>
          <w:lang w:val="es-ES"/>
        </w:rPr>
      </w:pPr>
      <w:r>
        <w:rPr>
          <w:lang w:val="es-ES"/>
        </w:rPr>
        <w:t xml:space="preserve">Las contribuciones escritas destinadas a ser presentadas durante el Foro deben presentarse a </w:t>
      </w:r>
      <w:hyperlink r:id="rId37" w:history="1">
        <w:r w:rsidRPr="007B76D2">
          <w:rPr>
            <w:rStyle w:val="Hyperlink"/>
            <w:lang w:val="es-ES"/>
          </w:rPr>
          <w:t>wtpf@itu.int</w:t>
        </w:r>
      </w:hyperlink>
      <w:r>
        <w:rPr>
          <w:lang w:val="es-ES"/>
        </w:rPr>
        <w:t xml:space="preserve"> a más tardar el </w:t>
      </w:r>
      <w:r>
        <w:rPr>
          <w:b/>
          <w:bCs/>
          <w:lang w:val="es-ES"/>
        </w:rPr>
        <w:t xml:space="preserve">19 de mayo de 2026 </w:t>
      </w:r>
      <w:r>
        <w:rPr>
          <w:lang w:val="es-ES"/>
        </w:rPr>
        <w:t xml:space="preserve">y no deben tener más de tres páginas. Las contribuciones se publicarán en la </w:t>
      </w:r>
      <w:hyperlink r:id="rId38" w:anchor="/es" w:history="1">
        <w:r w:rsidRPr="00AD7521">
          <w:rPr>
            <w:rStyle w:val="Hyperlink"/>
            <w:lang w:val="es-ES"/>
          </w:rPr>
          <w:t>página web de documentos del FMPT-26</w:t>
        </w:r>
      </w:hyperlink>
      <w:r>
        <w:rPr>
          <w:lang w:val="es-ES"/>
        </w:rPr>
        <w:t>.</w:t>
      </w:r>
      <w:hyperlink r:id="rId39" w:history="1"/>
      <w:hyperlink r:id="rId40" w:history="1"/>
    </w:p>
    <w:p w14:paraId="659E2B13" w14:textId="77777777" w:rsidR="00614145" w:rsidRPr="009C0F44" w:rsidRDefault="00614145" w:rsidP="00EA07DC">
      <w:pPr>
        <w:jc w:val="both"/>
        <w:rPr>
          <w:rFonts w:cstheme="minorBidi"/>
          <w:lang w:val="es-ES"/>
        </w:rPr>
      </w:pPr>
      <w:r>
        <w:rPr>
          <w:lang w:val="es-ES"/>
        </w:rPr>
        <w:t>3.4</w:t>
      </w:r>
      <w:r>
        <w:rPr>
          <w:lang w:val="es-ES"/>
        </w:rPr>
        <w:tab/>
        <w:t>Se prevé la firma del Acuerdo de País Anfitrión entre el Gobierno de la Commonwealth de las Bahamas y la UIT durante el Consejo de 2026.</w:t>
      </w:r>
    </w:p>
    <w:p w14:paraId="7FE75795" w14:textId="7B93345E" w:rsidR="00614145" w:rsidRPr="009C0F44" w:rsidRDefault="00614145" w:rsidP="00EA07DC">
      <w:pPr>
        <w:jc w:val="both"/>
        <w:rPr>
          <w:lang w:val="es-ES"/>
        </w:rPr>
      </w:pPr>
      <w:r>
        <w:rPr>
          <w:lang w:val="es-ES"/>
        </w:rPr>
        <w:t>3.5</w:t>
      </w:r>
      <w:r>
        <w:rPr>
          <w:lang w:val="es-ES"/>
        </w:rPr>
        <w:tab/>
        <w:t xml:space="preserve">Para reducir los costes, la UIT realizó una visita virtual </w:t>
      </w:r>
      <w:r w:rsidRPr="006D1EF0">
        <w:rPr>
          <w:i/>
          <w:iCs/>
          <w:lang w:val="es-ES"/>
        </w:rPr>
        <w:t>in situ</w:t>
      </w:r>
      <w:r>
        <w:rPr>
          <w:lang w:val="es-ES"/>
        </w:rPr>
        <w:t xml:space="preserve"> en diciembre de 2025 para reunirse con sus homólogos del país anfitrión y examinar el Centro de Conferencias. El Coordinador de Seguridad de la UIT también realizó una visita en diciembre para preparar el plan de seguridad del evento.</w:t>
      </w:r>
    </w:p>
    <w:p w14:paraId="6917ED9B" w14:textId="594CE8BE" w:rsidR="00614145" w:rsidRPr="009C0F44" w:rsidRDefault="00614145" w:rsidP="00EA07DC">
      <w:pPr>
        <w:jc w:val="both"/>
        <w:rPr>
          <w:lang w:val="es-ES"/>
        </w:rPr>
      </w:pPr>
      <w:r>
        <w:rPr>
          <w:lang w:val="es-ES"/>
        </w:rPr>
        <w:t>3.6</w:t>
      </w:r>
      <w:r>
        <w:rPr>
          <w:lang w:val="es-ES"/>
        </w:rPr>
        <w:tab/>
        <w:t xml:space="preserve">La Secretaría de la UIT celebra reuniones virtuales quincenales con el Comité Organizador Local del Gobierno del Commonwealth de las Bahamas para intercambiar información y coordinar los preparativos del evento en lo que respecta al protocolo, la logística y la comunicación. </w:t>
      </w:r>
    </w:p>
    <w:p w14:paraId="56034486" w14:textId="77777777" w:rsidR="00614145" w:rsidRPr="009C0F44" w:rsidRDefault="00614145" w:rsidP="00C91B52">
      <w:pPr>
        <w:pStyle w:val="Heading1"/>
        <w:rPr>
          <w:lang w:val="es-ES"/>
        </w:rPr>
      </w:pPr>
      <w:r>
        <w:rPr>
          <w:bCs/>
          <w:lang w:val="es-ES"/>
        </w:rPr>
        <w:lastRenderedPageBreak/>
        <w:t>4</w:t>
      </w:r>
      <w:r>
        <w:rPr>
          <w:lang w:val="es-ES"/>
        </w:rPr>
        <w:tab/>
      </w:r>
      <w:r>
        <w:rPr>
          <w:bCs/>
          <w:lang w:val="es-ES"/>
        </w:rPr>
        <w:t>Diálogo estratégico y programa del Foro</w:t>
      </w:r>
    </w:p>
    <w:p w14:paraId="5668B420" w14:textId="379F7689" w:rsidR="00614145" w:rsidRPr="006011C1" w:rsidRDefault="00614145" w:rsidP="00EA07DC">
      <w:pPr>
        <w:jc w:val="both"/>
        <w:rPr>
          <w:spacing w:val="-2"/>
          <w:lang w:val="es-ES"/>
        </w:rPr>
      </w:pPr>
      <w:r w:rsidRPr="006011C1">
        <w:rPr>
          <w:spacing w:val="-2"/>
          <w:lang w:val="es-ES"/>
        </w:rPr>
        <w:t>4.1</w:t>
      </w:r>
      <w:r w:rsidRPr="006011C1">
        <w:rPr>
          <w:spacing w:val="-2"/>
          <w:lang w:val="es-ES"/>
        </w:rPr>
        <w:tab/>
        <w:t>El Día del Diálogo Estratégico, el 8 de junio de 2026, constará de una mesa redonda multipartita de alto nivel por la mañana, coorganizada por la UIT y el Gobierno del Commonwealth de las Bahamas, y dos sesiones temáticas paralelas por la tarde: un Diálogo temático sobre el empoderamiento de las mujeres, los jóvenes y las personas con discapacidad en las TIC; y el Laboratorio de Soluciones de Inversión Partner2Connect. El Diálogo Estratégico proporcionará una plataforma para que ministros, responsables políticos, líderes de la industria y expertos intercambien opiniones sobre los temas clave del FMPT-26 y marque la pauta para las deliberaciones del Foro. En los debates se prestará especial atención a los desafíos y oportunidades singulares a los que se enfrentan los pequeños Estados insulares en desarrollo.</w:t>
      </w:r>
    </w:p>
    <w:p w14:paraId="09D31B9A" w14:textId="77777777" w:rsidR="00614145" w:rsidRPr="00EA07DC" w:rsidRDefault="00614145" w:rsidP="00EA07DC">
      <w:pPr>
        <w:jc w:val="both"/>
        <w:rPr>
          <w:rFonts w:cstheme="minorBidi"/>
          <w:spacing w:val="-3"/>
          <w:lang w:val="es-ES"/>
        </w:rPr>
      </w:pPr>
      <w:r w:rsidRPr="00EA07DC">
        <w:rPr>
          <w:spacing w:val="-3"/>
          <w:lang w:val="es-ES"/>
        </w:rPr>
        <w:t>4.2</w:t>
      </w:r>
      <w:r w:rsidRPr="00EA07DC">
        <w:rPr>
          <w:spacing w:val="-3"/>
          <w:lang w:val="es-ES"/>
        </w:rPr>
        <w:tab/>
        <w:t xml:space="preserve">El Foro se inaugurará oficialmente el martes 9 de junio. Después de la ceremonia de apertura a las 09.30 horas, tendrá lugar una presentación del Informe de la Secretaria General, un debate en grupos de trabajo sobre cada uno de los cinco proyectos de Opinión, que comenzará con un panel de preparación de escenarios. Los paneles irán seguidos de declaraciones, cada una limitada a tres minutos, por parte de participantes de alto nivel, y de un debate abierto e intercambio de opiniones durante el cual se alienta a todos los delegados del Foro a contribuir. El proyecto de programa provisional del FMPT-26 se recoge en el Cuadro 1 </w:t>
      </w:r>
      <w:r w:rsidRPr="00EA07DC">
        <w:rPr>
          <w:i/>
          <w:iCs/>
          <w:spacing w:val="-3"/>
          <w:lang w:val="es-ES"/>
        </w:rPr>
        <w:t>infra</w:t>
      </w:r>
      <w:r w:rsidRPr="00EA07DC">
        <w:rPr>
          <w:spacing w:val="-3"/>
          <w:lang w:val="es-ES"/>
        </w:rPr>
        <w:t>.</w:t>
      </w:r>
    </w:p>
    <w:p w14:paraId="02D68C9C" w14:textId="77777777" w:rsidR="00614145" w:rsidRPr="009C0F44" w:rsidRDefault="00614145" w:rsidP="00614145">
      <w:pPr>
        <w:pStyle w:val="TableNo"/>
        <w:rPr>
          <w:lang w:val="es-ES"/>
        </w:rPr>
      </w:pPr>
      <w:r>
        <w:rPr>
          <w:lang w:val="es-ES"/>
        </w:rPr>
        <w:t>Cuadro 1</w:t>
      </w:r>
    </w:p>
    <w:p w14:paraId="7BDCEFD8" w14:textId="77777777" w:rsidR="00614145" w:rsidRPr="009C0F44" w:rsidRDefault="00614145" w:rsidP="00614145">
      <w:pPr>
        <w:pStyle w:val="Tabletitle"/>
        <w:rPr>
          <w:lang w:val="es-ES"/>
        </w:rPr>
      </w:pPr>
      <w:r>
        <w:rPr>
          <w:bCs/>
          <w:lang w:val="es-ES"/>
        </w:rPr>
        <w:t>Proyecto de programa provisional del FMPT-26</w:t>
      </w:r>
    </w:p>
    <w:tbl>
      <w:tblPr>
        <w:tblStyle w:val="TableGrid"/>
        <w:tblW w:w="5000" w:type="pct"/>
        <w:tblLayout w:type="fixed"/>
        <w:tblLook w:val="0000" w:firstRow="0" w:lastRow="0" w:firstColumn="0" w:lastColumn="0" w:noHBand="0" w:noVBand="0"/>
      </w:tblPr>
      <w:tblGrid>
        <w:gridCol w:w="1779"/>
        <w:gridCol w:w="3746"/>
        <w:gridCol w:w="3536"/>
      </w:tblGrid>
      <w:tr w:rsidR="00614145" w:rsidRPr="00052E45" w14:paraId="5E47B091" w14:textId="77777777" w:rsidTr="00500168">
        <w:tc>
          <w:tcPr>
            <w:tcW w:w="982" w:type="pct"/>
          </w:tcPr>
          <w:p w14:paraId="65EA33FF" w14:textId="77777777" w:rsidR="00614145" w:rsidRPr="009C0F44" w:rsidRDefault="00614145" w:rsidP="00295DAE">
            <w:pPr>
              <w:pStyle w:val="Tablehead"/>
              <w:rPr>
                <w:lang w:val="es-ES"/>
              </w:rPr>
            </w:pPr>
          </w:p>
        </w:tc>
        <w:tc>
          <w:tcPr>
            <w:tcW w:w="2067" w:type="pct"/>
          </w:tcPr>
          <w:p w14:paraId="64D99839" w14:textId="77777777" w:rsidR="00614145" w:rsidRPr="00052E45" w:rsidRDefault="00614145" w:rsidP="00295DAE">
            <w:pPr>
              <w:pStyle w:val="Tablehead"/>
            </w:pPr>
            <w:r>
              <w:rPr>
                <w:bCs/>
                <w:color w:val="000000"/>
                <w:lang w:val="es-ES"/>
              </w:rPr>
              <w:t>09.30-12.30 horas</w:t>
            </w:r>
          </w:p>
        </w:tc>
        <w:tc>
          <w:tcPr>
            <w:tcW w:w="1952" w:type="pct"/>
          </w:tcPr>
          <w:p w14:paraId="0AB1B3B4" w14:textId="77777777" w:rsidR="00614145" w:rsidRPr="00052E45" w:rsidRDefault="00614145" w:rsidP="00295DAE">
            <w:pPr>
              <w:pStyle w:val="Tablehead"/>
            </w:pPr>
            <w:r>
              <w:rPr>
                <w:bCs/>
                <w:color w:val="000000"/>
                <w:lang w:val="es-ES"/>
              </w:rPr>
              <w:t>12.30-17.30 horas</w:t>
            </w:r>
          </w:p>
        </w:tc>
      </w:tr>
      <w:tr w:rsidR="00614145" w:rsidRPr="00EA07DC" w14:paraId="53428F5E" w14:textId="77777777" w:rsidTr="00500168">
        <w:tc>
          <w:tcPr>
            <w:tcW w:w="982" w:type="pct"/>
          </w:tcPr>
          <w:p w14:paraId="7F4DA302" w14:textId="77777777" w:rsidR="00614145" w:rsidRPr="00052E45" w:rsidRDefault="00614145" w:rsidP="00295DAE">
            <w:pPr>
              <w:pStyle w:val="Tabletext"/>
            </w:pPr>
            <w:r>
              <w:rPr>
                <w:color w:val="000000"/>
                <w:lang w:val="es-ES"/>
              </w:rPr>
              <w:t>Martes, 9 de junio de 2026</w:t>
            </w:r>
          </w:p>
        </w:tc>
        <w:tc>
          <w:tcPr>
            <w:tcW w:w="2067" w:type="pct"/>
          </w:tcPr>
          <w:p w14:paraId="607378FD" w14:textId="77777777" w:rsidR="00614145" w:rsidRPr="009C0F44" w:rsidRDefault="00614145" w:rsidP="00295DAE">
            <w:pPr>
              <w:pStyle w:val="Tabletext"/>
              <w:rPr>
                <w:lang w:val="es-ES"/>
              </w:rPr>
            </w:pPr>
            <w:r>
              <w:rPr>
                <w:color w:val="000000"/>
                <w:lang w:val="es-ES"/>
              </w:rPr>
              <w:t>–</w:t>
            </w:r>
            <w:r>
              <w:rPr>
                <w:color w:val="000000"/>
                <w:lang w:val="es-ES"/>
              </w:rPr>
              <w:tab/>
              <w:t>Ceremonia de apertura</w:t>
            </w:r>
          </w:p>
          <w:p w14:paraId="48F56617" w14:textId="77777777" w:rsidR="00614145" w:rsidRPr="009C0F44" w:rsidRDefault="00614145" w:rsidP="00295DAE">
            <w:pPr>
              <w:pStyle w:val="Tabletext"/>
              <w:rPr>
                <w:lang w:val="es-ES"/>
              </w:rPr>
            </w:pPr>
            <w:r>
              <w:rPr>
                <w:color w:val="000000"/>
                <w:lang w:val="es-ES"/>
              </w:rPr>
              <w:t>–</w:t>
            </w:r>
            <w:r>
              <w:rPr>
                <w:color w:val="000000"/>
                <w:lang w:val="es-ES"/>
              </w:rPr>
              <w:tab/>
              <w:t>Plenaria</w:t>
            </w:r>
          </w:p>
          <w:p w14:paraId="095A5494" w14:textId="77777777" w:rsidR="00614145" w:rsidRPr="009C0F44" w:rsidRDefault="00614145" w:rsidP="00295DAE">
            <w:pPr>
              <w:pStyle w:val="Tabletext"/>
              <w:rPr>
                <w:lang w:val="es-ES"/>
              </w:rPr>
            </w:pPr>
            <w:r>
              <w:rPr>
                <w:color w:val="000000"/>
                <w:lang w:val="es-ES"/>
              </w:rPr>
              <w:t>–</w:t>
            </w:r>
            <w:r>
              <w:rPr>
                <w:color w:val="000000"/>
                <w:lang w:val="es-ES"/>
              </w:rPr>
              <w:tab/>
              <w:t>Grupo de Trabajo sobre la Opinión 1</w:t>
            </w:r>
          </w:p>
        </w:tc>
        <w:tc>
          <w:tcPr>
            <w:tcW w:w="1952" w:type="pct"/>
          </w:tcPr>
          <w:p w14:paraId="696B6B88" w14:textId="77777777" w:rsidR="00614145" w:rsidRPr="009C0F44" w:rsidRDefault="00614145" w:rsidP="00295DAE">
            <w:pPr>
              <w:pStyle w:val="Tabletext"/>
              <w:ind w:left="284" w:hanging="284"/>
              <w:rPr>
                <w:lang w:val="es-ES"/>
              </w:rPr>
            </w:pPr>
            <w:r>
              <w:rPr>
                <w:color w:val="000000"/>
                <w:lang w:val="es-ES"/>
              </w:rPr>
              <w:t>–</w:t>
            </w:r>
            <w:r>
              <w:rPr>
                <w:color w:val="000000"/>
                <w:lang w:val="es-ES"/>
              </w:rPr>
              <w:tab/>
              <w:t>Grupo de Trabajo sobre la Opinión 1 (</w:t>
            </w:r>
            <w:r>
              <w:rPr>
                <w:i/>
                <w:iCs/>
                <w:color w:val="000000"/>
                <w:lang w:val="es-ES"/>
              </w:rPr>
              <w:t>continuación</w:t>
            </w:r>
            <w:r>
              <w:rPr>
                <w:color w:val="000000"/>
                <w:lang w:val="es-ES"/>
              </w:rPr>
              <w:t>)</w:t>
            </w:r>
          </w:p>
          <w:p w14:paraId="59094255" w14:textId="77777777" w:rsidR="00614145" w:rsidRPr="009C0F44" w:rsidRDefault="00614145" w:rsidP="00500168">
            <w:pPr>
              <w:pStyle w:val="Tabletext"/>
              <w:ind w:left="284" w:hanging="284"/>
              <w:rPr>
                <w:lang w:val="es-ES"/>
              </w:rPr>
            </w:pPr>
            <w:r>
              <w:rPr>
                <w:color w:val="000000"/>
                <w:lang w:val="es-ES"/>
              </w:rPr>
              <w:t>–</w:t>
            </w:r>
            <w:r>
              <w:rPr>
                <w:color w:val="000000"/>
                <w:lang w:val="es-ES"/>
              </w:rPr>
              <w:tab/>
              <w:t>Grupo de Trabajo sobre la Opinión 2</w:t>
            </w:r>
          </w:p>
        </w:tc>
      </w:tr>
      <w:tr w:rsidR="00614145" w:rsidRPr="00EA07DC" w14:paraId="0B0B2770" w14:textId="77777777" w:rsidTr="00500168">
        <w:tc>
          <w:tcPr>
            <w:tcW w:w="982" w:type="pct"/>
          </w:tcPr>
          <w:p w14:paraId="3B82F6D8" w14:textId="77777777" w:rsidR="00614145" w:rsidRPr="00052E45" w:rsidRDefault="00614145" w:rsidP="00295DAE">
            <w:pPr>
              <w:pStyle w:val="Tabletext"/>
            </w:pPr>
            <w:r>
              <w:rPr>
                <w:color w:val="000000"/>
                <w:lang w:val="es-ES"/>
              </w:rPr>
              <w:t>Miércoles, 10 de junio de 2026</w:t>
            </w:r>
          </w:p>
        </w:tc>
        <w:tc>
          <w:tcPr>
            <w:tcW w:w="2067" w:type="pct"/>
          </w:tcPr>
          <w:p w14:paraId="2A449350" w14:textId="77777777" w:rsidR="00614145" w:rsidRPr="009C0F44" w:rsidRDefault="00614145" w:rsidP="00295DAE">
            <w:pPr>
              <w:pStyle w:val="Tabletext"/>
              <w:ind w:left="284" w:hanging="284"/>
              <w:rPr>
                <w:lang w:val="es-ES"/>
              </w:rPr>
            </w:pPr>
            <w:r>
              <w:rPr>
                <w:color w:val="000000"/>
                <w:lang w:val="es-ES"/>
              </w:rPr>
              <w:t>–</w:t>
            </w:r>
            <w:r>
              <w:rPr>
                <w:color w:val="000000"/>
                <w:lang w:val="es-ES"/>
              </w:rPr>
              <w:tab/>
              <w:t>Grupo de Trabajo sobre la Opinión 2 (</w:t>
            </w:r>
            <w:r>
              <w:rPr>
                <w:i/>
                <w:iCs/>
                <w:color w:val="000000"/>
                <w:lang w:val="es-ES"/>
              </w:rPr>
              <w:t>continuación</w:t>
            </w:r>
            <w:r>
              <w:rPr>
                <w:color w:val="000000"/>
                <w:lang w:val="es-ES"/>
              </w:rPr>
              <w:t>)</w:t>
            </w:r>
          </w:p>
          <w:p w14:paraId="23D42B8C" w14:textId="77777777" w:rsidR="00614145" w:rsidRPr="009C0F44" w:rsidRDefault="00614145" w:rsidP="00295DAE">
            <w:pPr>
              <w:pStyle w:val="Tabletext"/>
              <w:rPr>
                <w:lang w:val="es-ES"/>
              </w:rPr>
            </w:pPr>
            <w:r>
              <w:rPr>
                <w:color w:val="000000"/>
                <w:lang w:val="es-ES"/>
              </w:rPr>
              <w:t>–</w:t>
            </w:r>
            <w:r>
              <w:rPr>
                <w:color w:val="000000"/>
                <w:lang w:val="es-ES"/>
              </w:rPr>
              <w:tab/>
              <w:t>Grupo de Trabajo sobre la Opinión 3</w:t>
            </w:r>
          </w:p>
        </w:tc>
        <w:tc>
          <w:tcPr>
            <w:tcW w:w="1952" w:type="pct"/>
          </w:tcPr>
          <w:p w14:paraId="1D975847" w14:textId="77777777" w:rsidR="00614145" w:rsidRPr="009C0F44" w:rsidRDefault="00614145" w:rsidP="00295DAE">
            <w:pPr>
              <w:pStyle w:val="Tabletext"/>
              <w:ind w:left="284" w:hanging="284"/>
              <w:rPr>
                <w:lang w:val="es-ES"/>
              </w:rPr>
            </w:pPr>
            <w:r>
              <w:rPr>
                <w:color w:val="000000"/>
                <w:lang w:val="es-ES"/>
              </w:rPr>
              <w:t>–</w:t>
            </w:r>
            <w:r>
              <w:rPr>
                <w:color w:val="000000"/>
                <w:lang w:val="es-ES"/>
              </w:rPr>
              <w:tab/>
              <w:t>Grupo de Trabajo sobre la Opinión 3 (</w:t>
            </w:r>
            <w:r>
              <w:rPr>
                <w:i/>
                <w:iCs/>
                <w:color w:val="000000"/>
                <w:lang w:val="es-ES"/>
              </w:rPr>
              <w:t>continuación</w:t>
            </w:r>
            <w:r>
              <w:rPr>
                <w:color w:val="000000"/>
                <w:lang w:val="es-ES"/>
              </w:rPr>
              <w:t>)</w:t>
            </w:r>
          </w:p>
          <w:p w14:paraId="52225B08" w14:textId="77777777" w:rsidR="00614145" w:rsidRPr="009C0F44" w:rsidRDefault="00614145" w:rsidP="00500168">
            <w:pPr>
              <w:pStyle w:val="Tabletext"/>
              <w:ind w:left="284" w:hanging="284"/>
              <w:rPr>
                <w:lang w:val="es-ES"/>
              </w:rPr>
            </w:pPr>
            <w:r>
              <w:rPr>
                <w:color w:val="000000"/>
                <w:lang w:val="es-ES"/>
              </w:rPr>
              <w:t>–</w:t>
            </w:r>
            <w:r>
              <w:rPr>
                <w:color w:val="000000"/>
                <w:lang w:val="es-ES"/>
              </w:rPr>
              <w:tab/>
              <w:t>Grupo de Trabajo sobre la Opinión 4</w:t>
            </w:r>
          </w:p>
        </w:tc>
      </w:tr>
      <w:tr w:rsidR="00614145" w:rsidRPr="00EA07DC" w14:paraId="6376C513" w14:textId="77777777" w:rsidTr="00500168">
        <w:tc>
          <w:tcPr>
            <w:tcW w:w="982" w:type="pct"/>
          </w:tcPr>
          <w:p w14:paraId="45F4ABE2" w14:textId="77777777" w:rsidR="00614145" w:rsidRPr="00052E45" w:rsidRDefault="00614145" w:rsidP="00295DAE">
            <w:pPr>
              <w:pStyle w:val="Tabletext"/>
            </w:pPr>
            <w:r>
              <w:rPr>
                <w:color w:val="000000"/>
                <w:lang w:val="es-ES"/>
              </w:rPr>
              <w:t>Jueves, 11 de junio de 2026</w:t>
            </w:r>
          </w:p>
        </w:tc>
        <w:tc>
          <w:tcPr>
            <w:tcW w:w="2067" w:type="pct"/>
          </w:tcPr>
          <w:p w14:paraId="5672DFC8" w14:textId="77777777" w:rsidR="00614145" w:rsidRPr="009C0F44" w:rsidRDefault="00614145" w:rsidP="00295DAE">
            <w:pPr>
              <w:pStyle w:val="Tabletext"/>
              <w:ind w:left="284" w:hanging="284"/>
              <w:rPr>
                <w:lang w:val="es-ES"/>
              </w:rPr>
            </w:pPr>
            <w:r>
              <w:rPr>
                <w:color w:val="000000"/>
                <w:lang w:val="es-ES"/>
              </w:rPr>
              <w:t>–</w:t>
            </w:r>
            <w:r>
              <w:rPr>
                <w:color w:val="000000"/>
                <w:lang w:val="es-ES"/>
              </w:rPr>
              <w:tab/>
              <w:t>Grupo de Trabajo sobre la Opinión 4 (</w:t>
            </w:r>
            <w:r>
              <w:rPr>
                <w:i/>
                <w:iCs/>
                <w:color w:val="000000"/>
                <w:lang w:val="es-ES"/>
              </w:rPr>
              <w:t>continuación</w:t>
            </w:r>
            <w:r>
              <w:rPr>
                <w:color w:val="000000"/>
                <w:lang w:val="es-ES"/>
              </w:rPr>
              <w:t>)</w:t>
            </w:r>
          </w:p>
          <w:p w14:paraId="0FFFDDF7" w14:textId="77777777" w:rsidR="00614145" w:rsidRPr="009C0F44" w:rsidRDefault="00614145" w:rsidP="00295DAE">
            <w:pPr>
              <w:pStyle w:val="Tabletext"/>
              <w:rPr>
                <w:lang w:val="es-ES"/>
              </w:rPr>
            </w:pPr>
            <w:r>
              <w:rPr>
                <w:color w:val="000000"/>
                <w:lang w:val="es-ES"/>
              </w:rPr>
              <w:t>–</w:t>
            </w:r>
            <w:r>
              <w:rPr>
                <w:color w:val="000000"/>
                <w:lang w:val="es-ES"/>
              </w:rPr>
              <w:tab/>
              <w:t>Grupo de Trabajo sobre la Opinión 5</w:t>
            </w:r>
          </w:p>
        </w:tc>
        <w:tc>
          <w:tcPr>
            <w:tcW w:w="1952" w:type="pct"/>
          </w:tcPr>
          <w:p w14:paraId="65F30C31" w14:textId="77777777" w:rsidR="00614145" w:rsidRPr="009C0F44" w:rsidRDefault="00614145" w:rsidP="00295DAE">
            <w:pPr>
              <w:pStyle w:val="Tabletext"/>
              <w:ind w:left="284" w:hanging="284"/>
              <w:rPr>
                <w:lang w:val="es-ES"/>
              </w:rPr>
            </w:pPr>
            <w:r>
              <w:rPr>
                <w:color w:val="000000"/>
                <w:lang w:val="es-ES"/>
              </w:rPr>
              <w:t>–</w:t>
            </w:r>
            <w:r>
              <w:rPr>
                <w:color w:val="000000"/>
                <w:lang w:val="es-ES"/>
              </w:rPr>
              <w:tab/>
              <w:t>Grupo de Trabajo sobre la Opinión 5 (</w:t>
            </w:r>
            <w:r>
              <w:rPr>
                <w:i/>
                <w:iCs/>
                <w:color w:val="000000"/>
                <w:lang w:val="es-ES"/>
              </w:rPr>
              <w:t>continuación</w:t>
            </w:r>
            <w:r>
              <w:rPr>
                <w:color w:val="000000"/>
                <w:lang w:val="es-ES"/>
              </w:rPr>
              <w:t>)</w:t>
            </w:r>
          </w:p>
          <w:p w14:paraId="3827AE3C" w14:textId="77777777" w:rsidR="00614145" w:rsidRPr="009C0F44" w:rsidRDefault="00614145" w:rsidP="00500168">
            <w:pPr>
              <w:pStyle w:val="Tabletext"/>
              <w:ind w:left="284" w:hanging="284"/>
              <w:rPr>
                <w:lang w:val="es-ES"/>
              </w:rPr>
            </w:pPr>
            <w:r>
              <w:rPr>
                <w:color w:val="000000"/>
                <w:lang w:val="es-ES"/>
              </w:rPr>
              <w:t>–</w:t>
            </w:r>
            <w:r>
              <w:rPr>
                <w:color w:val="000000"/>
                <w:lang w:val="es-ES"/>
              </w:rPr>
              <w:tab/>
              <w:t>Plenaria – Adopción de las Opiniones</w:t>
            </w:r>
          </w:p>
          <w:p w14:paraId="655405FE" w14:textId="77777777" w:rsidR="00614145" w:rsidRPr="009C0F44" w:rsidRDefault="00614145" w:rsidP="00295DAE">
            <w:pPr>
              <w:pStyle w:val="Tabletext"/>
              <w:rPr>
                <w:lang w:val="es-ES"/>
              </w:rPr>
            </w:pPr>
            <w:r>
              <w:rPr>
                <w:color w:val="000000"/>
                <w:lang w:val="es-ES"/>
              </w:rPr>
              <w:t>–</w:t>
            </w:r>
            <w:r>
              <w:rPr>
                <w:color w:val="000000"/>
                <w:lang w:val="es-ES"/>
              </w:rPr>
              <w:tab/>
              <w:t>Ceremonia de clausura</w:t>
            </w:r>
          </w:p>
        </w:tc>
      </w:tr>
    </w:tbl>
    <w:p w14:paraId="0C69E31B" w14:textId="77777777" w:rsidR="00614145" w:rsidRPr="009C0F44" w:rsidRDefault="00614145" w:rsidP="00EA07DC">
      <w:pPr>
        <w:spacing w:before="240" w:after="120"/>
        <w:jc w:val="both"/>
        <w:rPr>
          <w:lang w:val="es-ES"/>
        </w:rPr>
      </w:pPr>
      <w:r>
        <w:rPr>
          <w:lang w:val="es-ES"/>
        </w:rPr>
        <w:t>4.3</w:t>
      </w:r>
      <w:r>
        <w:rPr>
          <w:lang w:val="es-ES"/>
        </w:rPr>
        <w:tab/>
        <w:t>Los participantes inscritos podrán participar tanto en persona como a distancia. Se dará prioridad a las declaraciones de los participantes de alto nivel presentes en Nassau.</w:t>
      </w:r>
    </w:p>
    <w:p w14:paraId="553A3622" w14:textId="77777777" w:rsidR="00614145" w:rsidRPr="008E0096" w:rsidRDefault="00614145" w:rsidP="00EA07DC">
      <w:pPr>
        <w:jc w:val="both"/>
        <w:rPr>
          <w:rFonts w:cstheme="minorBidi"/>
          <w:lang w:val="es-ES"/>
        </w:rPr>
      </w:pPr>
      <w:r>
        <w:rPr>
          <w:lang w:val="es-ES"/>
        </w:rPr>
        <w:t>4.4</w:t>
      </w:r>
      <w:r>
        <w:rPr>
          <w:lang w:val="es-ES"/>
        </w:rPr>
        <w:tab/>
        <w:t>Durante el periodo del Foro también se celebrarán varios eventos paralelos, como un simulacro de negociación de la juventud de la UIT, una reunión híbrida del Órgano Asesor Internacional sobre Resiliencia de los Cables Submarinos y la tercera Reunión Preparatoria Interregional para la PP-26.</w:t>
      </w:r>
    </w:p>
    <w:p w14:paraId="40AA9754" w14:textId="77777777" w:rsidR="00F92BED" w:rsidRPr="00F92BED" w:rsidRDefault="00F92BED" w:rsidP="00F92BED">
      <w:pPr>
        <w:jc w:val="center"/>
      </w:pPr>
      <w:r>
        <w:t>______________</w:t>
      </w:r>
    </w:p>
    <w:sectPr w:rsidR="00F92BED" w:rsidRPr="00F92BED" w:rsidSect="00C538FC">
      <w:footerReference w:type="default" r:id="rId41"/>
      <w:headerReference w:type="first" r:id="rId42"/>
      <w:footerReference w:type="first" r:id="rId4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8C80D" w14:textId="77777777" w:rsidR="00614145" w:rsidRDefault="00614145">
      <w:r>
        <w:separator/>
      </w:r>
    </w:p>
  </w:endnote>
  <w:endnote w:type="continuationSeparator" w:id="0">
    <w:p w14:paraId="7534D59F" w14:textId="77777777" w:rsidR="00614145" w:rsidRDefault="00614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27B782A1" w14:textId="77777777" w:rsidTr="00E31DCE">
      <w:trPr>
        <w:jc w:val="center"/>
      </w:trPr>
      <w:tc>
        <w:tcPr>
          <w:tcW w:w="1803" w:type="dxa"/>
          <w:vAlign w:val="center"/>
        </w:tcPr>
        <w:p w14:paraId="5FA6D03D" w14:textId="77777777" w:rsidR="003273A4" w:rsidRDefault="002946E2" w:rsidP="003273A4">
          <w:pPr>
            <w:pStyle w:val="Header"/>
            <w:jc w:val="left"/>
            <w:rPr>
              <w:noProof/>
            </w:rPr>
          </w:pPr>
          <w:r>
            <w:rPr>
              <w:noProof/>
            </w:rPr>
            <w:t>gDoc #</w:t>
          </w:r>
        </w:p>
      </w:tc>
      <w:tc>
        <w:tcPr>
          <w:tcW w:w="8261" w:type="dxa"/>
        </w:tcPr>
        <w:p w14:paraId="1D8F90EC" w14:textId="5826C542"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614145">
            <w:rPr>
              <w:bCs/>
            </w:rPr>
            <w:t>5</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461B2C9C"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394A148A" w14:textId="77777777" w:rsidTr="00E31DCE">
      <w:trPr>
        <w:jc w:val="center"/>
      </w:trPr>
      <w:tc>
        <w:tcPr>
          <w:tcW w:w="1803" w:type="dxa"/>
          <w:vAlign w:val="center"/>
        </w:tcPr>
        <w:p w14:paraId="38612C45"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02EC2B69" w14:textId="598C3E17"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F21258">
            <w:rPr>
              <w:bCs/>
            </w:rPr>
            <w:t>5</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6A02D138"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ED1CB" w14:textId="77777777" w:rsidR="00614145" w:rsidRDefault="00614145">
      <w:r>
        <w:t>____________________</w:t>
      </w:r>
    </w:p>
  </w:footnote>
  <w:footnote w:type="continuationSeparator" w:id="0">
    <w:p w14:paraId="1BF65F4B" w14:textId="77777777" w:rsidR="00614145" w:rsidRDefault="00614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0C17" w14:textId="77777777" w:rsidR="001559F5" w:rsidRPr="00B1560D" w:rsidRDefault="00B1560D" w:rsidP="00B1560D">
    <w:pPr>
      <w:pStyle w:val="Header"/>
    </w:pPr>
    <w:r>
      <w:rPr>
        <w:noProof/>
      </w:rPr>
      <w:drawing>
        <wp:inline distT="0" distB="0" distL="0" distR="0" wp14:anchorId="51ECF0F0" wp14:editId="7373E94A">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45"/>
    <w:rsid w:val="000007D1"/>
    <w:rsid w:val="0006007D"/>
    <w:rsid w:val="00093EEB"/>
    <w:rsid w:val="000B0D00"/>
    <w:rsid w:val="000B7C15"/>
    <w:rsid w:val="000D1D0F"/>
    <w:rsid w:val="000E3F07"/>
    <w:rsid w:val="000F5290"/>
    <w:rsid w:val="000F5A95"/>
    <w:rsid w:val="0010165C"/>
    <w:rsid w:val="00146BFB"/>
    <w:rsid w:val="001559F5"/>
    <w:rsid w:val="00157AC4"/>
    <w:rsid w:val="0016169C"/>
    <w:rsid w:val="001958F5"/>
    <w:rsid w:val="001B6E2B"/>
    <w:rsid w:val="001B7C04"/>
    <w:rsid w:val="001F14A2"/>
    <w:rsid w:val="00277DEA"/>
    <w:rsid w:val="002801AA"/>
    <w:rsid w:val="002946E2"/>
    <w:rsid w:val="002C3F32"/>
    <w:rsid w:val="002C4676"/>
    <w:rsid w:val="002C70B0"/>
    <w:rsid w:val="002F3CC4"/>
    <w:rsid w:val="003032E2"/>
    <w:rsid w:val="0031300A"/>
    <w:rsid w:val="003273A4"/>
    <w:rsid w:val="0034796E"/>
    <w:rsid w:val="004571B0"/>
    <w:rsid w:val="00465C35"/>
    <w:rsid w:val="00473962"/>
    <w:rsid w:val="004B5D49"/>
    <w:rsid w:val="004D3A3C"/>
    <w:rsid w:val="00500168"/>
    <w:rsid w:val="00513630"/>
    <w:rsid w:val="00560125"/>
    <w:rsid w:val="00585553"/>
    <w:rsid w:val="005A685A"/>
    <w:rsid w:val="005B34D9"/>
    <w:rsid w:val="005D0CCF"/>
    <w:rsid w:val="005F0915"/>
    <w:rsid w:val="005F3BCB"/>
    <w:rsid w:val="005F410F"/>
    <w:rsid w:val="006011C1"/>
    <w:rsid w:val="0060149A"/>
    <w:rsid w:val="00601924"/>
    <w:rsid w:val="00614145"/>
    <w:rsid w:val="006447EA"/>
    <w:rsid w:val="0064481D"/>
    <w:rsid w:val="0064731F"/>
    <w:rsid w:val="00664572"/>
    <w:rsid w:val="00666D09"/>
    <w:rsid w:val="00670579"/>
    <w:rsid w:val="006710F6"/>
    <w:rsid w:val="00677A97"/>
    <w:rsid w:val="006C1B56"/>
    <w:rsid w:val="006D4761"/>
    <w:rsid w:val="00726872"/>
    <w:rsid w:val="00760F1C"/>
    <w:rsid w:val="007657F0"/>
    <w:rsid w:val="0077110E"/>
    <w:rsid w:val="0077252D"/>
    <w:rsid w:val="007955DA"/>
    <w:rsid w:val="007E5DD3"/>
    <w:rsid w:val="007F350B"/>
    <w:rsid w:val="00820BE4"/>
    <w:rsid w:val="008451E8"/>
    <w:rsid w:val="0084546D"/>
    <w:rsid w:val="008F6ABC"/>
    <w:rsid w:val="00913B9C"/>
    <w:rsid w:val="00927F93"/>
    <w:rsid w:val="00956E77"/>
    <w:rsid w:val="009A338E"/>
    <w:rsid w:val="009A76A8"/>
    <w:rsid w:val="009F4811"/>
    <w:rsid w:val="00A01F4F"/>
    <w:rsid w:val="00A109AF"/>
    <w:rsid w:val="00A47EEC"/>
    <w:rsid w:val="00A94438"/>
    <w:rsid w:val="00AA390C"/>
    <w:rsid w:val="00AD5A4D"/>
    <w:rsid w:val="00AF0EAC"/>
    <w:rsid w:val="00B0200A"/>
    <w:rsid w:val="00B060DF"/>
    <w:rsid w:val="00B1560D"/>
    <w:rsid w:val="00B574DB"/>
    <w:rsid w:val="00B826C2"/>
    <w:rsid w:val="00B8298E"/>
    <w:rsid w:val="00BB6FD8"/>
    <w:rsid w:val="00BD0723"/>
    <w:rsid w:val="00BD2518"/>
    <w:rsid w:val="00BF1D1C"/>
    <w:rsid w:val="00C20C59"/>
    <w:rsid w:val="00C2727F"/>
    <w:rsid w:val="00C4421B"/>
    <w:rsid w:val="00C538FC"/>
    <w:rsid w:val="00C55B1F"/>
    <w:rsid w:val="00C91B52"/>
    <w:rsid w:val="00CF1A67"/>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50D76"/>
    <w:rsid w:val="00E8018B"/>
    <w:rsid w:val="00E92DE8"/>
    <w:rsid w:val="00EA07DC"/>
    <w:rsid w:val="00EB1212"/>
    <w:rsid w:val="00ED65AB"/>
    <w:rsid w:val="00F12850"/>
    <w:rsid w:val="00F21258"/>
    <w:rsid w:val="00F24B71"/>
    <w:rsid w:val="00F33BF4"/>
    <w:rsid w:val="00F7105E"/>
    <w:rsid w:val="00F75F57"/>
    <w:rsid w:val="00F806E4"/>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D160F"/>
  <w15:docId w15:val="{AF58BE1F-296C-4619-9C01-FF672117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qFormat/>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paragraph" w:customStyle="1" w:styleId="Tablefin">
    <w:name w:val="Table_fin"/>
    <w:basedOn w:val="Tabletext"/>
    <w:rsid w:val="00614145"/>
    <w:pPr>
      <w:tabs>
        <w:tab w:val="clear" w:pos="567"/>
        <w:tab w:val="clear" w:pos="851"/>
      </w:tabs>
      <w:spacing w:before="0" w:after="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6-SG-CIR-0007/en" TargetMode="External"/><Relationship Id="rId18" Type="http://schemas.openxmlformats.org/officeDocument/2006/relationships/hyperlink" Target="https://wtpf.itu.int/2026/participation/registration/es" TargetMode="External"/><Relationship Id="rId26" Type="http://schemas.openxmlformats.org/officeDocument/2006/relationships/hyperlink" Target="https://www.itu.int/md/S26-SG-CIR-0007/en" TargetMode="External"/><Relationship Id="rId39" Type="http://schemas.openxmlformats.org/officeDocument/2006/relationships/hyperlink" Target="mailto:wtpf@itu.int" TargetMode="External"/><Relationship Id="rId21" Type="http://schemas.openxmlformats.org/officeDocument/2006/relationships/hyperlink" Target="https://wtpf.itu.int/2026/participation/registration/" TargetMode="External"/><Relationship Id="rId34" Type="http://schemas.openxmlformats.org/officeDocument/2006/relationships/hyperlink" Target="https://www.itu.int/md/S26-SG-CIR-0014/en" TargetMode="External"/><Relationship Id="rId42" Type="http://schemas.openxmlformats.org/officeDocument/2006/relationships/header" Target="header1.xml"/><Relationship Id="rId7" Type="http://schemas.openxmlformats.org/officeDocument/2006/relationships/hyperlink" Target="https://www.itu.int/md/S22-PP-C-0207/es" TargetMode="External"/><Relationship Id="rId2" Type="http://schemas.openxmlformats.org/officeDocument/2006/relationships/settings" Target="settings.xml"/><Relationship Id="rId16" Type="http://schemas.openxmlformats.org/officeDocument/2006/relationships/hyperlink" Target="http://www.itu.int/en/council/Pages/ieg-wtpf-26.aspx" TargetMode="External"/><Relationship Id="rId29" Type="http://schemas.openxmlformats.org/officeDocument/2006/relationships/hyperlink" Target="https://www.itu.int/md/S26-SG-CIR-0013/es" TargetMode="External"/><Relationship Id="rId1" Type="http://schemas.openxmlformats.org/officeDocument/2006/relationships/styles" Target="styles.xml"/><Relationship Id="rId6" Type="http://schemas.openxmlformats.org/officeDocument/2006/relationships/hyperlink" Target="https://www.itu.int/en/council/Documents/basic-texts-2023/RES-002-S.pdf" TargetMode="External"/><Relationship Id="rId11" Type="http://schemas.openxmlformats.org/officeDocument/2006/relationships/hyperlink" Target="https://wtpf.itu.int/2026" TargetMode="External"/><Relationship Id="rId24" Type="http://schemas.openxmlformats.org/officeDocument/2006/relationships/hyperlink" Target="https://www.itu.int/md/S25-SG-CIR-0056/en" TargetMode="External"/><Relationship Id="rId32" Type="http://schemas.openxmlformats.org/officeDocument/2006/relationships/hyperlink" Target="https://www.itu.int/md/S26-SG-CIR-0016/es" TargetMode="External"/><Relationship Id="rId37" Type="http://schemas.openxmlformats.org/officeDocument/2006/relationships/hyperlink" Target="mailto:wtpf@itu.int" TargetMode="External"/><Relationship Id="rId40" Type="http://schemas.openxmlformats.org/officeDocument/2006/relationships/hyperlink" Target="https://wtpf.itu.int/2026/documents/" TargetMode="Externa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mailto:iegwtpf26@lists.itu.int" TargetMode="External"/><Relationship Id="rId23" Type="http://schemas.openxmlformats.org/officeDocument/2006/relationships/hyperlink" Target="https://www.itu.int/md/S25-SG-CIR-0056/es" TargetMode="External"/><Relationship Id="rId28" Type="http://schemas.openxmlformats.org/officeDocument/2006/relationships/hyperlink" Target="https://www.itu.int/md/S26-SG-CIR-0009/en" TargetMode="External"/><Relationship Id="rId36" Type="http://schemas.openxmlformats.org/officeDocument/2006/relationships/hyperlink" Target="https://www.itu.int/md/S26-SG-CIR-0016/en" TargetMode="External"/><Relationship Id="rId10" Type="http://schemas.openxmlformats.org/officeDocument/2006/relationships/hyperlink" Target="file:///C:\Users\trivino\Downloads\wtpf.itu.int\2026" TargetMode="External"/><Relationship Id="rId19" Type="http://schemas.openxmlformats.org/officeDocument/2006/relationships/hyperlink" Target="file:///C:\Users\trivino\Downloads\wtpf26bahamas.com" TargetMode="External"/><Relationship Id="rId31" Type="http://schemas.openxmlformats.org/officeDocument/2006/relationships/hyperlink" Target="https://www.itu.int/md/S26-SG-CIR-0014/es"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tu.int/md/S24-CL-C-0136/es" TargetMode="External"/><Relationship Id="rId14" Type="http://schemas.openxmlformats.org/officeDocument/2006/relationships/hyperlink" Target="https://www.itu.int/en/council/Pages/ieg-wtpf-26.aspx" TargetMode="External"/><Relationship Id="rId22" Type="http://schemas.openxmlformats.org/officeDocument/2006/relationships/hyperlink" Target="https://wtpf26bahamas.com/" TargetMode="External"/><Relationship Id="rId27" Type="http://schemas.openxmlformats.org/officeDocument/2006/relationships/hyperlink" Target="https://www.itu.int/md/S26-SG-CIR-0009/es" TargetMode="External"/><Relationship Id="rId30" Type="http://schemas.openxmlformats.org/officeDocument/2006/relationships/hyperlink" Target="https://www.itu.int/md/S26-SG-CIR-0014/es" TargetMode="External"/><Relationship Id="rId35" Type="http://schemas.openxmlformats.org/officeDocument/2006/relationships/hyperlink" Target="https://www.itu.int/md/S26-SG-CIR-0015/en" TargetMode="External"/><Relationship Id="rId43" Type="http://schemas.openxmlformats.org/officeDocument/2006/relationships/footer" Target="footer2.xml"/><Relationship Id="rId8" Type="http://schemas.openxmlformats.org/officeDocument/2006/relationships/hyperlink" Target="https://www.itu.int/md/S24-CL-C-0005/es" TargetMode="External"/><Relationship Id="rId3" Type="http://schemas.openxmlformats.org/officeDocument/2006/relationships/webSettings" Target="webSettings.xml"/><Relationship Id="rId12" Type="http://schemas.openxmlformats.org/officeDocument/2006/relationships/hyperlink" Target="https://www.itu.int/md/S26-SG-CIR-0007/es" TargetMode="External"/><Relationship Id="rId17" Type="http://schemas.openxmlformats.org/officeDocument/2006/relationships/hyperlink" Target="mailto:iegwtpf26@lists.itu.int" TargetMode="External"/><Relationship Id="rId25" Type="http://schemas.openxmlformats.org/officeDocument/2006/relationships/hyperlink" Target="https://www.itu.int/md/S26-SG-CIR-0007/es" TargetMode="External"/><Relationship Id="rId33" Type="http://schemas.openxmlformats.org/officeDocument/2006/relationships/hyperlink" Target="https://www.itu.int/md/S26-SG-CIR-0013/en" TargetMode="External"/><Relationship Id="rId38" Type="http://schemas.openxmlformats.org/officeDocument/2006/relationships/hyperlink" Target="https://wtpf.itu.int/2026/documents/" TargetMode="External"/><Relationship Id="rId20" Type="http://schemas.openxmlformats.org/officeDocument/2006/relationships/hyperlink" Target="https://wtpf.itu.int/2026" TargetMode="External"/><Relationship Id="rId41"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4</TotalTime>
  <Pages>5</Pages>
  <Words>2090</Words>
  <Characters>13112</Characters>
  <Application>Microsoft Office Word</Application>
  <DocSecurity>0</DocSecurity>
  <Lines>257</Lines>
  <Paragraphs>115</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15087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Preparación para el Foro Mundial de Política de las Telecomunicaciones/TIC de 2026 (FMPT-26)</dc:title>
  <dc:subject>Consejo 2026 de la UIT</dc:subject>
  <cp:keywords>C26; C2026; Council 2026; PP26</cp:keywords>
  <dc:description/>
  <cp:lastPrinted>2006-03-24T09:51:00Z</cp:lastPrinted>
  <dcterms:created xsi:type="dcterms:W3CDTF">2026-04-07T15:46:00Z</dcterms:created>
  <dcterms:modified xsi:type="dcterms:W3CDTF">2026-04-07T15:49:00Z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