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4E3D036D" w14:textId="77777777" w:rsidTr="00F363FE">
        <w:tc>
          <w:tcPr>
            <w:tcW w:w="6512" w:type="dxa"/>
          </w:tcPr>
          <w:p w14:paraId="137BC70F" w14:textId="6BCE0DD4"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BC368A" w:rsidRPr="00AB0060">
              <w:rPr>
                <w:b/>
                <w:bCs/>
                <w:color w:val="000000"/>
                <w:rtl/>
              </w:rPr>
              <w:t xml:space="preserve"> PL-3</w:t>
            </w:r>
          </w:p>
        </w:tc>
        <w:tc>
          <w:tcPr>
            <w:tcW w:w="3117" w:type="dxa"/>
          </w:tcPr>
          <w:p w14:paraId="0E903B3B" w14:textId="7C94D887"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BC368A">
              <w:rPr>
                <w:b/>
                <w:bCs/>
                <w:lang w:bidi="ar-EG"/>
              </w:rPr>
              <w:t>5</w:t>
            </w:r>
            <w:r w:rsidRPr="007B0AA0">
              <w:rPr>
                <w:b/>
                <w:bCs/>
                <w:lang w:bidi="ar-EG"/>
              </w:rPr>
              <w:t>-A</w:t>
            </w:r>
          </w:p>
        </w:tc>
      </w:tr>
      <w:tr w:rsidR="007B0AA0" w14:paraId="0A82EEE8" w14:textId="77777777" w:rsidTr="00F363FE">
        <w:tc>
          <w:tcPr>
            <w:tcW w:w="6512" w:type="dxa"/>
          </w:tcPr>
          <w:p w14:paraId="15B940E5" w14:textId="77777777" w:rsidR="007B0AA0" w:rsidRPr="007B0AA0" w:rsidRDefault="007B0AA0" w:rsidP="00F363FE">
            <w:pPr>
              <w:spacing w:before="60" w:after="60" w:line="260" w:lineRule="exact"/>
              <w:rPr>
                <w:b/>
                <w:bCs/>
                <w:rtl/>
                <w:lang w:bidi="ar-EG"/>
              </w:rPr>
            </w:pPr>
          </w:p>
        </w:tc>
        <w:tc>
          <w:tcPr>
            <w:tcW w:w="3117" w:type="dxa"/>
          </w:tcPr>
          <w:p w14:paraId="7EFB51ED" w14:textId="1A5D6BBE" w:rsidR="007B0AA0" w:rsidRPr="007B0AA0" w:rsidRDefault="00BC368A" w:rsidP="00F363FE">
            <w:pPr>
              <w:spacing w:before="60" w:after="60" w:line="260" w:lineRule="exact"/>
              <w:rPr>
                <w:b/>
                <w:bCs/>
                <w:rtl/>
                <w:lang w:bidi="ar-EG"/>
              </w:rPr>
            </w:pPr>
            <w:r>
              <w:rPr>
                <w:rFonts w:hint="cs"/>
                <w:b/>
                <w:bCs/>
                <w:rtl/>
              </w:rPr>
              <w:t>‏27‏ مارس‏ 2026</w:t>
            </w:r>
          </w:p>
        </w:tc>
      </w:tr>
      <w:tr w:rsidR="007B0AA0" w14:paraId="5A737D81" w14:textId="77777777" w:rsidTr="00F363FE">
        <w:tc>
          <w:tcPr>
            <w:tcW w:w="6512" w:type="dxa"/>
          </w:tcPr>
          <w:p w14:paraId="5C13ECDB" w14:textId="77777777" w:rsidR="007B0AA0" w:rsidRPr="007B0AA0" w:rsidRDefault="007B0AA0" w:rsidP="00F363FE">
            <w:pPr>
              <w:spacing w:before="60" w:after="60" w:line="260" w:lineRule="exact"/>
              <w:rPr>
                <w:b/>
                <w:bCs/>
                <w:rtl/>
                <w:lang w:bidi="ar-EG"/>
              </w:rPr>
            </w:pPr>
          </w:p>
        </w:tc>
        <w:tc>
          <w:tcPr>
            <w:tcW w:w="3117" w:type="dxa"/>
          </w:tcPr>
          <w:p w14:paraId="03727EB4"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57A66BB" w14:textId="77777777" w:rsidTr="00F363FE">
        <w:tc>
          <w:tcPr>
            <w:tcW w:w="6512" w:type="dxa"/>
          </w:tcPr>
          <w:p w14:paraId="1BA2ADF5" w14:textId="77777777" w:rsidR="007B0AA0" w:rsidRDefault="007B0AA0" w:rsidP="00F363FE">
            <w:pPr>
              <w:spacing w:before="60" w:after="60" w:line="260" w:lineRule="exact"/>
              <w:rPr>
                <w:lang w:bidi="ar-EG"/>
              </w:rPr>
            </w:pPr>
          </w:p>
        </w:tc>
        <w:tc>
          <w:tcPr>
            <w:tcW w:w="3117" w:type="dxa"/>
          </w:tcPr>
          <w:p w14:paraId="4AF85FA7" w14:textId="77777777" w:rsidR="007B0AA0" w:rsidRDefault="007B0AA0" w:rsidP="00F363FE">
            <w:pPr>
              <w:spacing w:before="60" w:after="60" w:line="260" w:lineRule="exact"/>
              <w:rPr>
                <w:rtl/>
                <w:lang w:bidi="ar-EG"/>
              </w:rPr>
            </w:pPr>
          </w:p>
        </w:tc>
      </w:tr>
      <w:tr w:rsidR="007B0AA0" w14:paraId="7C35713D" w14:textId="77777777" w:rsidTr="00EE7446">
        <w:tc>
          <w:tcPr>
            <w:tcW w:w="9629" w:type="dxa"/>
            <w:gridSpan w:val="2"/>
          </w:tcPr>
          <w:p w14:paraId="33C3DE57"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58D06C7" w14:textId="77777777" w:rsidTr="007B0AA0">
        <w:tc>
          <w:tcPr>
            <w:tcW w:w="9629" w:type="dxa"/>
            <w:gridSpan w:val="2"/>
            <w:tcBorders>
              <w:bottom w:val="single" w:sz="4" w:space="0" w:color="auto"/>
            </w:tcBorders>
          </w:tcPr>
          <w:p w14:paraId="294635DC" w14:textId="7849E699" w:rsidR="007B0AA0" w:rsidRPr="00E311B5" w:rsidRDefault="00BC368A" w:rsidP="007B0AA0">
            <w:pPr>
              <w:pStyle w:val="Subtitle0"/>
              <w:rPr>
                <w:sz w:val="32"/>
                <w:szCs w:val="32"/>
              </w:rPr>
            </w:pPr>
            <w:r w:rsidRPr="00E311B5">
              <w:rPr>
                <w:sz w:val="32"/>
                <w:szCs w:val="32"/>
                <w:rtl/>
              </w:rPr>
              <w:t>الأعمال التحضيرية للمنتدى العالمي لسياسات الاتصالات/تكنولوجيا المعلومات والاتصالات لعام 2026 (WTPF-26)</w:t>
            </w:r>
          </w:p>
        </w:tc>
      </w:tr>
      <w:tr w:rsidR="007B0AA0" w14:paraId="442E1417" w14:textId="77777777" w:rsidTr="007B0AA0">
        <w:tc>
          <w:tcPr>
            <w:tcW w:w="9629" w:type="dxa"/>
            <w:gridSpan w:val="2"/>
            <w:tcBorders>
              <w:top w:val="single" w:sz="4" w:space="0" w:color="auto"/>
              <w:bottom w:val="single" w:sz="4" w:space="0" w:color="auto"/>
            </w:tcBorders>
          </w:tcPr>
          <w:p w14:paraId="0E49A935" w14:textId="77777777" w:rsidR="007B0AA0" w:rsidRPr="007B0AA0" w:rsidRDefault="007B0AA0" w:rsidP="007B0AA0">
            <w:pPr>
              <w:rPr>
                <w:b/>
                <w:bCs/>
                <w:rtl/>
              </w:rPr>
            </w:pPr>
            <w:r w:rsidRPr="00494119">
              <w:rPr>
                <w:rFonts w:hint="cs"/>
                <w:b/>
                <w:bCs/>
                <w:rtl/>
              </w:rPr>
              <w:t>الغرض</w:t>
            </w:r>
          </w:p>
          <w:p w14:paraId="3AED1079" w14:textId="3FB9F9EF" w:rsidR="007B0AA0" w:rsidRDefault="00BC368A" w:rsidP="00BC368A">
            <w:pPr>
              <w:rPr>
                <w:rtl/>
              </w:rPr>
            </w:pPr>
            <w:r w:rsidRPr="00BC368A">
              <w:rPr>
                <w:rtl/>
              </w:rPr>
              <w:t xml:space="preserve">قرر مؤتمر المندوبين المفوضين بموجب القرار 2 (المراجَع في بوخارست، 2022) عقد المنتدى العالمي لسياسات الاتصالات/تكنولوجيا المعلومات والاتصالات </w:t>
            </w:r>
            <w:r w:rsidRPr="00BC368A">
              <w:t>(WTPF)</w:t>
            </w:r>
            <w:r w:rsidRPr="00BC368A">
              <w:rPr>
                <w:rtl/>
              </w:rPr>
              <w:t xml:space="preserve">. وقرر المجلس في دورته لعام 2024 عقد منتدى سابع لسياسات الاتصالات/تكنولوجيا المعلومات والاتصالات لمدة ثلاثة أيام في النصف الأول من عام 2026 (WTPF-26)، على أن تحدد الدورة التالية للمجلس موعده ومكان انعقاده، وأنشأ فريق خبراء غير رسمي </w:t>
            </w:r>
            <w:r w:rsidRPr="00BC368A">
              <w:t>(IEG)</w:t>
            </w:r>
            <w:r w:rsidRPr="00BC368A">
              <w:rPr>
                <w:rtl/>
              </w:rPr>
              <w:t xml:space="preserve"> للمساعدة في إعداد تقرير الأمينة العامة الذي يُقدَّم إلى المنتدى WTPF-26. وعُدِّل المقرر 641 لاحقاً في دورة المجلس لعام 2025، وأكد أن المنتدى سيُعقد في ناسو، كومنولث البهاما، في الفترة من 9 إلى 11 يونيو 2026. وتقدم هذه الوثيقة معلومات محدَّثة عن العملية التحضيرية للمنتدى WTPF-26 وحالة الأعمال التحضيرية له.</w:t>
            </w:r>
          </w:p>
          <w:p w14:paraId="339DD0F8" w14:textId="77777777" w:rsidR="007B0AA0" w:rsidRPr="007B0AA0" w:rsidRDefault="007B0AA0" w:rsidP="007B0AA0">
            <w:pPr>
              <w:rPr>
                <w:b/>
                <w:bCs/>
                <w:rtl/>
              </w:rPr>
            </w:pPr>
            <w:r w:rsidRPr="007B0AA0">
              <w:rPr>
                <w:rFonts w:hint="cs"/>
                <w:b/>
                <w:bCs/>
                <w:rtl/>
              </w:rPr>
              <w:t>الإجراء المطلوب من المجلس</w:t>
            </w:r>
          </w:p>
          <w:p w14:paraId="486679DC" w14:textId="0ABBF74D" w:rsidR="007B0AA0" w:rsidRDefault="00BC368A" w:rsidP="007B0AA0">
            <w:pPr>
              <w:rPr>
                <w:rtl/>
              </w:rPr>
            </w:pPr>
            <w:r w:rsidRPr="00BC368A">
              <w:rPr>
                <w:rtl/>
              </w:rPr>
              <w:t xml:space="preserve">يُدعى المجلس إلى </w:t>
            </w:r>
            <w:r w:rsidRPr="00BC368A">
              <w:rPr>
                <w:b/>
                <w:bCs/>
                <w:rtl/>
              </w:rPr>
              <w:t>الإحاطة علماً</w:t>
            </w:r>
            <w:r w:rsidRPr="00BC368A">
              <w:rPr>
                <w:rtl/>
              </w:rPr>
              <w:t xml:space="preserve"> بالعملية التحضيرية.</w:t>
            </w:r>
          </w:p>
          <w:p w14:paraId="1E5DB681" w14:textId="22F0E2BC" w:rsidR="007B0AA0" w:rsidRPr="007B0AA0" w:rsidRDefault="00494119" w:rsidP="007B0AA0">
            <w:pPr>
              <w:rPr>
                <w:b/>
                <w:bCs/>
                <w:rtl/>
              </w:rPr>
            </w:pPr>
            <w:r>
              <w:rPr>
                <w:rFonts w:hint="cs"/>
                <w:b/>
                <w:bCs/>
                <w:rtl/>
                <w:lang w:bidi="ar-EG"/>
              </w:rPr>
              <w:t>الصلة</w:t>
            </w:r>
            <w:r w:rsidR="000D1B96">
              <w:rPr>
                <w:rFonts w:hint="cs"/>
                <w:b/>
                <w:bCs/>
                <w:rtl/>
                <w:lang w:bidi="ar-EG"/>
              </w:rPr>
              <w:t xml:space="preserve"> </w:t>
            </w:r>
            <w:r w:rsidR="007B0AA0" w:rsidRPr="007B0AA0">
              <w:rPr>
                <w:b/>
                <w:bCs/>
                <w:rtl/>
              </w:rPr>
              <w:t>بالخطة ال</w:t>
            </w:r>
            <w:r w:rsidR="007B0AA0" w:rsidRPr="007B0AA0">
              <w:rPr>
                <w:rFonts w:hint="cs"/>
                <w:b/>
                <w:bCs/>
                <w:rtl/>
              </w:rPr>
              <w:t>ا</w:t>
            </w:r>
            <w:r w:rsidR="007B0AA0" w:rsidRPr="007B0AA0">
              <w:rPr>
                <w:b/>
                <w:bCs/>
                <w:rtl/>
              </w:rPr>
              <w:t>ستراتيجية</w:t>
            </w:r>
          </w:p>
          <w:p w14:paraId="0C2F3494" w14:textId="09E24826" w:rsidR="007B0AA0" w:rsidRDefault="00BC368A" w:rsidP="00BC368A">
            <w:pPr>
              <w:rPr>
                <w:rtl/>
              </w:rPr>
            </w:pPr>
            <w:r w:rsidRPr="00BC368A">
              <w:rPr>
                <w:rtl/>
              </w:rPr>
              <w:t xml:space="preserve">منصات </w:t>
            </w:r>
            <w:r w:rsidR="00E311B5">
              <w:rPr>
                <w:rFonts w:hint="cs"/>
                <w:rtl/>
              </w:rPr>
              <w:t>عقد الاجتماعات.</w:t>
            </w:r>
          </w:p>
          <w:p w14:paraId="0A00D0B6" w14:textId="77777777" w:rsidR="007B0AA0" w:rsidRDefault="007B0AA0" w:rsidP="00B97F32">
            <w:pPr>
              <w:rPr>
                <w:b/>
                <w:bCs/>
              </w:rPr>
            </w:pPr>
            <w:r w:rsidRPr="007B0AA0">
              <w:rPr>
                <w:rFonts w:hint="cs"/>
                <w:b/>
                <w:bCs/>
                <w:rtl/>
              </w:rPr>
              <w:t>الآثار المالية</w:t>
            </w:r>
          </w:p>
          <w:p w14:paraId="5C537968" w14:textId="1389A9A1" w:rsidR="006F363C" w:rsidRPr="005546CF" w:rsidRDefault="00BC368A" w:rsidP="00BC368A">
            <w:pPr>
              <w:rPr>
                <w:rtl/>
              </w:rPr>
            </w:pPr>
            <w:r w:rsidRPr="00BC368A">
              <w:rPr>
                <w:rtl/>
              </w:rPr>
              <w:t>ضمن الميزانية المخصصة لفترة السنتين 2026-2027.</w:t>
            </w:r>
          </w:p>
          <w:p w14:paraId="096579D4"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4FF74D6" w14:textId="77777777" w:rsidR="007B0AA0" w:rsidRPr="007B0AA0" w:rsidRDefault="007B0AA0" w:rsidP="007B0AA0">
            <w:pPr>
              <w:rPr>
                <w:b/>
                <w:bCs/>
                <w:rtl/>
              </w:rPr>
            </w:pPr>
            <w:r w:rsidRPr="007B0AA0">
              <w:rPr>
                <w:rFonts w:hint="cs"/>
                <w:b/>
                <w:bCs/>
                <w:rtl/>
              </w:rPr>
              <w:t>المراجع</w:t>
            </w:r>
          </w:p>
          <w:p w14:paraId="2731FFC6" w14:textId="21EB860E" w:rsidR="007B0AA0" w:rsidRPr="005546CF" w:rsidRDefault="00BC368A" w:rsidP="000D1B96">
            <w:pPr>
              <w:rPr>
                <w:i/>
                <w:iCs/>
                <w:rtl/>
              </w:rPr>
            </w:pPr>
            <w:r w:rsidRPr="00BC368A">
              <w:rPr>
                <w:i/>
                <w:iCs/>
                <w:rtl/>
              </w:rPr>
              <w:t>القرار</w:t>
            </w:r>
            <w:hyperlink r:id="rId8" w:history="1">
              <w:r w:rsidRPr="000D1B96">
                <w:rPr>
                  <w:rStyle w:val="Hyperlink"/>
                  <w:i/>
                  <w:iCs/>
                  <w:noProof w:val="0"/>
                  <w:rtl/>
                  <w:lang w:val="en-US" w:eastAsia="zh-CN"/>
                </w:rPr>
                <w:t xml:space="preserve"> 2 (المراجَع في بوخارست، 2022)</w:t>
              </w:r>
            </w:hyperlink>
            <w:r w:rsidRPr="00BC368A">
              <w:rPr>
                <w:i/>
                <w:iCs/>
                <w:rtl/>
              </w:rPr>
              <w:t xml:space="preserve"> لمؤتمر المندوبين المفوضين؛ الوثيقة </w:t>
            </w:r>
            <w:hyperlink r:id="rId9" w:history="1">
              <w:r w:rsidR="000D1B96" w:rsidRPr="000D1B96">
                <w:rPr>
                  <w:rStyle w:val="Hyperlink"/>
                  <w:i/>
                  <w:iCs/>
                  <w:noProof w:val="0"/>
                  <w:lang w:eastAsia="zh-CN"/>
                </w:rPr>
                <w:t>207</w:t>
              </w:r>
            </w:hyperlink>
            <w:r w:rsidRPr="00BC368A">
              <w:rPr>
                <w:i/>
                <w:iCs/>
                <w:u w:val="single"/>
                <w:rtl/>
              </w:rPr>
              <w:t xml:space="preserve"> </w:t>
            </w:r>
            <w:r w:rsidRPr="00BC368A">
              <w:rPr>
                <w:i/>
                <w:iCs/>
                <w:rtl/>
              </w:rPr>
              <w:t>لمؤتمر المندوبين المفوضين لعام</w:t>
            </w:r>
            <w:r w:rsidR="00E311B5">
              <w:rPr>
                <w:rFonts w:hint="cs"/>
                <w:i/>
                <w:iCs/>
                <w:rtl/>
              </w:rPr>
              <w:t> </w:t>
            </w:r>
            <w:r w:rsidRPr="00BC368A">
              <w:rPr>
                <w:i/>
                <w:iCs/>
                <w:rtl/>
              </w:rPr>
              <w:t xml:space="preserve">2022؛ والوثيقة </w:t>
            </w:r>
            <w:hyperlink r:id="rId10" w:history="1">
              <w:r w:rsidR="000D1B96" w:rsidRPr="000D1B96">
                <w:rPr>
                  <w:rStyle w:val="Hyperlink"/>
                  <w:i/>
                  <w:iCs/>
                  <w:noProof w:val="0"/>
                  <w:lang w:eastAsia="zh-CN"/>
                </w:rPr>
                <w:t>C24/5</w:t>
              </w:r>
            </w:hyperlink>
            <w:r w:rsidRPr="00BC368A">
              <w:rPr>
                <w:i/>
                <w:iCs/>
                <w:rtl/>
              </w:rPr>
              <w:t xml:space="preserve">؛ </w:t>
            </w:r>
            <w:hyperlink r:id="rId11" w:history="1">
              <w:r w:rsidRPr="000D1B96">
                <w:rPr>
                  <w:rStyle w:val="Hyperlink"/>
                  <w:i/>
                  <w:iCs/>
                  <w:noProof w:val="0"/>
                  <w:rtl/>
                  <w:lang w:val="en-US" w:eastAsia="zh-CN"/>
                </w:rPr>
                <w:t>المقرر 641</w:t>
              </w:r>
            </w:hyperlink>
            <w:r w:rsidRPr="00BC368A">
              <w:rPr>
                <w:i/>
                <w:iCs/>
                <w:rtl/>
              </w:rPr>
              <w:t xml:space="preserve"> للمجلس</w:t>
            </w:r>
            <w:r>
              <w:rPr>
                <w:rFonts w:hint="cs"/>
                <w:i/>
                <w:iCs/>
                <w:rtl/>
              </w:rPr>
              <w:t>.</w:t>
            </w:r>
          </w:p>
        </w:tc>
      </w:tr>
    </w:tbl>
    <w:p w14:paraId="36C582EF" w14:textId="77777777" w:rsidR="00E61BE8" w:rsidRDefault="00E61BE8" w:rsidP="00E61BE8">
      <w:pPr>
        <w:rPr>
          <w:rtl/>
          <w:lang w:bidi="ar-EG"/>
        </w:rPr>
      </w:pPr>
    </w:p>
    <w:p w14:paraId="523CD6BA" w14:textId="77777777" w:rsidR="00F50E3F" w:rsidRDefault="00F50E3F" w:rsidP="0043260A">
      <w:pPr>
        <w:rPr>
          <w:rtl/>
          <w:lang w:bidi="ar-EG"/>
        </w:rPr>
      </w:pPr>
      <w:r>
        <w:rPr>
          <w:rtl/>
          <w:lang w:bidi="ar-EG"/>
        </w:rPr>
        <w:br w:type="page"/>
      </w:r>
    </w:p>
    <w:p w14:paraId="6468CB9C" w14:textId="77777777" w:rsidR="00BC368A" w:rsidRPr="00BC368A" w:rsidRDefault="00BC368A" w:rsidP="000D1B96">
      <w:pPr>
        <w:pStyle w:val="Heading1"/>
        <w:rPr>
          <w:rtl/>
        </w:rPr>
      </w:pPr>
      <w:r w:rsidRPr="00BC368A">
        <w:rPr>
          <w:rtl/>
        </w:rPr>
        <w:lastRenderedPageBreak/>
        <w:t>1</w:t>
      </w:r>
      <w:r w:rsidRPr="00BC368A">
        <w:rPr>
          <w:rtl/>
        </w:rPr>
        <w:tab/>
        <w:t>معلومات أساسية</w:t>
      </w:r>
    </w:p>
    <w:p w14:paraId="23580859" w14:textId="119A65CB" w:rsidR="00BC368A" w:rsidRPr="00BC368A" w:rsidRDefault="000D1B96" w:rsidP="00BC368A">
      <w:pPr>
        <w:rPr>
          <w:rtl/>
        </w:rPr>
      </w:pPr>
      <w:r>
        <w:t>1.1</w:t>
      </w:r>
      <w:r w:rsidR="00BC368A" w:rsidRPr="00BC368A">
        <w:rPr>
          <w:rtl/>
        </w:rPr>
        <w:tab/>
        <w:t xml:space="preserve">أنشأ مؤتمر المندوبين المفوضين (كيوتو، 1994) المنتدى العالمي لسياسات الاتصالات/تكنولوجيا المعلومات والاتصالات </w:t>
      </w:r>
      <w:r w:rsidR="00BC368A" w:rsidRPr="00BC368A">
        <w:rPr>
          <w:lang w:bidi="ar-EG"/>
        </w:rPr>
        <w:t>(WTPF)</w:t>
      </w:r>
      <w:r w:rsidR="00BC368A" w:rsidRPr="00BC368A">
        <w:rPr>
          <w:rtl/>
        </w:rPr>
        <w:t xml:space="preserve"> للاتحاد، الذي تُنظَّم أعماله بموجب أحكام القرار 2 (المراجَع في بوخارست، 2022).</w:t>
      </w:r>
    </w:p>
    <w:p w14:paraId="03450EA9" w14:textId="1693E71F" w:rsidR="00BC368A" w:rsidRPr="00BC368A" w:rsidRDefault="000D1B96" w:rsidP="000D1B96">
      <w:pPr>
        <w:rPr>
          <w:rtl/>
        </w:rPr>
      </w:pPr>
      <w:r>
        <w:t>2.1</w:t>
      </w:r>
      <w:r w:rsidR="00BC368A" w:rsidRPr="00BC368A">
        <w:rPr>
          <w:rtl/>
        </w:rPr>
        <w:tab/>
        <w:t>ووافق المجلس في دورته لعام 2024 عملاً بالقرار 2 (المراجَع في بوخارست، 2022) على المقرر 641 الذي قرر عقد المنتدى العالمي السابع لسياسات الاتصالات/تكنولوجيا المعلومات والاتصالات</w:t>
      </w:r>
      <w:r>
        <w:rPr>
          <w:rFonts w:hint="cs"/>
          <w:rtl/>
          <w:lang w:bidi="ar-EG"/>
        </w:rPr>
        <w:t xml:space="preserve"> </w:t>
      </w:r>
      <w:r w:rsidRPr="000D1B96">
        <w:rPr>
          <w:lang w:val="en-GB" w:bidi="ar-EG"/>
        </w:rPr>
        <w:t>(WTPF-26)</w:t>
      </w:r>
      <w:r>
        <w:rPr>
          <w:rFonts w:hint="cs"/>
          <w:rtl/>
          <w:lang w:val="en-GB" w:bidi="ar-EG"/>
        </w:rPr>
        <w:t xml:space="preserve"> </w:t>
      </w:r>
      <w:r w:rsidR="00BC368A" w:rsidRPr="00BC368A">
        <w:rPr>
          <w:rtl/>
        </w:rPr>
        <w:t>لمدة ثلاثة أيام في</w:t>
      </w:r>
      <w:r>
        <w:rPr>
          <w:rFonts w:hint="cs"/>
          <w:rtl/>
        </w:rPr>
        <w:t> </w:t>
      </w:r>
      <w:r w:rsidR="00BC368A" w:rsidRPr="00BC368A">
        <w:rPr>
          <w:rtl/>
        </w:rPr>
        <w:t>النصف الأول من عام 2026، على أن يحدد المجلس في دورته المقبلة موعد ومكان انعقاد المنتدى. وعدَّل المجلس في دورته لعام 2025 المقرر 641 لاحقاً (المقرر 641 (دورة المجلس لعام 2024، التعديل الأخير في دورة المجلس لعام</w:t>
      </w:r>
      <w:r w:rsidR="007353D0">
        <w:rPr>
          <w:rFonts w:hint="cs"/>
          <w:rtl/>
        </w:rPr>
        <w:t> </w:t>
      </w:r>
      <w:r w:rsidR="00BC368A" w:rsidRPr="00BC368A">
        <w:rPr>
          <w:rtl/>
        </w:rPr>
        <w:t>2025))، الذي أكد أن المنتدى WTPF-26 سيُعقد في ناسو، جزر البهاما، في الفترة من 9 إلى 11 يونيو 2026، إلى جانب حوار استراتيجي في 8 يونيو 2026.</w:t>
      </w:r>
    </w:p>
    <w:p w14:paraId="0B501216" w14:textId="0E72274D" w:rsidR="00BC368A" w:rsidRPr="00BC368A" w:rsidRDefault="000D1B96" w:rsidP="00BC368A">
      <w:pPr>
        <w:rPr>
          <w:rtl/>
        </w:rPr>
      </w:pPr>
      <w:r>
        <w:t>3.1</w:t>
      </w:r>
      <w:r w:rsidR="00BC368A" w:rsidRPr="00BC368A">
        <w:rPr>
          <w:rtl/>
        </w:rPr>
        <w:tab/>
        <w:t>وقرر المجلس، بموجب مقرره 641، أن يكون موضوع المنتدى WTPF-26 كما يلي:</w:t>
      </w:r>
    </w:p>
    <w:p w14:paraId="19D27B50" w14:textId="77777777" w:rsidR="00BC368A" w:rsidRPr="00BC368A" w:rsidRDefault="00BC368A" w:rsidP="00E311B5">
      <w:pPr>
        <w:pStyle w:val="enumlev1"/>
        <w:rPr>
          <w:rtl/>
        </w:rPr>
      </w:pPr>
      <w:r w:rsidRPr="00BC368A">
        <w:rPr>
          <w:rtl/>
        </w:rPr>
        <w:tab/>
      </w:r>
      <w:r w:rsidRPr="00BC368A">
        <w:rPr>
          <w:lang w:bidi="ar-EG"/>
        </w:rPr>
        <w:t>"</w:t>
      </w:r>
      <w:r w:rsidRPr="00BC368A">
        <w:rPr>
          <w:b/>
          <w:bCs/>
          <w:rtl/>
        </w:rPr>
        <w:t>التعجيل بتحقيق مستقبل رقمي شامل للجميع ومستدام ومرن الاستجابة ومبتكر</w:t>
      </w:r>
      <w:r w:rsidRPr="00BC368A">
        <w:rPr>
          <w:rtl/>
        </w:rPr>
        <w:t>: وفي هذا الصدد، سيناقش المنتدى WTPF-26 الفرص والتحديات والسياسات لمعالجة ما يلي:</w:t>
      </w:r>
    </w:p>
    <w:p w14:paraId="3AD161B4" w14:textId="77777777" w:rsidR="00BC368A" w:rsidRPr="00BC368A" w:rsidRDefault="00BC368A" w:rsidP="00E311B5">
      <w:pPr>
        <w:pStyle w:val="enumlev2"/>
        <w:rPr>
          <w:rtl/>
        </w:rPr>
      </w:pPr>
      <w:r w:rsidRPr="00BC368A">
        <w:rPr>
          <w:lang w:bidi="ar-EG"/>
        </w:rPr>
        <w:t>–</w:t>
      </w:r>
      <w:r w:rsidRPr="00BC368A">
        <w:rPr>
          <w:rtl/>
        </w:rPr>
        <w:tab/>
        <w:t>سد الفجوات الرقمية، لا سيما فيما يخص نوع الجنس والسن وكذلك المهارات والتوصيلية</w:t>
      </w:r>
    </w:p>
    <w:p w14:paraId="0D9E0315" w14:textId="77777777" w:rsidR="00BC368A" w:rsidRPr="00BC368A" w:rsidRDefault="00BC368A" w:rsidP="00E311B5">
      <w:pPr>
        <w:pStyle w:val="enumlev2"/>
        <w:rPr>
          <w:rtl/>
        </w:rPr>
      </w:pPr>
      <w:r w:rsidRPr="00BC368A">
        <w:rPr>
          <w:lang w:bidi="ar-EG"/>
        </w:rPr>
        <w:t>–</w:t>
      </w:r>
      <w:r w:rsidRPr="00BC368A">
        <w:rPr>
          <w:rtl/>
        </w:rPr>
        <w:tab/>
        <w:t>التحول الرقمي المراعي للبيئة: تغير المناخ والاستدامة البيئية</w:t>
      </w:r>
    </w:p>
    <w:p w14:paraId="01E8FFC5" w14:textId="77777777" w:rsidR="00BC368A" w:rsidRPr="00BC368A" w:rsidRDefault="00BC368A" w:rsidP="00E311B5">
      <w:pPr>
        <w:pStyle w:val="enumlev2"/>
        <w:rPr>
          <w:rtl/>
        </w:rPr>
      </w:pPr>
      <w:r w:rsidRPr="00BC368A">
        <w:rPr>
          <w:lang w:bidi="ar-EG"/>
        </w:rPr>
        <w:t>–</w:t>
      </w:r>
      <w:r w:rsidRPr="00BC368A">
        <w:rPr>
          <w:rtl/>
        </w:rPr>
        <w:tab/>
        <w:t>قدرة الاتصالات/تكنولوجيا المعلومات والاتصالات على الصمود</w:t>
      </w:r>
    </w:p>
    <w:p w14:paraId="62A8D273" w14:textId="77777777" w:rsidR="00BC368A" w:rsidRPr="00BC368A" w:rsidRDefault="00BC368A" w:rsidP="00E311B5">
      <w:pPr>
        <w:pStyle w:val="enumlev2"/>
        <w:rPr>
          <w:rtl/>
        </w:rPr>
      </w:pPr>
      <w:r w:rsidRPr="00BC368A">
        <w:rPr>
          <w:lang w:bidi="ar-EG"/>
        </w:rPr>
        <w:t>–</w:t>
      </w:r>
      <w:r w:rsidRPr="00BC368A">
        <w:rPr>
          <w:rtl/>
        </w:rPr>
        <w:tab/>
        <w:t>التوصيلية الفضائية</w:t>
      </w:r>
    </w:p>
    <w:p w14:paraId="019E743A" w14:textId="6A476114" w:rsidR="00BC368A" w:rsidRPr="00E311B5" w:rsidRDefault="00BC368A" w:rsidP="00E311B5">
      <w:pPr>
        <w:pStyle w:val="enumlev2"/>
        <w:rPr>
          <w:spacing w:val="-6"/>
          <w:rtl/>
        </w:rPr>
      </w:pPr>
      <w:r w:rsidRPr="00E311B5">
        <w:rPr>
          <w:spacing w:val="-6"/>
          <w:lang w:bidi="ar-EG"/>
        </w:rPr>
        <w:t>–</w:t>
      </w:r>
      <w:r w:rsidRPr="00E311B5">
        <w:rPr>
          <w:spacing w:val="-6"/>
          <w:rtl/>
        </w:rPr>
        <w:tab/>
        <w:t xml:space="preserve">تعزيز أنظمة الابتكار الإيكولوجية وريادة الأعمال </w:t>
      </w:r>
      <w:r w:rsidR="00E311B5" w:rsidRPr="00E311B5">
        <w:rPr>
          <w:rFonts w:hint="cs"/>
          <w:spacing w:val="-6"/>
          <w:rtl/>
        </w:rPr>
        <w:t>المتمحورة حول</w:t>
      </w:r>
      <w:r w:rsidRPr="00E311B5">
        <w:rPr>
          <w:spacing w:val="-6"/>
          <w:rtl/>
        </w:rPr>
        <w:t xml:space="preserve"> على تكنولوجيا المعلومات والاتصالات</w:t>
      </w:r>
      <w:r w:rsidR="00A60384" w:rsidRPr="00E311B5">
        <w:rPr>
          <w:spacing w:val="-6"/>
          <w:rtl/>
        </w:rPr>
        <w:t>"</w:t>
      </w:r>
      <w:r w:rsidR="00A60384" w:rsidRPr="00E311B5">
        <w:rPr>
          <w:rFonts w:hint="cs"/>
          <w:spacing w:val="-6"/>
          <w:rtl/>
        </w:rPr>
        <w:t>.</w:t>
      </w:r>
    </w:p>
    <w:p w14:paraId="36DD9582" w14:textId="77777777" w:rsidR="00BC368A" w:rsidRPr="00BC368A" w:rsidRDefault="00BC368A" w:rsidP="000D1B96">
      <w:pPr>
        <w:pStyle w:val="Heading1"/>
        <w:rPr>
          <w:rtl/>
        </w:rPr>
      </w:pPr>
      <w:r w:rsidRPr="00BC368A">
        <w:rPr>
          <w:rtl/>
        </w:rPr>
        <w:t>2</w:t>
      </w:r>
      <w:r w:rsidRPr="00BC368A">
        <w:rPr>
          <w:rtl/>
        </w:rPr>
        <w:tab/>
        <w:t>العملية التحضيرية للمنتدى WTPF-26</w:t>
      </w:r>
    </w:p>
    <w:p w14:paraId="6DBD7E28" w14:textId="4D0BC3BA" w:rsidR="00BC368A" w:rsidRPr="00BC368A" w:rsidRDefault="000D1B96" w:rsidP="00FE3E43">
      <w:pPr>
        <w:rPr>
          <w:rtl/>
        </w:rPr>
      </w:pPr>
      <w:r>
        <w:t>1.2</w:t>
      </w:r>
      <w:r w:rsidR="00BC368A" w:rsidRPr="00BC368A">
        <w:rPr>
          <w:rtl/>
        </w:rPr>
        <w:tab/>
        <w:t xml:space="preserve">وفقاً للمقرر 641، دعت الأمينة العامة للاتحاد إلى إنشاء فريق خبراء غير رسمي </w:t>
      </w:r>
      <w:r w:rsidR="00FE3E43" w:rsidRPr="00FE3E43">
        <w:rPr>
          <w:lang w:val="en-GB"/>
        </w:rPr>
        <w:t>(IEG-WTPF-26)</w:t>
      </w:r>
      <w:r w:rsidR="00BC368A" w:rsidRPr="00BC368A">
        <w:rPr>
          <w:rtl/>
        </w:rPr>
        <w:t xml:space="preserve"> لإعداد تقرير الأمينة العامة الذي سيُقدَّم إلى المنتدى WTPF-26 (تقرير الأمينة العامة) ويشكل أساس المناقشات في المنتدى</w:t>
      </w:r>
      <w:r w:rsidR="00E311B5">
        <w:rPr>
          <w:rFonts w:hint="cs"/>
          <w:rtl/>
        </w:rPr>
        <w:t> </w:t>
      </w:r>
      <w:r w:rsidR="00BC368A" w:rsidRPr="00BC368A">
        <w:rPr>
          <w:rtl/>
        </w:rPr>
        <w:t>WTPF-26. وعين المجلس في دورته لعام 2024 السيد رودني تايلور من بربادوس رئيساً لفريق الخبراء غير الرسمي، فضلاً عن ستة نواب للرئيس يمثلون كل منطقة من مناطق الاتحاد. ودعيت الدول الأعضاء وأعضاء القطاعات والمنتسبون والهيئات الأكاديمية، فضلاً عن دولة فلسطين والمنظمات التي لها الحق في حضور مؤتمرات الاتحاد واجتماعاته بصفة مراقب، إلى ترشيح خبرائها للفريق غير الرسمي المعني بالمنتدى WTPF-26.</w:t>
      </w:r>
    </w:p>
    <w:p w14:paraId="199DB959" w14:textId="53990122" w:rsidR="00BC368A" w:rsidRPr="00BC368A" w:rsidRDefault="000D1B96" w:rsidP="00BC368A">
      <w:pPr>
        <w:rPr>
          <w:rtl/>
        </w:rPr>
      </w:pPr>
      <w:r>
        <w:t>2.2</w:t>
      </w:r>
      <w:r w:rsidR="00BC368A" w:rsidRPr="00BC368A">
        <w:rPr>
          <w:rtl/>
        </w:rPr>
        <w:tab/>
        <w:t>وعقد فريق الخبراء غير الرسمي أربعة اجتماعات:</w:t>
      </w:r>
    </w:p>
    <w:p w14:paraId="52DC45B3" w14:textId="77777777" w:rsidR="00BC368A" w:rsidRPr="00BC368A" w:rsidRDefault="00BC368A" w:rsidP="00FE3E43">
      <w:pPr>
        <w:pStyle w:val="enumlev1"/>
        <w:rPr>
          <w:rtl/>
        </w:rPr>
      </w:pPr>
      <w:r w:rsidRPr="00BC368A">
        <w:rPr>
          <w:i/>
          <w:iCs/>
          <w:lang w:bidi="ar-EG"/>
        </w:rPr>
        <w:t>–</w:t>
      </w:r>
      <w:r w:rsidRPr="00BC368A">
        <w:rPr>
          <w:rtl/>
        </w:rPr>
        <w:tab/>
        <w:t>الاجتماع الأول</w:t>
      </w:r>
      <w:r w:rsidRPr="00BC368A">
        <w:rPr>
          <w:lang w:bidi="ar-EG"/>
        </w:rPr>
        <w:t>:</w:t>
      </w:r>
      <w:r w:rsidRPr="00BC368A">
        <w:rPr>
          <w:rtl/>
        </w:rPr>
        <w:t xml:space="preserve"> 7-8 أكتوبر 2024، بمقر الاتحاد</w:t>
      </w:r>
    </w:p>
    <w:p w14:paraId="676AD0F9" w14:textId="77777777" w:rsidR="00BC368A" w:rsidRPr="00BC368A" w:rsidRDefault="00BC368A" w:rsidP="00FE3E43">
      <w:pPr>
        <w:pStyle w:val="enumlev1"/>
        <w:rPr>
          <w:rtl/>
        </w:rPr>
      </w:pPr>
      <w:r w:rsidRPr="00BC368A">
        <w:rPr>
          <w:i/>
          <w:iCs/>
          <w:lang w:bidi="ar-EG"/>
        </w:rPr>
        <w:t>–</w:t>
      </w:r>
      <w:r w:rsidRPr="00BC368A">
        <w:rPr>
          <w:rtl/>
        </w:rPr>
        <w:tab/>
        <w:t>الاجتماع الثاني</w:t>
      </w:r>
      <w:r w:rsidRPr="00BC368A">
        <w:rPr>
          <w:lang w:bidi="ar-EG"/>
        </w:rPr>
        <w:t>:</w:t>
      </w:r>
      <w:r w:rsidRPr="00BC368A">
        <w:rPr>
          <w:rtl/>
        </w:rPr>
        <w:t xml:space="preserve"> 13-14 فبراير 2025، بمقر الاتحاد</w:t>
      </w:r>
    </w:p>
    <w:p w14:paraId="07DFBE59" w14:textId="77777777" w:rsidR="00BC368A" w:rsidRPr="00BC368A" w:rsidRDefault="00BC368A" w:rsidP="00FE3E43">
      <w:pPr>
        <w:pStyle w:val="enumlev1"/>
        <w:rPr>
          <w:rtl/>
        </w:rPr>
      </w:pPr>
      <w:r w:rsidRPr="00BC368A">
        <w:rPr>
          <w:i/>
          <w:iCs/>
          <w:lang w:bidi="ar-EG"/>
        </w:rPr>
        <w:t>–</w:t>
      </w:r>
      <w:r w:rsidRPr="00BC368A">
        <w:rPr>
          <w:rtl/>
        </w:rPr>
        <w:tab/>
        <w:t>الاجتماع الثالث</w:t>
      </w:r>
      <w:r w:rsidRPr="00BC368A">
        <w:rPr>
          <w:lang w:bidi="ar-EG"/>
        </w:rPr>
        <w:t>:</w:t>
      </w:r>
      <w:r w:rsidRPr="00BC368A">
        <w:rPr>
          <w:rtl/>
        </w:rPr>
        <w:t xml:space="preserve"> 17-19 سبتمبر 2025، بمقر الاتحاد</w:t>
      </w:r>
    </w:p>
    <w:p w14:paraId="2D96004D" w14:textId="77777777" w:rsidR="00BC368A" w:rsidRPr="00BC368A" w:rsidRDefault="00BC368A" w:rsidP="00FE3E43">
      <w:pPr>
        <w:pStyle w:val="enumlev1"/>
        <w:rPr>
          <w:rtl/>
        </w:rPr>
      </w:pPr>
      <w:r w:rsidRPr="00BC368A">
        <w:rPr>
          <w:i/>
          <w:iCs/>
          <w:lang w:bidi="ar-EG"/>
        </w:rPr>
        <w:t>–</w:t>
      </w:r>
      <w:r w:rsidRPr="00BC368A">
        <w:rPr>
          <w:rtl/>
        </w:rPr>
        <w:tab/>
        <w:t>الاجتماع الرابع</w:t>
      </w:r>
      <w:r w:rsidRPr="00BC368A">
        <w:rPr>
          <w:lang w:bidi="ar-EG"/>
        </w:rPr>
        <w:t>:</w:t>
      </w:r>
      <w:r w:rsidRPr="00BC368A">
        <w:rPr>
          <w:rtl/>
        </w:rPr>
        <w:t xml:space="preserve"> 21-23 يناير 2026، بمقر الاتحاد.</w:t>
      </w:r>
    </w:p>
    <w:p w14:paraId="6E9644A4" w14:textId="77777777" w:rsidR="00BC368A" w:rsidRPr="00BC368A" w:rsidRDefault="00BC368A" w:rsidP="00BC368A">
      <w:pPr>
        <w:rPr>
          <w:rtl/>
        </w:rPr>
      </w:pPr>
      <w:r w:rsidRPr="00BC368A">
        <w:rPr>
          <w:rtl/>
        </w:rPr>
        <w:t>وناقش فريق الخبراء غير الرسمي في اجتماعيه الأول والثاني المشاريع المتتالية لتقرير الأمينة العامة ومشاريع الآراء المحتملة، ويسّر المناقشات المواضيعية عن طريق نواب الرئيس على النحو التالي:</w:t>
      </w:r>
    </w:p>
    <w:p w14:paraId="15D42A09" w14:textId="77777777" w:rsidR="00BC368A" w:rsidRPr="00BC368A" w:rsidRDefault="00BC368A" w:rsidP="00FE3E43">
      <w:pPr>
        <w:pStyle w:val="enumlev1"/>
        <w:rPr>
          <w:rtl/>
        </w:rPr>
      </w:pPr>
      <w:r w:rsidRPr="00BC368A">
        <w:rPr>
          <w:i/>
          <w:iCs/>
          <w:lang w:bidi="ar-EG"/>
        </w:rPr>
        <w:t>–</w:t>
      </w:r>
      <w:r w:rsidRPr="00BC368A">
        <w:rPr>
          <w:rtl/>
        </w:rPr>
        <w:tab/>
        <w:t>سد الفجوات الرقمية، بقيادة نائب الرئيس السيد أشوك كومار (الهند)</w:t>
      </w:r>
    </w:p>
    <w:p w14:paraId="075D68D3" w14:textId="77777777" w:rsidR="00BC368A" w:rsidRPr="00BC368A" w:rsidRDefault="00BC368A" w:rsidP="00FE3E43">
      <w:pPr>
        <w:pStyle w:val="enumlev1"/>
        <w:rPr>
          <w:rtl/>
        </w:rPr>
      </w:pPr>
      <w:r w:rsidRPr="00BC368A">
        <w:rPr>
          <w:i/>
          <w:iCs/>
          <w:lang w:bidi="ar-EG"/>
        </w:rPr>
        <w:t>–</w:t>
      </w:r>
      <w:r w:rsidRPr="00BC368A">
        <w:rPr>
          <w:rtl/>
        </w:rPr>
        <w:tab/>
        <w:t>التحول الرقمي المراعي للبيئة، بقيادة نائب الرئيس السيد معاذ الرميح (المملكة العربية السعودية)</w:t>
      </w:r>
    </w:p>
    <w:p w14:paraId="258B1A0E" w14:textId="77777777" w:rsidR="00BC368A" w:rsidRPr="00BC368A" w:rsidRDefault="00BC368A" w:rsidP="00FE3E43">
      <w:pPr>
        <w:pStyle w:val="enumlev1"/>
        <w:rPr>
          <w:rtl/>
        </w:rPr>
      </w:pPr>
      <w:r w:rsidRPr="00BC368A">
        <w:rPr>
          <w:i/>
          <w:iCs/>
          <w:lang w:bidi="ar-EG"/>
        </w:rPr>
        <w:t>–</w:t>
      </w:r>
      <w:r w:rsidRPr="00BC368A">
        <w:rPr>
          <w:rtl/>
        </w:rPr>
        <w:tab/>
      </w:r>
      <w:r w:rsidRPr="00FE3E43">
        <w:rPr>
          <w:spacing w:val="-4"/>
          <w:rtl/>
        </w:rPr>
        <w:t>إقامة بنية تحتية مرنة للاتصالات/تكنولوجيا المعلومات والاتصالات، بقيادة نائب الرئيس السيد دومينيك أوكو (كينيا)</w:t>
      </w:r>
    </w:p>
    <w:p w14:paraId="647355CA" w14:textId="77777777" w:rsidR="00BC368A" w:rsidRPr="00BC368A" w:rsidRDefault="00BC368A" w:rsidP="00FE3E43">
      <w:pPr>
        <w:pStyle w:val="enumlev1"/>
        <w:rPr>
          <w:rtl/>
        </w:rPr>
      </w:pPr>
      <w:r w:rsidRPr="00BC368A">
        <w:rPr>
          <w:i/>
          <w:iCs/>
          <w:lang w:bidi="ar-EG"/>
        </w:rPr>
        <w:t>–</w:t>
      </w:r>
      <w:r w:rsidRPr="00BC368A">
        <w:rPr>
          <w:rtl/>
        </w:rPr>
        <w:tab/>
        <w:t>التوصيلية الفضائية، بقيادة الميسِّر المواضيعي السيد رونالدو نيفيس دي مورا فيّو (البرازيل)</w:t>
      </w:r>
    </w:p>
    <w:p w14:paraId="37AF03E5" w14:textId="77777777" w:rsidR="00BC368A" w:rsidRPr="00BC368A" w:rsidRDefault="00BC368A" w:rsidP="00FE3E43">
      <w:pPr>
        <w:pStyle w:val="enumlev1"/>
        <w:rPr>
          <w:rtl/>
        </w:rPr>
      </w:pPr>
      <w:r w:rsidRPr="00BC368A">
        <w:rPr>
          <w:i/>
          <w:iCs/>
          <w:lang w:bidi="ar-EG"/>
        </w:rPr>
        <w:t>–</w:t>
      </w:r>
      <w:r w:rsidRPr="00BC368A">
        <w:rPr>
          <w:rtl/>
        </w:rPr>
        <w:tab/>
        <w:t>تعزيز أنظمة الابتكار الإيكولوجية المتمحورة حول تكنولوجيا المعلومات والاتصالات، بقيادة نائب الرئيس السيد توبياس كوفمان (ألمانيا)</w:t>
      </w:r>
    </w:p>
    <w:p w14:paraId="5035360B" w14:textId="4DE7F0D2" w:rsidR="00BC368A" w:rsidRPr="00BC368A" w:rsidRDefault="000D1B96" w:rsidP="00BC368A">
      <w:pPr>
        <w:rPr>
          <w:rtl/>
        </w:rPr>
      </w:pPr>
      <w:r>
        <w:lastRenderedPageBreak/>
        <w:t>3.2</w:t>
      </w:r>
      <w:r w:rsidR="00BC368A" w:rsidRPr="00BC368A">
        <w:rPr>
          <w:rtl/>
        </w:rPr>
        <w:tab/>
        <w:t>وبين الاجتماعين الثاني والثالث لفريق الخبراء غير الرسمي، استُفيض في مجال من المجالات المواضيعية الخمسة من خلال سلسلة من المشاورات غير الرسمية عبر الإنترنت بقيادة نواب الرئيس المعنيين والميسِّر المواضيعي. وأعدت الأمانة المشروع الثالث لتقرير الأمينة العامة ونشرته في مارس 2025، بما في ذلك نص مشاريع الآراء المحتملة كملحق، لتلقي مدخلات من أعضاء فريق الخبراء غير الرسمي ومن خلال مشاورة عامة مفتوحة ثانية.</w:t>
      </w:r>
    </w:p>
    <w:p w14:paraId="24671346" w14:textId="4AC27995" w:rsidR="00BC368A" w:rsidRPr="00BC368A" w:rsidRDefault="000D1B96" w:rsidP="00BC368A">
      <w:pPr>
        <w:rPr>
          <w:rtl/>
        </w:rPr>
      </w:pPr>
      <w:r>
        <w:t>4.2</w:t>
      </w:r>
      <w:r w:rsidR="00BC368A" w:rsidRPr="00BC368A">
        <w:rPr>
          <w:rtl/>
        </w:rPr>
        <w:tab/>
        <w:t>وناقش فريق الخبراء غير الرسمي، في اجتماعه الثالث، المشروع الثالث لتقرير الأمينة العامة فضلاً عن مشاريع الآراء المحتملة والتعليقات الواردة، بما في ذلك تلك الواردة من المشاورة العامة المفتوحة. وفي 16 يونيو 2025، نشر الرئيس تقرير الرئيس الذي يحتوي على خمسة مشاريع آراء أساسية موحدة، وحُدد 7 أغسطس 2025 كموعد نهائي مؤقت لتقديم تعليقات مكتوبة إضافية على مشاريع الآراء.</w:t>
      </w:r>
    </w:p>
    <w:p w14:paraId="215B1EA7" w14:textId="03622D7C" w:rsidR="00BC368A" w:rsidRPr="00BC368A" w:rsidRDefault="000D1B96" w:rsidP="00BC368A">
      <w:pPr>
        <w:rPr>
          <w:rtl/>
        </w:rPr>
      </w:pPr>
      <w:r>
        <w:t>5.2</w:t>
      </w:r>
      <w:r w:rsidR="00BC368A" w:rsidRPr="00BC368A">
        <w:rPr>
          <w:rtl/>
        </w:rPr>
        <w:tab/>
        <w:t>وعقد فريق الخبراء غير الرسمي اجتماعه الرابع والأخير في الفترة 21-23 يناير 2026، خلال مجموعة اجتماعات أفرقة العمل وأفرقة الخبراء التابعة للمجلس. وكان الجدول الزمني الأصلي المبين في الملحق 2 بالمقرر 641 يتوقع اختتام عمل فريق الخبراء غير الرسمي في اجتماعه الرابع، وأشار إلى 13 أبريل كموعد نهائي لنشر تقرير الأمينة العامة والآراء المرفقة به. بيد أن مشروعين من مشاريع الآراء تطلبا وقتاً إضافياً نظراً لحجم ومضمون القضايا التي أثارها أعضاء فريق الخبراء غير الرسمي في كل مجال من المجالات المواضيعية. وبناء على ذلك، اتفق أعضاء فريق الخبراء غير الرسمي على عقد ثلاثة اجتماعات متابعة غير رسمية لاستكمال مشروعي الرأيين المتبقيين وتقرير الأمينة العامة. وشمل ذلك اجتماعين افتراضيين غير رسميين في</w:t>
      </w:r>
      <w:r w:rsidR="00E311B5">
        <w:rPr>
          <w:rFonts w:hint="cs"/>
          <w:rtl/>
        </w:rPr>
        <w:t xml:space="preserve"> </w:t>
      </w:r>
      <w:r w:rsidR="00BC368A" w:rsidRPr="00BC368A">
        <w:rPr>
          <w:rtl/>
        </w:rPr>
        <w:t>24 فبراير و24 مارس 2026، واجتماعاً حضورياً غير رسمي تتاح فيه المشاركة عن بُعد في 26 أبريل 2026، قُبيل انعقاد مجلس الاتحاد. ويتوقع فريق الخبراء غير الرسمي أن يختتم أعماله في اجتماع</w:t>
      </w:r>
      <w:r w:rsidR="00E311B5">
        <w:rPr>
          <w:rFonts w:hint="cs"/>
          <w:rtl/>
        </w:rPr>
        <w:t> </w:t>
      </w:r>
      <w:r w:rsidR="00BC368A" w:rsidRPr="00BC368A">
        <w:rPr>
          <w:rtl/>
        </w:rPr>
        <w:t>26</w:t>
      </w:r>
      <w:r w:rsidR="00AE7894">
        <w:rPr>
          <w:rFonts w:hint="cs"/>
          <w:rtl/>
        </w:rPr>
        <w:t> </w:t>
      </w:r>
      <w:r w:rsidR="00BC368A" w:rsidRPr="00BC368A">
        <w:rPr>
          <w:rtl/>
        </w:rPr>
        <w:t xml:space="preserve">أبريل، وبعده سيُنشر تقرير الأمينة العامة، بما في ذلك مشاريع الآراء الخمسة جميعها كملحقات، في وثيقة مقدمة إلى المنتدى WTPF-26. وسيتاح تقرير الأمينة العامة، بما في ذلك مشاريع الآراء الخمسة كملحقات، في الموقع الإلكتروني للمنتدى </w:t>
      </w:r>
      <w:r w:rsidR="00E311B5">
        <w:t>WTPF</w:t>
      </w:r>
      <w:r w:rsidR="00E311B5">
        <w:noBreakHyphen/>
        <w:t>26</w:t>
      </w:r>
      <w:r w:rsidR="00E311B5">
        <w:rPr>
          <w:rFonts w:hint="cs"/>
          <w:rtl/>
          <w:lang w:bidi="ar-EG"/>
        </w:rPr>
        <w:t xml:space="preserve"> </w:t>
      </w:r>
      <w:hyperlink r:id="rId12" w:anchor="/ar" w:history="1">
        <w:r w:rsidR="00E311B5" w:rsidRPr="00AE7894">
          <w:rPr>
            <w:rStyle w:val="Hyperlink"/>
            <w:noProof w:val="0"/>
            <w:rtl/>
            <w:lang w:val="en-US" w:eastAsia="zh-CN"/>
          </w:rPr>
          <w:t>wtpf.itu.int/2026</w:t>
        </w:r>
      </w:hyperlink>
      <w:r w:rsidR="00BC368A" w:rsidRPr="00BC368A">
        <w:rPr>
          <w:rtl/>
        </w:rPr>
        <w:t>.</w:t>
      </w:r>
    </w:p>
    <w:p w14:paraId="3FB3A550" w14:textId="059498E1" w:rsidR="00BC368A" w:rsidRPr="00BC368A" w:rsidRDefault="000D1B96" w:rsidP="00FE3E43">
      <w:pPr>
        <w:rPr>
          <w:rtl/>
        </w:rPr>
      </w:pPr>
      <w:r>
        <w:t>6.2</w:t>
      </w:r>
      <w:r w:rsidR="00BC368A" w:rsidRPr="00BC368A">
        <w:rPr>
          <w:rtl/>
        </w:rPr>
        <w:tab/>
        <w:t xml:space="preserve">ووفقاً للممارسة المتبعة سابقاً، دعت الرسالة المعممة </w:t>
      </w:r>
      <w:hyperlink r:id="rId13">
        <w:r w:rsidR="00FE3E43" w:rsidRPr="00FE3E43">
          <w:rPr>
            <w:rStyle w:val="Hyperlink"/>
            <w:noProof w:val="0"/>
            <w:lang w:eastAsia="zh-CN"/>
          </w:rPr>
          <w:t>CL-26/7</w:t>
        </w:r>
      </w:hyperlink>
      <w:r w:rsidR="00BC368A" w:rsidRPr="00BC368A">
        <w:rPr>
          <w:rtl/>
        </w:rPr>
        <w:t xml:space="preserve"> (13 فبراير 2026) الدول الأعضاء وأعضاء القطاعات إلى تقديم ترشيحات لمناصب رئيس المنتدى ونواب الرئيس الستة، فضلاً عن رؤساء ونواب رؤساء أفرقة العمل الخمسة التابعة للجلسة العامة، في موعد أقصاه 20 أبريل 2026.</w:t>
      </w:r>
    </w:p>
    <w:p w14:paraId="69D9D430" w14:textId="0E9EAAF7" w:rsidR="00BC368A" w:rsidRPr="00AE7894" w:rsidRDefault="00FE3E43" w:rsidP="00272149">
      <w:pPr>
        <w:rPr>
          <w:rtl/>
        </w:rPr>
      </w:pPr>
      <w:r>
        <w:t>7.2</w:t>
      </w:r>
      <w:r w:rsidR="00BC368A" w:rsidRPr="00BC368A">
        <w:rPr>
          <w:rtl/>
        </w:rPr>
        <w:tab/>
        <w:t>ويمكن الاطلاع على جميع الوثائق المتعلقة بالعملية التحضيرية في الموقع الإلكتروني لفريق الخبراء غير الرسمي</w:t>
      </w:r>
      <w:r w:rsidR="00E311B5">
        <w:rPr>
          <w:rFonts w:hint="cs"/>
          <w:rtl/>
        </w:rPr>
        <w:t xml:space="preserve"> </w:t>
      </w:r>
      <w:hyperlink r:id="rId14" w:anchor="/ar" w:history="1">
        <w:r w:rsidR="00E311B5">
          <w:rPr>
            <w:rStyle w:val="Hyperlink"/>
            <w:noProof w:val="0"/>
            <w:lang w:val="en-US" w:eastAsia="zh-CN"/>
          </w:rPr>
          <w:t>www.itu.int/en/council/Pages/ieg-wtpf-26.aspx</w:t>
        </w:r>
        <w:r w:rsidR="00E311B5">
          <w:rPr>
            <w:rStyle w:val="Hyperlink"/>
            <w:noProof w:val="0"/>
            <w:cs/>
            <w:lang w:val="en-US" w:eastAsia="zh-CN"/>
          </w:rPr>
          <w:t>‎</w:t>
        </w:r>
      </w:hyperlink>
      <w:r w:rsidR="00BC368A" w:rsidRPr="00AE7894">
        <w:rPr>
          <w:rtl/>
        </w:rPr>
        <w:t>. وتشمل هذه الوثائق مختلف مشاريع تقرير الأمينة العامة، والمساهمات الواردة من أعضاء فريق الخبراء غير الرسمي، والتعليقات الواردة من عملية المشاورة العامة المفتوحة. وأُنشئت قائمة بريد إلكترونية</w:t>
      </w:r>
      <w:r w:rsidR="00272149" w:rsidRPr="00AE7894">
        <w:rPr>
          <w:rFonts w:hint="cs"/>
          <w:rtl/>
          <w:lang w:bidi="ar-EG"/>
        </w:rPr>
        <w:t xml:space="preserve"> </w:t>
      </w:r>
      <w:r w:rsidR="00272149" w:rsidRPr="00AE7894">
        <w:rPr>
          <w:lang w:val="en-GB" w:bidi="ar-EG"/>
        </w:rPr>
        <w:t>(</w:t>
      </w:r>
      <w:hyperlink r:id="rId15" w:history="1">
        <w:r w:rsidR="00272149" w:rsidRPr="00AE7894">
          <w:rPr>
            <w:rStyle w:val="Hyperlink"/>
            <w:noProof w:val="0"/>
            <w:lang w:eastAsia="zh-CN" w:bidi="ar-EG"/>
          </w:rPr>
          <w:t>iegwtpf26@lists.itu.int</w:t>
        </w:r>
      </w:hyperlink>
      <w:r w:rsidR="00272149" w:rsidRPr="00AE7894">
        <w:rPr>
          <w:lang w:val="en-GB" w:bidi="ar-EG"/>
        </w:rPr>
        <w:t>)</w:t>
      </w:r>
      <w:r w:rsidR="00BC368A" w:rsidRPr="00AE7894">
        <w:rPr>
          <w:rtl/>
        </w:rPr>
        <w:t xml:space="preserve"> لتيسير الاتصالات بين أعضاء الفريق في الفترة ما بين الاجتماعات.</w:t>
      </w:r>
    </w:p>
    <w:p w14:paraId="64AE2561" w14:textId="77777777" w:rsidR="00BC368A" w:rsidRPr="00AE7894" w:rsidRDefault="00BC368A" w:rsidP="00272149">
      <w:pPr>
        <w:pStyle w:val="Heading1"/>
        <w:rPr>
          <w:rtl/>
        </w:rPr>
      </w:pPr>
      <w:r w:rsidRPr="00AE7894">
        <w:rPr>
          <w:rtl/>
        </w:rPr>
        <w:t>3</w:t>
      </w:r>
      <w:r w:rsidRPr="00AE7894">
        <w:rPr>
          <w:rtl/>
        </w:rPr>
        <w:tab/>
        <w:t>تنظيم المنتدى WTPF-26 ومكان انعقاده</w:t>
      </w:r>
    </w:p>
    <w:p w14:paraId="07DCE251" w14:textId="6B2D6BB5" w:rsidR="00BC368A" w:rsidRPr="00AE7894" w:rsidRDefault="00272149" w:rsidP="00BC368A">
      <w:pPr>
        <w:rPr>
          <w:rtl/>
        </w:rPr>
      </w:pPr>
      <w:r w:rsidRPr="00AE7894">
        <w:t>1.3</w:t>
      </w:r>
      <w:r w:rsidR="00BC368A" w:rsidRPr="00AE7894">
        <w:rPr>
          <w:rtl/>
        </w:rPr>
        <w:tab/>
        <w:t>سيُعقد المنتدى WTPF-26 في منتجع Atlantis Paradise Island، ناسو، جزر البهاما، في الفترة من 9 إلى 11 يونيو 2026. وسيُعقد حوار استراتيجي في 8 يونيو 2026، بتنظيم مشترك مع حكومة كومنولث البهاما.</w:t>
      </w:r>
    </w:p>
    <w:p w14:paraId="3FE2FC5E" w14:textId="00E30866" w:rsidR="00BC368A" w:rsidRPr="00BC368A" w:rsidRDefault="00272149" w:rsidP="00BC368A">
      <w:pPr>
        <w:rPr>
          <w:rtl/>
        </w:rPr>
      </w:pPr>
      <w:r w:rsidRPr="00E311B5">
        <w:t>2.3</w:t>
      </w:r>
      <w:r w:rsidR="00BC368A" w:rsidRPr="00E311B5">
        <w:rPr>
          <w:rtl/>
        </w:rPr>
        <w:tab/>
        <w:t xml:space="preserve">الموقع الإلكتروني للمنتدى WTPF-26، الذي يحتوي على جميع المعلومات ذات الصلة بالمنتدى والعملية التحضيرية، متاح في </w:t>
      </w:r>
      <w:r w:rsidR="00E311B5" w:rsidRPr="00E311B5">
        <w:rPr>
          <w:rFonts w:hint="cs"/>
          <w:rtl/>
        </w:rPr>
        <w:t>الموقع الإلكتروني</w:t>
      </w:r>
      <w:r w:rsidR="00BC368A" w:rsidRPr="00E311B5">
        <w:rPr>
          <w:rtl/>
        </w:rPr>
        <w:t xml:space="preserve"> </w:t>
      </w:r>
      <w:hyperlink r:id="rId16" w:anchor="/ar" w:history="1">
        <w:r w:rsidR="00BC368A" w:rsidRPr="00E311B5">
          <w:rPr>
            <w:rStyle w:val="Hyperlink"/>
            <w:noProof w:val="0"/>
            <w:rtl/>
            <w:lang w:val="en-US" w:eastAsia="zh-CN"/>
          </w:rPr>
          <w:t>wtpf.itu.int/2026</w:t>
        </w:r>
      </w:hyperlink>
      <w:r w:rsidR="00BC368A" w:rsidRPr="00E311B5">
        <w:rPr>
          <w:rtl/>
        </w:rPr>
        <w:t>. و</w:t>
      </w:r>
      <w:hyperlink r:id="rId17" w:anchor="/ar" w:history="1">
        <w:r w:rsidR="00BC368A" w:rsidRPr="00E63B30">
          <w:rPr>
            <w:rStyle w:val="Hyperlink"/>
            <w:noProof w:val="0"/>
            <w:rtl/>
            <w:lang w:val="en-US" w:eastAsia="zh-CN"/>
          </w:rPr>
          <w:t>باب التسجيل</w:t>
        </w:r>
      </w:hyperlink>
      <w:r w:rsidR="00BC368A" w:rsidRPr="00E311B5">
        <w:rPr>
          <w:rtl/>
        </w:rPr>
        <w:t xml:space="preserve"> للمشاركة في المنتدى مفتوح. والموقع الإلكتروني الرسمي للبلد المضيف، الذي يتضمن معلومات بشأن طلبات الحصول على التأشيرة والإقامة في الفنادق والترتيبات اللوجستية الأخرى، متاح في </w:t>
      </w:r>
      <w:r w:rsidR="00E311B5" w:rsidRPr="00E311B5">
        <w:rPr>
          <w:rFonts w:hint="cs"/>
          <w:rtl/>
        </w:rPr>
        <w:t>الموقع الإلكتروني</w:t>
      </w:r>
      <w:r w:rsidR="00E311B5" w:rsidRPr="00E311B5">
        <w:t xml:space="preserve"> </w:t>
      </w:r>
      <w:hyperlink r:id="rId18" w:history="1">
        <w:r w:rsidR="00BC368A" w:rsidRPr="00E311B5">
          <w:rPr>
            <w:rStyle w:val="Hyperlink"/>
            <w:noProof w:val="0"/>
            <w:rtl/>
            <w:lang w:val="en-US" w:eastAsia="zh-CN"/>
          </w:rPr>
          <w:t>wtpf26bahamas.com</w:t>
        </w:r>
      </w:hyperlink>
      <w:r w:rsidR="00BC368A" w:rsidRPr="00E311B5">
        <w:rPr>
          <w:rtl/>
        </w:rPr>
        <w:t>. وتتاح أماكن الإقامة للمندوبين في مكان انعقاد المنتدى.</w:t>
      </w:r>
    </w:p>
    <w:p w14:paraId="01F86BCF" w14:textId="3486FF7B" w:rsidR="00BC368A" w:rsidRPr="00BC368A" w:rsidRDefault="00272149" w:rsidP="00BC368A">
      <w:pPr>
        <w:rPr>
          <w:rtl/>
        </w:rPr>
      </w:pPr>
      <w:r>
        <w:t>3.3</w:t>
      </w:r>
      <w:r w:rsidR="00BC368A" w:rsidRPr="00BC368A">
        <w:rPr>
          <w:rtl/>
        </w:rPr>
        <w:tab/>
        <w:t>صدرت الرسائل المعممة التالية فيما يتعلق بالمنتدى WTPF-26:</w:t>
      </w:r>
    </w:p>
    <w:p w14:paraId="324C8684" w14:textId="1AD0D566" w:rsidR="00BC368A" w:rsidRPr="00BC368A" w:rsidRDefault="00BC368A" w:rsidP="00706592">
      <w:pPr>
        <w:pStyle w:val="enumlev1"/>
        <w:rPr>
          <w:rtl/>
          <w:lang w:bidi="ar-EG"/>
        </w:rPr>
      </w:pPr>
      <w:r w:rsidRPr="00BC368A">
        <w:rPr>
          <w:i/>
          <w:iCs/>
          <w:lang w:bidi="ar-EG"/>
        </w:rPr>
        <w:t>–</w:t>
      </w:r>
      <w:r w:rsidRPr="00BC368A">
        <w:rPr>
          <w:rtl/>
        </w:rPr>
        <w:tab/>
        <w:t>الرسالة المعممة</w:t>
      </w:r>
      <w:r w:rsidR="00E311B5">
        <w:rPr>
          <w:rFonts w:hint="cs"/>
          <w:rtl/>
        </w:rPr>
        <w:t xml:space="preserve"> </w:t>
      </w:r>
      <w:hyperlink r:id="rId19" w:history="1">
        <w:r w:rsidR="00272149" w:rsidRPr="00272149">
          <w:rPr>
            <w:rStyle w:val="Hyperlink"/>
            <w:noProof w:val="0"/>
            <w:lang w:eastAsia="zh-CN"/>
          </w:rPr>
          <w:t>CL-25/56</w:t>
        </w:r>
      </w:hyperlink>
      <w:r w:rsidR="00E311B5" w:rsidRPr="00E311B5">
        <w:rPr>
          <w:rFonts w:hint="cs"/>
          <w:rtl/>
        </w:rPr>
        <w:t>:</w:t>
      </w:r>
      <w:r w:rsidRPr="00BC368A">
        <w:rPr>
          <w:rtl/>
        </w:rPr>
        <w:t xml:space="preserve"> دعوة للمنتدى العالمي السابع لسياسات الاتصالات/تكنولوجيا المعلومات والاتصالات</w:t>
      </w:r>
      <w:r w:rsidR="00272149">
        <w:rPr>
          <w:rFonts w:hint="cs"/>
          <w:rtl/>
          <w:lang w:bidi="ar-EG"/>
        </w:rPr>
        <w:t xml:space="preserve"> </w:t>
      </w:r>
      <w:r w:rsidR="00272149">
        <w:rPr>
          <w:lang w:bidi="ar-EG"/>
        </w:rPr>
        <w:t>(</w:t>
      </w:r>
      <w:r w:rsidR="00272149" w:rsidRPr="000A1D9B">
        <w:rPr>
          <w:rFonts w:asciiTheme="minorHAnsi" w:hAnsiTheme="minorHAnsi" w:cs="Calibri"/>
        </w:rPr>
        <w:t>WTPF-26</w:t>
      </w:r>
      <w:r w:rsidR="00272149">
        <w:rPr>
          <w:rFonts w:asciiTheme="minorHAnsi" w:hAnsiTheme="minorHAnsi" w:cs="Calibri"/>
        </w:rPr>
        <w:t>)</w:t>
      </w:r>
      <w:r w:rsidR="00272149">
        <w:rPr>
          <w:rFonts w:asciiTheme="minorHAnsi" w:hAnsiTheme="minorHAnsi" w:cs="Calibri" w:hint="cs"/>
          <w:rtl/>
          <w:lang w:bidi="ar-EG"/>
        </w:rPr>
        <w:t>.</w:t>
      </w:r>
    </w:p>
    <w:p w14:paraId="3CD15723" w14:textId="58785D8D" w:rsidR="00BC368A" w:rsidRPr="00BC368A" w:rsidRDefault="00BC368A" w:rsidP="00706592">
      <w:pPr>
        <w:pStyle w:val="enumlev1"/>
        <w:rPr>
          <w:rtl/>
        </w:rPr>
      </w:pPr>
      <w:r w:rsidRPr="00BC368A">
        <w:rPr>
          <w:i/>
          <w:iCs/>
          <w:lang w:bidi="ar-EG"/>
        </w:rPr>
        <w:t>–</w:t>
      </w:r>
      <w:r w:rsidRPr="00BC368A">
        <w:rPr>
          <w:rtl/>
        </w:rPr>
        <w:tab/>
        <w:t>الرسالة المعممة</w:t>
      </w:r>
      <w:r w:rsidR="001A5060">
        <w:rPr>
          <w:rFonts w:hint="cs"/>
          <w:rtl/>
        </w:rPr>
        <w:t xml:space="preserve"> </w:t>
      </w:r>
      <w:hyperlink r:id="rId20" w:history="1">
        <w:r w:rsidR="00272149" w:rsidRPr="00272149">
          <w:rPr>
            <w:rStyle w:val="Hyperlink"/>
            <w:noProof w:val="0"/>
            <w:lang w:eastAsia="zh-CN"/>
          </w:rPr>
          <w:t>CL-26/7</w:t>
        </w:r>
      </w:hyperlink>
      <w:r w:rsidR="00E311B5" w:rsidRPr="00E311B5">
        <w:rPr>
          <w:rFonts w:hint="cs"/>
          <w:rtl/>
        </w:rPr>
        <w:t>:</w:t>
      </w:r>
      <w:r w:rsidRPr="00BC368A">
        <w:rPr>
          <w:rtl/>
        </w:rPr>
        <w:t xml:space="preserve"> دعوة لتسمية الرؤساء ونواب الرؤساء بالمنتدى العالمي السابع لسياسات الاتصالات/تكنولوجيا المعلومات والاتصالات </w:t>
      </w:r>
      <w:r w:rsidR="00272149">
        <w:rPr>
          <w:lang w:bidi="ar-EG"/>
        </w:rPr>
        <w:t>(</w:t>
      </w:r>
      <w:r w:rsidR="00272149" w:rsidRPr="000A1D9B">
        <w:rPr>
          <w:rFonts w:asciiTheme="minorHAnsi" w:hAnsiTheme="minorHAnsi" w:cs="Calibri"/>
        </w:rPr>
        <w:t>WTPF-26</w:t>
      </w:r>
      <w:r w:rsidR="00272149">
        <w:rPr>
          <w:rFonts w:asciiTheme="minorHAnsi" w:hAnsiTheme="minorHAnsi" w:cs="Calibri"/>
        </w:rPr>
        <w:t>)</w:t>
      </w:r>
      <w:r w:rsidR="00272149">
        <w:rPr>
          <w:rFonts w:asciiTheme="minorHAnsi" w:hAnsiTheme="minorHAnsi" w:cs="Calibri" w:hint="cs"/>
          <w:rtl/>
          <w:lang w:bidi="ar-EG"/>
        </w:rPr>
        <w:t>.</w:t>
      </w:r>
    </w:p>
    <w:p w14:paraId="4608BABF" w14:textId="762550C2" w:rsidR="00BC368A" w:rsidRPr="00BC368A" w:rsidRDefault="00BC368A" w:rsidP="00706592">
      <w:pPr>
        <w:pStyle w:val="enumlev1"/>
        <w:rPr>
          <w:rtl/>
        </w:rPr>
      </w:pPr>
      <w:r w:rsidRPr="00BC368A">
        <w:rPr>
          <w:i/>
          <w:iCs/>
          <w:lang w:bidi="ar-EG"/>
        </w:rPr>
        <w:lastRenderedPageBreak/>
        <w:t>–</w:t>
      </w:r>
      <w:r w:rsidRPr="00BC368A">
        <w:rPr>
          <w:rtl/>
        </w:rPr>
        <w:tab/>
        <w:t>الرسالة المعممة</w:t>
      </w:r>
      <w:r w:rsidR="00E311B5">
        <w:rPr>
          <w:rFonts w:hint="cs"/>
          <w:rtl/>
        </w:rPr>
        <w:t xml:space="preserve"> </w:t>
      </w:r>
      <w:hyperlink r:id="rId21" w:history="1">
        <w:r w:rsidR="00272149" w:rsidRPr="00272149">
          <w:rPr>
            <w:rStyle w:val="Hyperlink"/>
            <w:noProof w:val="0"/>
            <w:lang w:eastAsia="zh-CN"/>
          </w:rPr>
          <w:t>CL-26/9</w:t>
        </w:r>
      </w:hyperlink>
      <w:r w:rsidR="00E311B5" w:rsidRPr="00E311B5">
        <w:rPr>
          <w:rFonts w:hint="cs"/>
          <w:rtl/>
        </w:rPr>
        <w:t>:</w:t>
      </w:r>
      <w:r w:rsidRPr="00BC368A">
        <w:rPr>
          <w:rtl/>
        </w:rPr>
        <w:t xml:space="preserve"> معلومات محدثة عن الأعمال التحضيرية للمنتدى العالمي السابع لسياسات الاتصالات/تكنولوجيا المعلومات والاتصالات والحوار الاستراتيجي</w:t>
      </w:r>
      <w:r w:rsidR="00272149">
        <w:rPr>
          <w:rFonts w:hint="cs"/>
          <w:rtl/>
        </w:rPr>
        <w:t xml:space="preserve"> </w:t>
      </w:r>
      <w:r w:rsidR="00272149">
        <w:rPr>
          <w:lang w:bidi="ar-EG"/>
        </w:rPr>
        <w:t>(</w:t>
      </w:r>
      <w:r w:rsidR="00272149" w:rsidRPr="000A1D9B">
        <w:rPr>
          <w:rFonts w:asciiTheme="minorHAnsi" w:hAnsiTheme="minorHAnsi" w:cs="Calibri"/>
        </w:rPr>
        <w:t>WTPF-26</w:t>
      </w:r>
      <w:r w:rsidR="00272149">
        <w:rPr>
          <w:rFonts w:asciiTheme="minorHAnsi" w:hAnsiTheme="minorHAnsi" w:cs="Calibri"/>
        </w:rPr>
        <w:t>)</w:t>
      </w:r>
      <w:r w:rsidR="00272149">
        <w:rPr>
          <w:rFonts w:asciiTheme="minorHAnsi" w:hAnsiTheme="minorHAnsi" w:cs="Calibri" w:hint="cs"/>
          <w:rtl/>
          <w:lang w:bidi="ar-EG"/>
        </w:rPr>
        <w:t>.</w:t>
      </w:r>
    </w:p>
    <w:p w14:paraId="57F113D7" w14:textId="1098198A" w:rsidR="00BC368A" w:rsidRPr="00BC368A" w:rsidRDefault="00BC368A" w:rsidP="00706592">
      <w:pPr>
        <w:pStyle w:val="enumlev1"/>
        <w:rPr>
          <w:rtl/>
        </w:rPr>
      </w:pPr>
      <w:r w:rsidRPr="00BC368A">
        <w:rPr>
          <w:i/>
          <w:iCs/>
          <w:lang w:bidi="ar-EG"/>
        </w:rPr>
        <w:t>–</w:t>
      </w:r>
      <w:r w:rsidRPr="00BC368A">
        <w:rPr>
          <w:rtl/>
        </w:rPr>
        <w:tab/>
        <w:t xml:space="preserve">الرسائل المعممة </w:t>
      </w:r>
      <w:hyperlink r:id="rId22" w:history="1">
        <w:r w:rsidR="00272149" w:rsidRPr="00272149">
          <w:rPr>
            <w:rStyle w:val="Hyperlink"/>
            <w:noProof w:val="0"/>
            <w:lang w:eastAsia="zh-CN"/>
          </w:rPr>
          <w:t>CL-26/13</w:t>
        </w:r>
      </w:hyperlink>
      <w:r w:rsidRPr="00BC368A">
        <w:rPr>
          <w:rtl/>
        </w:rPr>
        <w:t xml:space="preserve"> و</w:t>
      </w:r>
      <w:hyperlink r:id="rId23" w:history="1">
        <w:r w:rsidR="00706592" w:rsidRPr="00706592">
          <w:rPr>
            <w:rStyle w:val="Hyperlink"/>
            <w:noProof w:val="0"/>
            <w:lang w:eastAsia="zh-CN"/>
          </w:rPr>
          <w:t>CL-26/14</w:t>
        </w:r>
      </w:hyperlink>
      <w:r w:rsidRPr="00BC368A">
        <w:rPr>
          <w:rtl/>
        </w:rPr>
        <w:t xml:space="preserve"> و</w:t>
      </w:r>
      <w:hyperlink r:id="rId24" w:history="1">
        <w:r w:rsidR="00706592" w:rsidRPr="00706592">
          <w:rPr>
            <w:rStyle w:val="Hyperlink"/>
            <w:noProof w:val="0"/>
            <w:lang w:eastAsia="zh-CN"/>
          </w:rPr>
          <w:t>CL-26/15</w:t>
        </w:r>
      </w:hyperlink>
      <w:r w:rsidRPr="00BC368A">
        <w:rPr>
          <w:rtl/>
        </w:rPr>
        <w:t xml:space="preserve"> و</w:t>
      </w:r>
      <w:hyperlink r:id="rId25" w:history="1">
        <w:r w:rsidR="00706592" w:rsidRPr="00706592">
          <w:rPr>
            <w:rStyle w:val="Hyperlink"/>
            <w:noProof w:val="0"/>
            <w:lang w:eastAsia="zh-CN"/>
          </w:rPr>
          <w:t>CL-26/16</w:t>
        </w:r>
      </w:hyperlink>
      <w:r w:rsidR="001A5060">
        <w:rPr>
          <w:rFonts w:hint="cs"/>
          <w:rtl/>
          <w:lang w:bidi="ar-EG"/>
        </w:rPr>
        <w:t>:</w:t>
      </w:r>
      <w:r w:rsidRPr="00BC368A">
        <w:rPr>
          <w:rtl/>
        </w:rPr>
        <w:t xml:space="preserve"> دعوات للمنتدى العالمي السابع لسياسات الاتصالات/تكنولوجيا المعلومات والاتصالات </w:t>
      </w:r>
      <w:r w:rsidR="00272149">
        <w:rPr>
          <w:lang w:bidi="ar-EG"/>
        </w:rPr>
        <w:t>(</w:t>
      </w:r>
      <w:r w:rsidR="00272149" w:rsidRPr="000A1D9B">
        <w:rPr>
          <w:rFonts w:asciiTheme="minorHAnsi" w:hAnsiTheme="minorHAnsi" w:cs="Calibri"/>
        </w:rPr>
        <w:t>WTPF-26</w:t>
      </w:r>
      <w:r w:rsidR="00272149">
        <w:rPr>
          <w:rFonts w:asciiTheme="minorHAnsi" w:hAnsiTheme="minorHAnsi" w:cs="Calibri"/>
        </w:rPr>
        <w:t>)</w:t>
      </w:r>
      <w:r w:rsidRPr="00BC368A">
        <w:rPr>
          <w:rtl/>
        </w:rPr>
        <w:t xml:space="preserve"> موجهة على التوالي إلى وزراء الدول الأعضاء في الاتحاد، والهيئات التنظيمية للدول الأعضاء في الاتحاد، والرؤساء التنفيذيين لأعضاء قطاعات الاتحاد، ووكالات الأمم المتحدة المتخصصة والهيئات الأكاديمية المنضمة إلى الاتحاد.</w:t>
      </w:r>
    </w:p>
    <w:p w14:paraId="569312DE" w14:textId="264B9C62" w:rsidR="00BC368A" w:rsidRPr="00E63B30" w:rsidRDefault="00BC368A" w:rsidP="00BC368A">
      <w:pPr>
        <w:rPr>
          <w:rtl/>
        </w:rPr>
      </w:pPr>
      <w:r w:rsidRPr="00E63B30">
        <w:rPr>
          <w:rtl/>
        </w:rPr>
        <w:t xml:space="preserve">وينبغي إرسال المساهمات الخطية المزمع عرضها خلال المنتدى إلى العنوان </w:t>
      </w:r>
      <w:hyperlink r:id="rId26" w:history="1">
        <w:r w:rsidR="00706592" w:rsidRPr="00E63B30">
          <w:rPr>
            <w:rStyle w:val="Hyperlink"/>
          </w:rPr>
          <w:t>wtpf@itu.int</w:t>
        </w:r>
      </w:hyperlink>
      <w:r w:rsidRPr="00E63B30">
        <w:rPr>
          <w:rtl/>
        </w:rPr>
        <w:t xml:space="preserve"> بحلول </w:t>
      </w:r>
      <w:r w:rsidRPr="00E63B30">
        <w:rPr>
          <w:b/>
          <w:bCs/>
          <w:rtl/>
        </w:rPr>
        <w:t>19 مايو 2026</w:t>
      </w:r>
      <w:r w:rsidRPr="00E63B30">
        <w:rPr>
          <w:rtl/>
        </w:rPr>
        <w:t xml:space="preserve"> وينبغي ألا تتجاوز ثلاث صفحات. وستتاح المساهمات في </w:t>
      </w:r>
      <w:hyperlink r:id="rId27" w:anchor="/ar" w:history="1">
        <w:r w:rsidRPr="00E63B30">
          <w:rPr>
            <w:rStyle w:val="Hyperlink"/>
            <w:noProof w:val="0"/>
            <w:rtl/>
            <w:lang w:val="en-US" w:eastAsia="zh-CN"/>
          </w:rPr>
          <w:t>الصفحة الإلكترونية لوثائق المنتدى WTPF-26</w:t>
        </w:r>
      </w:hyperlink>
      <w:r w:rsidRPr="00E63B30">
        <w:rPr>
          <w:rtl/>
        </w:rPr>
        <w:t>.</w:t>
      </w:r>
    </w:p>
    <w:p w14:paraId="6347C0D6" w14:textId="2C7CD159" w:rsidR="00BC368A" w:rsidRPr="00BC368A" w:rsidRDefault="00272149" w:rsidP="00BC368A">
      <w:pPr>
        <w:rPr>
          <w:rtl/>
        </w:rPr>
      </w:pPr>
      <w:r>
        <w:t>4.3</w:t>
      </w:r>
      <w:r w:rsidR="00BC368A" w:rsidRPr="00BC368A">
        <w:rPr>
          <w:rtl/>
        </w:rPr>
        <w:tab/>
      </w:r>
      <w:r w:rsidR="00BC368A" w:rsidRPr="00BC368A">
        <w:rPr>
          <w:spacing w:val="-2"/>
          <w:rtl/>
        </w:rPr>
        <w:t>ومن المتوقع توقيع اتفاق البلد المضيف بين حكومة كومنولث البهاما والاتحاد خلال دورة المجلس لعام 2026.</w:t>
      </w:r>
    </w:p>
    <w:p w14:paraId="52BDCB0D" w14:textId="0140FB84" w:rsidR="00BC368A" w:rsidRPr="00BC368A" w:rsidRDefault="00272149" w:rsidP="00BC368A">
      <w:pPr>
        <w:rPr>
          <w:rtl/>
        </w:rPr>
      </w:pPr>
      <w:r>
        <w:t>5.3</w:t>
      </w:r>
      <w:r w:rsidR="00BC368A" w:rsidRPr="00BC368A">
        <w:rPr>
          <w:rtl/>
        </w:rPr>
        <w:tab/>
        <w:t>وسعياً إلى خفض التكاليف، أجرى الاتحاد زيارة افتراضية للموقع في ديسمبر 2025 للقاء النظراء من البلد المضيف ومعاينة مركز المؤتمرات. وأجرت أيضاً جهة الاتصال المعنية بالأمن في الاتحاد زيارة ميدانية في ديسمبر لإعداد الخطة الأمنية للحدث.</w:t>
      </w:r>
    </w:p>
    <w:p w14:paraId="56238E7C" w14:textId="3DBB2B1A" w:rsidR="00BC368A" w:rsidRPr="00BC368A" w:rsidRDefault="00272149" w:rsidP="00BC368A">
      <w:pPr>
        <w:rPr>
          <w:rtl/>
        </w:rPr>
      </w:pPr>
      <w:r>
        <w:t>6.3</w:t>
      </w:r>
      <w:r w:rsidR="00BC368A" w:rsidRPr="00BC368A">
        <w:rPr>
          <w:rtl/>
        </w:rPr>
        <w:tab/>
        <w:t>وتعقد أمانة الاتحاد اجتماعات افتراضية كل أسبوعين مع لجنة التنظيم المحلية التابعة لحكومة كومنولث البهاما لتبادل المعلومات وتنسيق الأعمال التحضيرية للحدث فيما يتعلق بالبروتوكول واللوجستيات والاتصالات.</w:t>
      </w:r>
    </w:p>
    <w:p w14:paraId="2D1DFFF1" w14:textId="77777777" w:rsidR="00BC368A" w:rsidRPr="00BC368A" w:rsidRDefault="00BC368A" w:rsidP="00706592">
      <w:pPr>
        <w:pStyle w:val="Heading1"/>
        <w:rPr>
          <w:rtl/>
        </w:rPr>
      </w:pPr>
      <w:r w:rsidRPr="00BC368A">
        <w:rPr>
          <w:rtl/>
        </w:rPr>
        <w:t>4</w:t>
      </w:r>
      <w:r w:rsidRPr="00BC368A">
        <w:rPr>
          <w:rtl/>
        </w:rPr>
        <w:tab/>
        <w:t>الحوار الاستراتيجي وبرنامج المنتدى</w:t>
      </w:r>
    </w:p>
    <w:p w14:paraId="72F092AB" w14:textId="091CF648" w:rsidR="00BC368A" w:rsidRPr="00BC368A" w:rsidRDefault="00706592" w:rsidP="00706592">
      <w:pPr>
        <w:rPr>
          <w:rtl/>
        </w:rPr>
      </w:pPr>
      <w:r>
        <w:t>1.4</w:t>
      </w:r>
      <w:r w:rsidR="00BC368A" w:rsidRPr="00BC368A">
        <w:rPr>
          <w:rtl/>
        </w:rPr>
        <w:tab/>
        <w:t>سيشمل يوم الحوار الاستراتيجي في 8 يونيو 2026 مائدة مستديرة رفيعة المستوى متعددة أصحاب المصلحة في فترة الصباح، يشارك في تنظيمها الاتحاد وحكومة كومنولث البهاما، وجلستين مواضيعيتين متوازيتين في فترة ما بعد الظهر: حوار مواضيعي بشأن تمكين النساء والشباب والأشخاص ذوي الإعاقة في مجال تكنولوجيا المعلومات والاتصالات؛ ومختبر لحلول الاستثمار في إطار الشراكة من أجل التوصيل</w:t>
      </w:r>
      <w:r>
        <w:rPr>
          <w:rFonts w:hint="cs"/>
          <w:rtl/>
        </w:rPr>
        <w:t xml:space="preserve"> </w:t>
      </w:r>
      <w:r>
        <w:rPr>
          <w:lang w:bidi="ar-EG"/>
        </w:rPr>
        <w:t>(</w:t>
      </w:r>
      <w:r w:rsidRPr="00706592">
        <w:rPr>
          <w:lang w:val="en-GB" w:bidi="ar-EG"/>
        </w:rPr>
        <w:t>Partner2Connect</w:t>
      </w:r>
      <w:r>
        <w:rPr>
          <w:lang w:val="en-GB" w:bidi="ar-EG"/>
        </w:rPr>
        <w:t>)</w:t>
      </w:r>
      <w:r w:rsidR="00BC368A" w:rsidRPr="00BC368A">
        <w:rPr>
          <w:rtl/>
        </w:rPr>
        <w:t>. وسيوفر الحوار الاستراتيجي منصة للوزراء وواضعي السياسات وقادة الصناعة والخبراء لتبادل الآراء بشأن المواضيع الرئيسية للمنتدى WTPF-26 وتحديد مسار مداولات المنتدى. وستولى في المناقشات عناية خاصة للتحديات والفرص الفريدة التي تواجهها الدول الجزرية الصغيرة النامية.</w:t>
      </w:r>
    </w:p>
    <w:p w14:paraId="1237AD53" w14:textId="45F0FCDA" w:rsidR="00BC368A" w:rsidRPr="00BC368A" w:rsidRDefault="00706592" w:rsidP="00BC368A">
      <w:pPr>
        <w:rPr>
          <w:rtl/>
        </w:rPr>
      </w:pPr>
      <w:r>
        <w:t>2.4</w:t>
      </w:r>
      <w:r w:rsidR="00BC368A" w:rsidRPr="00BC368A">
        <w:rPr>
          <w:rtl/>
        </w:rPr>
        <w:tab/>
        <w:t>وسيفتتح المنتدى رسمياً يوم الثلاثاء 9 يونيو. وبعد حفل الافتتاح عند الساعة 09:30، سيُعرض تقرير الأمينة العامة، وستبدأ المناقشات في أفرقة العمل المعنية بكل مشروع من مشاريع الآراء الخمسة بحلقة نقاش تمهيدية. وستعقب حلقات النقاش بيانات - لا تتجاوز مدة كل منها ثلاث دقائق - يدلي بها مشاركون رفيعو المستوى، تليها مناقشة مفتوحة وتبادلات للآراء، يُشجع خلالها جميع مندوبي المنتدى على المساهمة. ويرد في الجدول 1 أدناه مشروع البرنامج المؤقت للمنتدى WTPF-26.</w:t>
      </w:r>
    </w:p>
    <w:p w14:paraId="7D00FEB9" w14:textId="77777777" w:rsidR="00BC368A" w:rsidRPr="00BC368A" w:rsidRDefault="00BC368A" w:rsidP="00706592">
      <w:pPr>
        <w:pStyle w:val="TableNo"/>
        <w:rPr>
          <w:rtl/>
        </w:rPr>
      </w:pPr>
      <w:r w:rsidRPr="00BC368A">
        <w:rPr>
          <w:rtl/>
        </w:rPr>
        <w:t>الجدول 1</w:t>
      </w:r>
    </w:p>
    <w:p w14:paraId="2A38FA8A" w14:textId="77777777" w:rsidR="00BC368A" w:rsidRPr="00BC368A" w:rsidRDefault="00BC368A" w:rsidP="00706592">
      <w:pPr>
        <w:pStyle w:val="Tabletitle"/>
        <w:rPr>
          <w:rtl/>
        </w:rPr>
      </w:pPr>
      <w:r w:rsidRPr="00BC368A">
        <w:rPr>
          <w:rtl/>
        </w:rPr>
        <w:t>مشروع البرنامج المؤقت للمنتدى WTPF-26</w:t>
      </w:r>
    </w:p>
    <w:tbl>
      <w:tblPr>
        <w:tblStyle w:val="TableGrid"/>
        <w:bidiVisual/>
        <w:tblW w:w="5000" w:type="pct"/>
        <w:tblLayout w:type="fixed"/>
        <w:tblLook w:val="0000" w:firstRow="0" w:lastRow="0" w:firstColumn="0" w:lastColumn="0" w:noHBand="0" w:noVBand="0"/>
      </w:tblPr>
      <w:tblGrid>
        <w:gridCol w:w="1779"/>
        <w:gridCol w:w="3641"/>
        <w:gridCol w:w="3641"/>
      </w:tblGrid>
      <w:tr w:rsidR="00BC368A" w:rsidRPr="00BC368A" w14:paraId="590203D7" w14:textId="77777777" w:rsidTr="007F3D1C">
        <w:tc>
          <w:tcPr>
            <w:tcW w:w="982" w:type="pct"/>
          </w:tcPr>
          <w:p w14:paraId="66F0595F" w14:textId="77777777" w:rsidR="00BC368A" w:rsidRPr="00BC368A" w:rsidRDefault="00BC368A" w:rsidP="00BC368A">
            <w:pPr>
              <w:rPr>
                <w:b/>
                <w:lang w:bidi="ar-EG"/>
              </w:rPr>
            </w:pPr>
          </w:p>
        </w:tc>
        <w:tc>
          <w:tcPr>
            <w:tcW w:w="2009" w:type="pct"/>
          </w:tcPr>
          <w:p w14:paraId="2DA1782A" w14:textId="77777777" w:rsidR="00BC368A" w:rsidRPr="00BC368A" w:rsidRDefault="00BC368A" w:rsidP="00706592">
            <w:pPr>
              <w:pStyle w:val="Tablehead"/>
              <w:rPr>
                <w:rtl/>
              </w:rPr>
            </w:pPr>
            <w:r w:rsidRPr="00BC368A">
              <w:rPr>
                <w:rtl/>
              </w:rPr>
              <w:t>من الساعة 09:30 إلى الساعة 12:30</w:t>
            </w:r>
          </w:p>
        </w:tc>
        <w:tc>
          <w:tcPr>
            <w:tcW w:w="2009" w:type="pct"/>
          </w:tcPr>
          <w:p w14:paraId="268BB741" w14:textId="77777777" w:rsidR="00BC368A" w:rsidRPr="00BC368A" w:rsidRDefault="00BC368A" w:rsidP="00706592">
            <w:pPr>
              <w:pStyle w:val="Tablehead"/>
              <w:rPr>
                <w:rtl/>
              </w:rPr>
            </w:pPr>
            <w:r w:rsidRPr="00BC368A">
              <w:rPr>
                <w:rtl/>
              </w:rPr>
              <w:t>من الساعة 12:30 إلى الساعة 17:30</w:t>
            </w:r>
          </w:p>
        </w:tc>
      </w:tr>
      <w:tr w:rsidR="00BC368A" w:rsidRPr="00BC368A" w14:paraId="6BDFA4C9" w14:textId="77777777" w:rsidTr="007F3D1C">
        <w:tc>
          <w:tcPr>
            <w:tcW w:w="982" w:type="pct"/>
          </w:tcPr>
          <w:p w14:paraId="3D5A3708" w14:textId="5DBC4BA4" w:rsidR="00BC368A" w:rsidRPr="00BC368A" w:rsidRDefault="00BC368A" w:rsidP="00706592">
            <w:pPr>
              <w:pStyle w:val="Tabletexte"/>
              <w:jc w:val="left"/>
              <w:rPr>
                <w:rtl/>
              </w:rPr>
            </w:pPr>
            <w:r w:rsidRPr="00BC368A">
              <w:rPr>
                <w:rtl/>
              </w:rPr>
              <w:t xml:space="preserve">الثلاثاء </w:t>
            </w:r>
            <w:r w:rsidR="001A5060">
              <w:rPr>
                <w:rtl/>
              </w:rPr>
              <w:br/>
            </w:r>
            <w:r w:rsidRPr="00BC368A">
              <w:rPr>
                <w:rtl/>
              </w:rPr>
              <w:t>9 يونيو 2026</w:t>
            </w:r>
          </w:p>
        </w:tc>
        <w:tc>
          <w:tcPr>
            <w:tcW w:w="2009" w:type="pct"/>
          </w:tcPr>
          <w:p w14:paraId="48FE0546"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حفل الافتتاح</w:t>
            </w:r>
          </w:p>
          <w:p w14:paraId="541D2053"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الجلسة العامة</w:t>
            </w:r>
          </w:p>
          <w:p w14:paraId="7C6DFE72"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فريق العمل المعني بالرأي 1</w:t>
            </w:r>
          </w:p>
        </w:tc>
        <w:tc>
          <w:tcPr>
            <w:tcW w:w="2009" w:type="pct"/>
          </w:tcPr>
          <w:p w14:paraId="22C743A4"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 xml:space="preserve">فريق العمل المعني بالرأي 1 </w:t>
            </w:r>
            <w:r w:rsidRPr="00BC368A">
              <w:rPr>
                <w:i/>
                <w:iCs/>
                <w:rtl/>
              </w:rPr>
              <w:t>(تابع)</w:t>
            </w:r>
          </w:p>
          <w:p w14:paraId="517AB787"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فريق العمل المعني بالرأي 2</w:t>
            </w:r>
          </w:p>
        </w:tc>
      </w:tr>
      <w:tr w:rsidR="00BC368A" w:rsidRPr="00BC368A" w14:paraId="5F8447FB" w14:textId="77777777" w:rsidTr="007F3D1C">
        <w:tc>
          <w:tcPr>
            <w:tcW w:w="982" w:type="pct"/>
          </w:tcPr>
          <w:p w14:paraId="7DC19EB0" w14:textId="10744D55" w:rsidR="00BC368A" w:rsidRPr="00BC368A" w:rsidRDefault="00BC368A" w:rsidP="00706592">
            <w:pPr>
              <w:pStyle w:val="Tabletexte"/>
              <w:jc w:val="left"/>
              <w:rPr>
                <w:rtl/>
              </w:rPr>
            </w:pPr>
            <w:r w:rsidRPr="00BC368A">
              <w:rPr>
                <w:rtl/>
              </w:rPr>
              <w:t xml:space="preserve">الأربعاء </w:t>
            </w:r>
            <w:r w:rsidR="001A5060">
              <w:rPr>
                <w:rtl/>
              </w:rPr>
              <w:br/>
            </w:r>
            <w:r w:rsidRPr="00BC368A">
              <w:rPr>
                <w:rtl/>
              </w:rPr>
              <w:t>10 يونيو 2026</w:t>
            </w:r>
          </w:p>
        </w:tc>
        <w:tc>
          <w:tcPr>
            <w:tcW w:w="2009" w:type="pct"/>
          </w:tcPr>
          <w:p w14:paraId="07F1C6E5"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 xml:space="preserve">فريق العمل المعني بالرأي 2 </w:t>
            </w:r>
            <w:r w:rsidRPr="00BC368A">
              <w:rPr>
                <w:i/>
                <w:iCs/>
                <w:rtl/>
              </w:rPr>
              <w:t>(تابع)</w:t>
            </w:r>
          </w:p>
          <w:p w14:paraId="6167E388"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فريق العمل المعني بالرأي 3</w:t>
            </w:r>
          </w:p>
        </w:tc>
        <w:tc>
          <w:tcPr>
            <w:tcW w:w="2009" w:type="pct"/>
          </w:tcPr>
          <w:p w14:paraId="6990B5EA"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 xml:space="preserve">فريق العمل المعني بالرأي 3 </w:t>
            </w:r>
            <w:r w:rsidRPr="00BC368A">
              <w:rPr>
                <w:i/>
                <w:iCs/>
                <w:rtl/>
              </w:rPr>
              <w:t>(تابع)</w:t>
            </w:r>
          </w:p>
          <w:p w14:paraId="6F9FC638"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فريق العمل المعني بالرأي 4</w:t>
            </w:r>
          </w:p>
        </w:tc>
      </w:tr>
      <w:tr w:rsidR="00BC368A" w:rsidRPr="00BC368A" w14:paraId="630FF7A6" w14:textId="77777777" w:rsidTr="007F3D1C">
        <w:tc>
          <w:tcPr>
            <w:tcW w:w="982" w:type="pct"/>
          </w:tcPr>
          <w:p w14:paraId="70CA48EA" w14:textId="225990AB" w:rsidR="00BC368A" w:rsidRPr="00BC368A" w:rsidRDefault="00BC368A" w:rsidP="00706592">
            <w:pPr>
              <w:pStyle w:val="Tabletexte"/>
              <w:jc w:val="left"/>
              <w:rPr>
                <w:rtl/>
              </w:rPr>
            </w:pPr>
            <w:r w:rsidRPr="00BC368A">
              <w:rPr>
                <w:rtl/>
              </w:rPr>
              <w:t xml:space="preserve">الخميس </w:t>
            </w:r>
            <w:r w:rsidR="001A5060">
              <w:rPr>
                <w:rtl/>
              </w:rPr>
              <w:br/>
            </w:r>
            <w:r w:rsidRPr="00BC368A">
              <w:rPr>
                <w:rtl/>
              </w:rPr>
              <w:t>11 يونيو 2026</w:t>
            </w:r>
          </w:p>
        </w:tc>
        <w:tc>
          <w:tcPr>
            <w:tcW w:w="2009" w:type="pct"/>
          </w:tcPr>
          <w:p w14:paraId="1B5C25F5"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 xml:space="preserve">فريق العمل المعني بالرأي 4 </w:t>
            </w:r>
            <w:r w:rsidRPr="00BC368A">
              <w:rPr>
                <w:i/>
                <w:iCs/>
                <w:rtl/>
              </w:rPr>
              <w:t>(تابع)</w:t>
            </w:r>
          </w:p>
          <w:p w14:paraId="3928DFAD"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فريق العمل المعني بالرأي 5</w:t>
            </w:r>
          </w:p>
        </w:tc>
        <w:tc>
          <w:tcPr>
            <w:tcW w:w="2009" w:type="pct"/>
          </w:tcPr>
          <w:p w14:paraId="7019C81C"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 xml:space="preserve">فريق العمل المعني بالرأي 5 </w:t>
            </w:r>
            <w:r w:rsidRPr="00BC368A">
              <w:rPr>
                <w:i/>
                <w:iCs/>
                <w:rtl/>
              </w:rPr>
              <w:t>(تابع)</w:t>
            </w:r>
          </w:p>
          <w:p w14:paraId="281ED954"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الجلسة العامة - اعتماد الآراء</w:t>
            </w:r>
          </w:p>
          <w:p w14:paraId="4284286F" w14:textId="77777777" w:rsidR="00BC368A" w:rsidRPr="00BC368A" w:rsidRDefault="00BC368A" w:rsidP="00D96EF0">
            <w:pPr>
              <w:pStyle w:val="Tabletexte"/>
              <w:tabs>
                <w:tab w:val="clear" w:pos="794"/>
                <w:tab w:val="left" w:pos="367"/>
              </w:tabs>
              <w:jc w:val="left"/>
              <w:rPr>
                <w:rtl/>
              </w:rPr>
            </w:pPr>
            <w:r w:rsidRPr="00BC368A">
              <w:rPr>
                <w:lang w:bidi="ar-EG"/>
              </w:rPr>
              <w:t>–</w:t>
            </w:r>
            <w:r w:rsidRPr="00BC368A">
              <w:rPr>
                <w:rtl/>
              </w:rPr>
              <w:tab/>
              <w:t>حفل الاختتام</w:t>
            </w:r>
          </w:p>
        </w:tc>
      </w:tr>
    </w:tbl>
    <w:p w14:paraId="6DE1C01B" w14:textId="7E56AA6E" w:rsidR="00BC368A" w:rsidRPr="00BC368A" w:rsidRDefault="00706592" w:rsidP="00706592">
      <w:pPr>
        <w:pageBreakBefore/>
        <w:rPr>
          <w:rtl/>
        </w:rPr>
      </w:pPr>
      <w:r>
        <w:lastRenderedPageBreak/>
        <w:t>3.4</w:t>
      </w:r>
      <w:r w:rsidR="00BC368A" w:rsidRPr="00BC368A">
        <w:rPr>
          <w:rtl/>
        </w:rPr>
        <w:tab/>
        <w:t>ستتاح للمشاركين المسجلين إمكانية المشاركة حضورياً وعن بُعد على السواء. وستعطى الأولوية للبيانات التي يدلي بها المشاركون رفيعو المستوى الحاضرون في ناسو.</w:t>
      </w:r>
    </w:p>
    <w:p w14:paraId="0893CEB6" w14:textId="026F9DC1" w:rsidR="00BC368A" w:rsidRPr="00BC368A" w:rsidRDefault="00706592" w:rsidP="00BC368A">
      <w:pPr>
        <w:rPr>
          <w:rtl/>
        </w:rPr>
      </w:pPr>
      <w:r>
        <w:t>4.4</w:t>
      </w:r>
      <w:r w:rsidR="00BC368A" w:rsidRPr="00BC368A">
        <w:rPr>
          <w:rtl/>
        </w:rPr>
        <w:tab/>
        <w:t>وسينظَّم أيضاً عدد من الأحداث الجانبية خلال فترة المنتدى، بما في ذلك محاكاة لتفاوض شباب الاتحاد، واجتماع هجين للهيئة الاستشارية الدولية المعنية بقدرة الكبلات البحرية على الصمود، والاجتماع التحضيري الأقاليمي الثالث لمؤتمر المندوبين المفوضين لعام 2026.</w:t>
      </w:r>
    </w:p>
    <w:p w14:paraId="4D6EFFDB"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28"/>
      <w:headerReference w:type="default" r:id="rId29"/>
      <w:footerReference w:type="even" r:id="rId30"/>
      <w:footerReference w:type="default" r:id="rId31"/>
      <w:headerReference w:type="first" r:id="rId32"/>
      <w:footerReference w:type="first" r:id="rId3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D981" w14:textId="77777777" w:rsidR="00A70437" w:rsidRDefault="00A70437" w:rsidP="006C3242">
      <w:pPr>
        <w:spacing w:before="0" w:line="240" w:lineRule="auto"/>
      </w:pPr>
      <w:r>
        <w:separator/>
      </w:r>
    </w:p>
  </w:endnote>
  <w:endnote w:type="continuationSeparator" w:id="0">
    <w:p w14:paraId="6D875A30" w14:textId="77777777" w:rsidR="00A70437" w:rsidRDefault="00A7043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9520" w14:textId="77777777" w:rsidR="00954CB4" w:rsidRDefault="0095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676D74B" w14:textId="77777777" w:rsidTr="00A67F05">
      <w:trPr>
        <w:jc w:val="center"/>
      </w:trPr>
      <w:tc>
        <w:tcPr>
          <w:tcW w:w="868" w:type="pct"/>
          <w:vAlign w:val="center"/>
        </w:tcPr>
        <w:p w14:paraId="1F9AFED1" w14:textId="77022313" w:rsidR="00F50E3F" w:rsidRPr="007B0AA0" w:rsidRDefault="00BC368A" w:rsidP="00954CB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BC368A">
            <w:rPr>
              <w:rFonts w:ascii="Calibri" w:hAnsi="Calibri" w:cs="Arial"/>
              <w:sz w:val="18"/>
              <w:szCs w:val="14"/>
            </w:rPr>
            <w:t>2600689</w:t>
          </w:r>
        </w:p>
      </w:tc>
      <w:tc>
        <w:tcPr>
          <w:tcW w:w="3912" w:type="pct"/>
        </w:tcPr>
        <w:p w14:paraId="182E6721" w14:textId="1CBE42C0" w:rsidR="00F50E3F" w:rsidRPr="007B0AA0" w:rsidRDefault="00F50E3F" w:rsidP="00954CB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BC368A">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737103D" w14:textId="77777777" w:rsidR="00F50E3F" w:rsidRPr="007B0AA0" w:rsidRDefault="00F50E3F" w:rsidP="00954CB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82E17A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791A15B" w14:textId="77777777" w:rsidTr="00A67F05">
      <w:trPr>
        <w:jc w:val="center"/>
      </w:trPr>
      <w:tc>
        <w:tcPr>
          <w:tcW w:w="1013" w:type="pct"/>
          <w:vAlign w:val="center"/>
        </w:tcPr>
        <w:p w14:paraId="4E291367" w14:textId="77777777" w:rsidR="007B0AA0" w:rsidRPr="000116AF" w:rsidRDefault="000116AF" w:rsidP="00954CB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18DA3967" w14:textId="40E6D0F2" w:rsidR="007B0AA0" w:rsidRPr="007B0AA0" w:rsidRDefault="007B0AA0" w:rsidP="00954CB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BC368A">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6D8D5E0" w14:textId="77777777" w:rsidR="007B0AA0" w:rsidRPr="007B0AA0" w:rsidRDefault="00F50E3F" w:rsidP="00954CB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8E7F5A1"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A271" w14:textId="77777777" w:rsidR="00A70437" w:rsidRDefault="00A70437" w:rsidP="006C3242">
      <w:pPr>
        <w:spacing w:before="0" w:line="240" w:lineRule="auto"/>
      </w:pPr>
      <w:r>
        <w:separator/>
      </w:r>
    </w:p>
  </w:footnote>
  <w:footnote w:type="continuationSeparator" w:id="0">
    <w:p w14:paraId="325A783D" w14:textId="77777777" w:rsidR="00A70437" w:rsidRDefault="00A7043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E5D5" w14:textId="77777777" w:rsidR="00954CB4" w:rsidRDefault="009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8A98" w14:textId="77777777" w:rsidR="00954CB4" w:rsidRDefault="00954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1ABE" w14:textId="77777777" w:rsidR="001A3E13" w:rsidRPr="00057769" w:rsidRDefault="001A3E13" w:rsidP="001A3E13">
    <w:pPr>
      <w:pStyle w:val="Header"/>
    </w:pPr>
    <w:r>
      <w:rPr>
        <w:noProof/>
      </w:rPr>
      <w:drawing>
        <wp:inline distT="0" distB="0" distL="0" distR="0" wp14:anchorId="3284F189" wp14:editId="3132E97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2518648">
    <w:abstractNumId w:val="9"/>
  </w:num>
  <w:num w:numId="2" w16cid:durableId="1111895892">
    <w:abstractNumId w:val="7"/>
  </w:num>
  <w:num w:numId="3" w16cid:durableId="1541550608">
    <w:abstractNumId w:val="6"/>
  </w:num>
  <w:num w:numId="4" w16cid:durableId="660432498">
    <w:abstractNumId w:val="5"/>
  </w:num>
  <w:num w:numId="5" w16cid:durableId="1051926559">
    <w:abstractNumId w:val="4"/>
  </w:num>
  <w:num w:numId="6" w16cid:durableId="1697846150">
    <w:abstractNumId w:val="8"/>
  </w:num>
  <w:num w:numId="7" w16cid:durableId="561211008">
    <w:abstractNumId w:val="3"/>
  </w:num>
  <w:num w:numId="8" w16cid:durableId="1683782201">
    <w:abstractNumId w:val="2"/>
  </w:num>
  <w:num w:numId="9" w16cid:durableId="1782919846">
    <w:abstractNumId w:val="1"/>
  </w:num>
  <w:num w:numId="10" w16cid:durableId="1708607546">
    <w:abstractNumId w:val="0"/>
  </w:num>
  <w:num w:numId="11" w16cid:durableId="330260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8A"/>
    <w:rsid w:val="000116AF"/>
    <w:rsid w:val="0006468A"/>
    <w:rsid w:val="00077A58"/>
    <w:rsid w:val="00090574"/>
    <w:rsid w:val="000C1C0E"/>
    <w:rsid w:val="000C548A"/>
    <w:rsid w:val="000D1B96"/>
    <w:rsid w:val="000D7A30"/>
    <w:rsid w:val="000D7E32"/>
    <w:rsid w:val="00191059"/>
    <w:rsid w:val="001A3E13"/>
    <w:rsid w:val="001A5060"/>
    <w:rsid w:val="001B6E2B"/>
    <w:rsid w:val="001C0169"/>
    <w:rsid w:val="001C0C21"/>
    <w:rsid w:val="001D1D50"/>
    <w:rsid w:val="001D64C7"/>
    <w:rsid w:val="001D6745"/>
    <w:rsid w:val="001E446E"/>
    <w:rsid w:val="002154EE"/>
    <w:rsid w:val="002276D2"/>
    <w:rsid w:val="0023283D"/>
    <w:rsid w:val="00254393"/>
    <w:rsid w:val="0026373E"/>
    <w:rsid w:val="00271C43"/>
    <w:rsid w:val="00272149"/>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592"/>
    <w:rsid w:val="00706D7A"/>
    <w:rsid w:val="00722F0D"/>
    <w:rsid w:val="00735081"/>
    <w:rsid w:val="007353D0"/>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0367E"/>
    <w:rsid w:val="0091702E"/>
    <w:rsid w:val="00923B0C"/>
    <w:rsid w:val="00924F46"/>
    <w:rsid w:val="00935AAC"/>
    <w:rsid w:val="0093725D"/>
    <w:rsid w:val="0094021C"/>
    <w:rsid w:val="00952F86"/>
    <w:rsid w:val="00954CB4"/>
    <w:rsid w:val="0096716C"/>
    <w:rsid w:val="00982B28"/>
    <w:rsid w:val="009868AC"/>
    <w:rsid w:val="009C3ED8"/>
    <w:rsid w:val="009D313F"/>
    <w:rsid w:val="00A47A5A"/>
    <w:rsid w:val="00A60384"/>
    <w:rsid w:val="00A63AE6"/>
    <w:rsid w:val="00A6683B"/>
    <w:rsid w:val="00A67F05"/>
    <w:rsid w:val="00A70437"/>
    <w:rsid w:val="00A97F94"/>
    <w:rsid w:val="00AA7EA2"/>
    <w:rsid w:val="00AB5A56"/>
    <w:rsid w:val="00AE7894"/>
    <w:rsid w:val="00B03099"/>
    <w:rsid w:val="00B05BC8"/>
    <w:rsid w:val="00B30F5E"/>
    <w:rsid w:val="00B64B47"/>
    <w:rsid w:val="00B95654"/>
    <w:rsid w:val="00B97F32"/>
    <w:rsid w:val="00BA04B2"/>
    <w:rsid w:val="00BC368A"/>
    <w:rsid w:val="00BD7584"/>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96EF0"/>
    <w:rsid w:val="00DA1CF0"/>
    <w:rsid w:val="00DA6A30"/>
    <w:rsid w:val="00DC1E02"/>
    <w:rsid w:val="00DC24B4"/>
    <w:rsid w:val="00DC5FB0"/>
    <w:rsid w:val="00DF16DC"/>
    <w:rsid w:val="00E311B5"/>
    <w:rsid w:val="00E45211"/>
    <w:rsid w:val="00E473C5"/>
    <w:rsid w:val="00E61BE8"/>
    <w:rsid w:val="00E63B30"/>
    <w:rsid w:val="00E83FF1"/>
    <w:rsid w:val="00E92863"/>
    <w:rsid w:val="00E979B2"/>
    <w:rsid w:val="00EB796D"/>
    <w:rsid w:val="00F058DC"/>
    <w:rsid w:val="00F24FC4"/>
    <w:rsid w:val="00F2676C"/>
    <w:rsid w:val="00F363FE"/>
    <w:rsid w:val="00F50E3F"/>
    <w:rsid w:val="00F84366"/>
    <w:rsid w:val="00F85089"/>
    <w:rsid w:val="00F974C5"/>
    <w:rsid w:val="00FA2D7B"/>
    <w:rsid w:val="00FA3763"/>
    <w:rsid w:val="00FA6F46"/>
    <w:rsid w:val="00FC0E94"/>
    <w:rsid w:val="00FC4592"/>
    <w:rsid w:val="00FD527F"/>
    <w:rsid w:val="00FE3E43"/>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486E6"/>
  <w15:chartTrackingRefBased/>
  <w15:docId w15:val="{B5069D35-7075-49B3-BD29-824EB16C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BD7584"/>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SG-CIR-0007/en" TargetMode="External"/><Relationship Id="rId18" Type="http://schemas.openxmlformats.org/officeDocument/2006/relationships/hyperlink" Target="https://wtpf26bahamas.com/" TargetMode="External"/><Relationship Id="rId26" Type="http://schemas.openxmlformats.org/officeDocument/2006/relationships/hyperlink" Target="mailto:wtpf@itu.int" TargetMode="External"/><Relationship Id="rId3" Type="http://schemas.openxmlformats.org/officeDocument/2006/relationships/styles" Target="styles.xml"/><Relationship Id="rId21" Type="http://schemas.openxmlformats.org/officeDocument/2006/relationships/hyperlink" Target="https://www.itu.int/md/S26-SG-CIR-0009/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tpf.itu.int/2026/" TargetMode="External"/><Relationship Id="rId17" Type="http://schemas.openxmlformats.org/officeDocument/2006/relationships/hyperlink" Target="https://wtpf.itu.int/2026/participation/registration/" TargetMode="External"/><Relationship Id="rId25" Type="http://schemas.openxmlformats.org/officeDocument/2006/relationships/hyperlink" Target="https://www.itu.int/md/S26-SG-CIR-0016/e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tpf.itu.int/2026/" TargetMode="External"/><Relationship Id="rId20" Type="http://schemas.openxmlformats.org/officeDocument/2006/relationships/hyperlink" Target="https://www.itu.int/md/S26-SG-CIR-0007/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136/en" TargetMode="External"/><Relationship Id="rId24" Type="http://schemas.openxmlformats.org/officeDocument/2006/relationships/hyperlink" Target="https://www.itu.int/md/S26-SG-CIR-0015/e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egwtpf26@lists.itu.int" TargetMode="External"/><Relationship Id="rId23" Type="http://schemas.openxmlformats.org/officeDocument/2006/relationships/hyperlink" Target="https://www.itu.int/md/S26-SG-CIR-0014/en" TargetMode="External"/><Relationship Id="rId28" Type="http://schemas.openxmlformats.org/officeDocument/2006/relationships/header" Target="header1.xml"/><Relationship Id="rId10" Type="http://schemas.openxmlformats.org/officeDocument/2006/relationships/hyperlink" Target="https://www.itu.int/md/S24-CL-C-0005/en" TargetMode="External"/><Relationship Id="rId19" Type="http://schemas.openxmlformats.org/officeDocument/2006/relationships/hyperlink" Target="https://www.itu.int/md/S25-SG-CIR-0056/e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2-PP-C-0207/en" TargetMode="External"/><Relationship Id="rId14" Type="http://schemas.openxmlformats.org/officeDocument/2006/relationships/hyperlink" Target="https://www.itu.int/en/council/Pages/ieg-wtpf-26.aspx" TargetMode="External"/><Relationship Id="rId22" Type="http://schemas.openxmlformats.org/officeDocument/2006/relationships/hyperlink" Target="https://www.itu.int/md/S26-SG-CIR-0013/en" TargetMode="External"/><Relationship Id="rId27" Type="http://schemas.openxmlformats.org/officeDocument/2006/relationships/hyperlink" Target="https://wtpf.itu.int/2026/document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itu.int/en/council/Documents/basic-texts-2023/RES-002-A.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5</Pages>
  <Words>1645</Words>
  <Characters>10736</Characters>
  <Application>Microsoft Office Word</Application>
  <DocSecurity>0</DocSecurity>
  <Lines>188</Lines>
  <Paragraphs>108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the 2026 World Telecommunication/ICT Policy Forum (WTPF-26)</dc:title>
  <dc:subject>ITU Council 2026</dc:subject>
  <cp:keywords>C26; C2026; Council 2026; PP26</cp:keywords>
  <dc:description/>
  <dcterms:created xsi:type="dcterms:W3CDTF">2026-04-21T09:42:00Z</dcterms:created>
  <dcterms:modified xsi:type="dcterms:W3CDTF">2026-04-21T09:43:00Z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