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FE57F6" w:rsidRPr="00C53573" w14:paraId="2AFA4873" w14:textId="77777777" w:rsidTr="00C4421B">
        <w:trPr>
          <w:cantSplit/>
          <w:trHeight w:val="23"/>
        </w:trPr>
        <w:tc>
          <w:tcPr>
            <w:tcW w:w="3969" w:type="dxa"/>
            <w:vMerge w:val="restart"/>
            <w:tcMar>
              <w:left w:w="0" w:type="dxa"/>
            </w:tcMar>
          </w:tcPr>
          <w:p w14:paraId="47847668" w14:textId="750B8172" w:rsidR="00FE57F6" w:rsidRPr="00C53573" w:rsidRDefault="00131CDA" w:rsidP="00C4421B">
            <w:pPr>
              <w:tabs>
                <w:tab w:val="left" w:pos="851"/>
              </w:tabs>
              <w:spacing w:before="0" w:line="240" w:lineRule="atLeast"/>
              <w:rPr>
                <w:b/>
                <w:lang w:val="es-ES"/>
              </w:rPr>
            </w:pPr>
            <w:bookmarkStart w:id="0" w:name="_Hlk133421839"/>
            <w:r w:rsidRPr="00C53573">
              <w:rPr>
                <w:b/>
                <w:lang w:val="es-ES"/>
              </w:rPr>
              <w:t>Punto del o</w:t>
            </w:r>
            <w:r w:rsidR="00BB6FD8" w:rsidRPr="00C53573">
              <w:rPr>
                <w:b/>
                <w:lang w:val="es-ES"/>
              </w:rPr>
              <w:t>rden del día</w:t>
            </w:r>
            <w:r w:rsidR="00FE57F6" w:rsidRPr="00C53573">
              <w:rPr>
                <w:b/>
                <w:lang w:val="es-ES"/>
              </w:rPr>
              <w:t xml:space="preserve">: </w:t>
            </w:r>
            <w:r w:rsidR="00D71C39">
              <w:rPr>
                <w:b/>
                <w:lang w:val="es-ES"/>
              </w:rPr>
              <w:t>PL-3</w:t>
            </w:r>
          </w:p>
        </w:tc>
        <w:tc>
          <w:tcPr>
            <w:tcW w:w="5245" w:type="dxa"/>
          </w:tcPr>
          <w:p w14:paraId="3FBF5A5C" w14:textId="4433EEFD" w:rsidR="00FE57F6" w:rsidRPr="00C53573" w:rsidRDefault="00FE57F6" w:rsidP="00C4421B">
            <w:pPr>
              <w:tabs>
                <w:tab w:val="left" w:pos="851"/>
              </w:tabs>
              <w:spacing w:before="0" w:line="240" w:lineRule="atLeast"/>
              <w:jc w:val="right"/>
              <w:rPr>
                <w:b/>
                <w:lang w:val="es-ES"/>
              </w:rPr>
            </w:pPr>
            <w:r w:rsidRPr="00C53573">
              <w:rPr>
                <w:b/>
                <w:lang w:val="es-ES"/>
              </w:rPr>
              <w:t>Document</w:t>
            </w:r>
            <w:r w:rsidR="00F24B71" w:rsidRPr="00C53573">
              <w:rPr>
                <w:b/>
                <w:lang w:val="es-ES"/>
              </w:rPr>
              <w:t>o</w:t>
            </w:r>
            <w:r w:rsidRPr="00C53573">
              <w:rPr>
                <w:b/>
                <w:lang w:val="es-ES"/>
              </w:rPr>
              <w:t xml:space="preserve"> C2</w:t>
            </w:r>
            <w:r w:rsidR="00F85E5C" w:rsidRPr="00C53573">
              <w:rPr>
                <w:b/>
                <w:lang w:val="es-ES"/>
              </w:rPr>
              <w:t>6</w:t>
            </w:r>
            <w:r w:rsidRPr="00C53573">
              <w:rPr>
                <w:b/>
                <w:lang w:val="es-ES"/>
              </w:rPr>
              <w:t>/</w:t>
            </w:r>
            <w:r w:rsidR="00131CDA" w:rsidRPr="00C53573">
              <w:rPr>
                <w:b/>
                <w:lang w:val="es-ES"/>
              </w:rPr>
              <w:t>4</w:t>
            </w:r>
            <w:r w:rsidRPr="00C53573">
              <w:rPr>
                <w:b/>
                <w:lang w:val="es-ES"/>
              </w:rPr>
              <w:t>-</w:t>
            </w:r>
            <w:r w:rsidR="00F24B71" w:rsidRPr="00C53573">
              <w:rPr>
                <w:b/>
                <w:lang w:val="es-ES"/>
              </w:rPr>
              <w:t>S</w:t>
            </w:r>
          </w:p>
        </w:tc>
      </w:tr>
      <w:tr w:rsidR="00FE57F6" w:rsidRPr="00C53573" w14:paraId="75ECAB3C" w14:textId="77777777" w:rsidTr="00C4421B">
        <w:trPr>
          <w:cantSplit/>
        </w:trPr>
        <w:tc>
          <w:tcPr>
            <w:tcW w:w="3969" w:type="dxa"/>
            <w:vMerge/>
          </w:tcPr>
          <w:p w14:paraId="5EBA3320" w14:textId="77777777" w:rsidR="00FE57F6" w:rsidRPr="00C53573" w:rsidRDefault="00FE57F6" w:rsidP="00C4421B">
            <w:pPr>
              <w:tabs>
                <w:tab w:val="left" w:pos="851"/>
              </w:tabs>
              <w:spacing w:line="240" w:lineRule="atLeast"/>
              <w:rPr>
                <w:b/>
                <w:lang w:val="es-ES"/>
              </w:rPr>
            </w:pPr>
          </w:p>
        </w:tc>
        <w:tc>
          <w:tcPr>
            <w:tcW w:w="5245" w:type="dxa"/>
          </w:tcPr>
          <w:p w14:paraId="28483A2D" w14:textId="0FD24091" w:rsidR="00FE57F6" w:rsidRPr="00C53573" w:rsidRDefault="00131CDA" w:rsidP="00C4421B">
            <w:pPr>
              <w:tabs>
                <w:tab w:val="left" w:pos="851"/>
              </w:tabs>
              <w:spacing w:before="0"/>
              <w:jc w:val="right"/>
              <w:rPr>
                <w:b/>
                <w:lang w:val="es-ES"/>
              </w:rPr>
            </w:pPr>
            <w:r w:rsidRPr="00C53573">
              <w:rPr>
                <w:b/>
                <w:lang w:val="es-ES"/>
              </w:rPr>
              <w:t>27 de marzo de 2026</w:t>
            </w:r>
          </w:p>
        </w:tc>
      </w:tr>
      <w:tr w:rsidR="00FE57F6" w:rsidRPr="00C53573" w14:paraId="3C7E7160" w14:textId="77777777" w:rsidTr="00C4421B">
        <w:trPr>
          <w:cantSplit/>
          <w:trHeight w:val="23"/>
        </w:trPr>
        <w:tc>
          <w:tcPr>
            <w:tcW w:w="3969" w:type="dxa"/>
            <w:vMerge/>
          </w:tcPr>
          <w:p w14:paraId="1372034D" w14:textId="77777777" w:rsidR="00FE57F6" w:rsidRPr="00C53573" w:rsidRDefault="00FE57F6" w:rsidP="00C4421B">
            <w:pPr>
              <w:tabs>
                <w:tab w:val="left" w:pos="851"/>
              </w:tabs>
              <w:spacing w:line="240" w:lineRule="atLeast"/>
              <w:rPr>
                <w:b/>
                <w:lang w:val="es-ES"/>
              </w:rPr>
            </w:pPr>
          </w:p>
        </w:tc>
        <w:tc>
          <w:tcPr>
            <w:tcW w:w="5245" w:type="dxa"/>
          </w:tcPr>
          <w:p w14:paraId="17F56709" w14:textId="77777777" w:rsidR="00FE57F6" w:rsidRPr="00C53573" w:rsidRDefault="00F24B71" w:rsidP="00C4421B">
            <w:pPr>
              <w:tabs>
                <w:tab w:val="left" w:pos="851"/>
              </w:tabs>
              <w:spacing w:before="0" w:line="240" w:lineRule="atLeast"/>
              <w:jc w:val="right"/>
              <w:rPr>
                <w:b/>
                <w:bCs/>
                <w:lang w:val="es-ES"/>
              </w:rPr>
            </w:pPr>
            <w:r w:rsidRPr="00C53573">
              <w:rPr>
                <w:rFonts w:cstheme="minorHAnsi"/>
                <w:b/>
                <w:bCs/>
                <w:lang w:val="es-ES"/>
              </w:rPr>
              <w:t>Original: inglés</w:t>
            </w:r>
          </w:p>
        </w:tc>
      </w:tr>
      <w:tr w:rsidR="00FE57F6" w:rsidRPr="00C53573" w14:paraId="60492918" w14:textId="77777777" w:rsidTr="00C4421B">
        <w:trPr>
          <w:cantSplit/>
          <w:trHeight w:val="23"/>
        </w:trPr>
        <w:tc>
          <w:tcPr>
            <w:tcW w:w="3969" w:type="dxa"/>
          </w:tcPr>
          <w:p w14:paraId="59D0570D" w14:textId="77777777" w:rsidR="00FE57F6" w:rsidRPr="00C53573" w:rsidRDefault="00FE57F6" w:rsidP="00C4421B">
            <w:pPr>
              <w:tabs>
                <w:tab w:val="left" w:pos="851"/>
              </w:tabs>
              <w:spacing w:line="240" w:lineRule="atLeast"/>
              <w:rPr>
                <w:b/>
                <w:lang w:val="es-ES"/>
              </w:rPr>
            </w:pPr>
          </w:p>
        </w:tc>
        <w:tc>
          <w:tcPr>
            <w:tcW w:w="5245" w:type="dxa"/>
          </w:tcPr>
          <w:p w14:paraId="28A86C22" w14:textId="77777777" w:rsidR="00FE57F6" w:rsidRPr="00C53573" w:rsidRDefault="00FE57F6" w:rsidP="00C4421B">
            <w:pPr>
              <w:tabs>
                <w:tab w:val="left" w:pos="851"/>
              </w:tabs>
              <w:spacing w:before="0" w:line="240" w:lineRule="atLeast"/>
              <w:jc w:val="right"/>
              <w:rPr>
                <w:b/>
                <w:lang w:val="es-ES"/>
              </w:rPr>
            </w:pPr>
          </w:p>
        </w:tc>
      </w:tr>
      <w:tr w:rsidR="00FE57F6" w:rsidRPr="00C44D40" w14:paraId="173EDDC9" w14:textId="77777777" w:rsidTr="00C4421B">
        <w:trPr>
          <w:cantSplit/>
        </w:trPr>
        <w:tc>
          <w:tcPr>
            <w:tcW w:w="9214" w:type="dxa"/>
            <w:gridSpan w:val="2"/>
            <w:tcMar>
              <w:left w:w="0" w:type="dxa"/>
            </w:tcMar>
          </w:tcPr>
          <w:p w14:paraId="71BA6844" w14:textId="77777777" w:rsidR="00FE57F6" w:rsidRPr="00C53573" w:rsidRDefault="00157AC4" w:rsidP="00C4421B">
            <w:pPr>
              <w:pStyle w:val="Source"/>
              <w:jc w:val="left"/>
              <w:rPr>
                <w:sz w:val="34"/>
                <w:szCs w:val="34"/>
                <w:lang w:val="es-ES"/>
              </w:rPr>
            </w:pPr>
            <w:r w:rsidRPr="00C53573">
              <w:rPr>
                <w:rFonts w:cstheme="minorHAnsi"/>
                <w:sz w:val="34"/>
                <w:szCs w:val="34"/>
                <w:lang w:val="es-ES"/>
              </w:rPr>
              <w:t>Informe de la Secretaria General</w:t>
            </w:r>
          </w:p>
        </w:tc>
      </w:tr>
      <w:tr w:rsidR="00FE57F6" w:rsidRPr="00C44D40" w14:paraId="6192667B" w14:textId="77777777" w:rsidTr="00C4421B">
        <w:trPr>
          <w:cantSplit/>
        </w:trPr>
        <w:tc>
          <w:tcPr>
            <w:tcW w:w="9214" w:type="dxa"/>
            <w:gridSpan w:val="2"/>
            <w:tcMar>
              <w:left w:w="0" w:type="dxa"/>
            </w:tcMar>
          </w:tcPr>
          <w:p w14:paraId="61CF1CD8" w14:textId="4501502B" w:rsidR="00FE57F6" w:rsidRPr="00C53573" w:rsidRDefault="00753CDD" w:rsidP="00131CDA">
            <w:pPr>
              <w:pStyle w:val="Subtitle"/>
              <w:framePr w:hSpace="0" w:wrap="auto" w:hAnchor="text" w:xAlign="left" w:yAlign="inline"/>
              <w:rPr>
                <w:lang w:val="es-ES"/>
              </w:rPr>
            </w:pPr>
            <w:r w:rsidRPr="00C53573">
              <w:rPr>
                <w:lang w:val="es-ES"/>
              </w:rPr>
              <w:t>PREPARATIVOS PARA LA CONFERENCIA DE PLENIPOTENCIARIOS DE 2026</w:t>
            </w:r>
          </w:p>
        </w:tc>
      </w:tr>
      <w:tr w:rsidR="00FE57F6" w:rsidRPr="00C44D40" w14:paraId="07E223C6" w14:textId="77777777" w:rsidTr="00C4421B">
        <w:trPr>
          <w:cantSplit/>
        </w:trPr>
        <w:tc>
          <w:tcPr>
            <w:tcW w:w="9214" w:type="dxa"/>
            <w:gridSpan w:val="2"/>
            <w:tcBorders>
              <w:top w:val="single" w:sz="4" w:space="0" w:color="auto"/>
              <w:bottom w:val="single" w:sz="4" w:space="0" w:color="auto"/>
            </w:tcBorders>
            <w:tcMar>
              <w:left w:w="0" w:type="dxa"/>
            </w:tcMar>
          </w:tcPr>
          <w:p w14:paraId="4872589F" w14:textId="77777777" w:rsidR="00FE57F6" w:rsidRPr="00C53573" w:rsidRDefault="00F24B71" w:rsidP="00C4421B">
            <w:pPr>
              <w:spacing w:before="160"/>
              <w:rPr>
                <w:b/>
                <w:bCs/>
                <w:sz w:val="26"/>
                <w:szCs w:val="26"/>
                <w:lang w:val="es-ES"/>
              </w:rPr>
            </w:pPr>
            <w:r w:rsidRPr="00C53573">
              <w:rPr>
                <w:b/>
                <w:bCs/>
                <w:sz w:val="26"/>
                <w:szCs w:val="26"/>
                <w:lang w:val="es-ES"/>
              </w:rPr>
              <w:t>Finalidad</w:t>
            </w:r>
          </w:p>
          <w:p w14:paraId="154B109B" w14:textId="77777777" w:rsidR="00131CDA" w:rsidRPr="00131CDA" w:rsidRDefault="00131CDA" w:rsidP="00131CDA">
            <w:pPr>
              <w:rPr>
                <w:lang w:val="es-ES"/>
              </w:rPr>
            </w:pPr>
            <w:r w:rsidRPr="00131CDA">
              <w:rPr>
                <w:lang w:val="es-ES"/>
              </w:rPr>
              <w:t>El objetivo del presente documento es facilitar al Consejo información actualizada sobre la situación de los preparativos para la próxima Conferencia de Plenipotenciarios (PP-26).</w:t>
            </w:r>
          </w:p>
          <w:p w14:paraId="5D28FF06" w14:textId="77777777" w:rsidR="00FE57F6" w:rsidRPr="00C53573" w:rsidRDefault="00F24B71" w:rsidP="00C4421B">
            <w:pPr>
              <w:spacing w:before="160"/>
              <w:rPr>
                <w:b/>
                <w:bCs/>
                <w:sz w:val="26"/>
                <w:szCs w:val="26"/>
                <w:lang w:val="es-ES"/>
              </w:rPr>
            </w:pPr>
            <w:r w:rsidRPr="00C53573">
              <w:rPr>
                <w:b/>
                <w:bCs/>
                <w:sz w:val="26"/>
                <w:szCs w:val="26"/>
                <w:lang w:val="es-ES"/>
              </w:rPr>
              <w:t xml:space="preserve">Acción solicitada </w:t>
            </w:r>
            <w:r w:rsidR="00677A97" w:rsidRPr="00C53573">
              <w:rPr>
                <w:b/>
                <w:bCs/>
                <w:sz w:val="26"/>
                <w:szCs w:val="26"/>
                <w:lang w:val="es-ES"/>
              </w:rPr>
              <w:t>al</w:t>
            </w:r>
            <w:r w:rsidRPr="00C53573">
              <w:rPr>
                <w:b/>
                <w:bCs/>
                <w:sz w:val="26"/>
                <w:szCs w:val="26"/>
                <w:lang w:val="es-ES"/>
              </w:rPr>
              <w:t xml:space="preserve"> Consejo</w:t>
            </w:r>
          </w:p>
          <w:p w14:paraId="08CC61E6" w14:textId="4FC2C29A" w:rsidR="00F92BED" w:rsidRPr="00C53573" w:rsidRDefault="00131CDA" w:rsidP="00131CDA">
            <w:pPr>
              <w:spacing w:before="160"/>
              <w:rPr>
                <w:szCs w:val="24"/>
                <w:lang w:val="es-ES"/>
              </w:rPr>
            </w:pPr>
            <w:r w:rsidRPr="00C53573">
              <w:rPr>
                <w:szCs w:val="24"/>
                <w:lang w:val="es-ES"/>
              </w:rPr>
              <w:t xml:space="preserve">Se invita al Consejo a </w:t>
            </w:r>
            <w:r w:rsidRPr="00C53573">
              <w:rPr>
                <w:b/>
                <w:bCs/>
                <w:szCs w:val="24"/>
                <w:lang w:val="es-ES"/>
              </w:rPr>
              <w:t xml:space="preserve">tomar nota </w:t>
            </w:r>
            <w:r w:rsidRPr="00C53573">
              <w:rPr>
                <w:szCs w:val="24"/>
                <w:lang w:val="es-ES"/>
              </w:rPr>
              <w:t>de la situación actual de los preparativos para la PP-26.</w:t>
            </w:r>
          </w:p>
          <w:p w14:paraId="23D46A6E" w14:textId="77777777" w:rsidR="00F92BED" w:rsidRPr="00C53573" w:rsidRDefault="00F92BED" w:rsidP="00C4421B">
            <w:pPr>
              <w:spacing w:before="160"/>
              <w:rPr>
                <w:b/>
                <w:bCs/>
                <w:sz w:val="26"/>
                <w:szCs w:val="26"/>
                <w:lang w:val="es-ES"/>
              </w:rPr>
            </w:pPr>
            <w:r w:rsidRPr="00C53573">
              <w:rPr>
                <w:b/>
                <w:bCs/>
                <w:sz w:val="26"/>
                <w:szCs w:val="26"/>
                <w:lang w:val="es-ES"/>
              </w:rPr>
              <w:t>Vínculo(s) pertinente(s) con el Plan Estratégico</w:t>
            </w:r>
          </w:p>
          <w:p w14:paraId="2703C871" w14:textId="48074E27" w:rsidR="00F92BED" w:rsidRPr="00C53573" w:rsidRDefault="00131CDA" w:rsidP="00131CDA">
            <w:pPr>
              <w:rPr>
                <w:lang w:val="es-ES"/>
              </w:rPr>
            </w:pPr>
            <w:r w:rsidRPr="00C53573">
              <w:rPr>
                <w:lang w:val="es-ES"/>
              </w:rPr>
              <w:t>Creación de plataformas.</w:t>
            </w:r>
          </w:p>
          <w:p w14:paraId="572D5FA8" w14:textId="77777777" w:rsidR="00F92BED" w:rsidRPr="00C53573" w:rsidRDefault="00F92BED" w:rsidP="00C4421B">
            <w:pPr>
              <w:spacing w:before="160"/>
              <w:rPr>
                <w:b/>
                <w:bCs/>
                <w:sz w:val="26"/>
                <w:szCs w:val="26"/>
                <w:lang w:val="es-ES"/>
              </w:rPr>
            </w:pPr>
            <w:r w:rsidRPr="00C53573">
              <w:rPr>
                <w:b/>
                <w:bCs/>
                <w:sz w:val="26"/>
                <w:szCs w:val="26"/>
                <w:lang w:val="es-ES"/>
              </w:rPr>
              <w:t>Repercusiones financieras</w:t>
            </w:r>
          </w:p>
          <w:p w14:paraId="02BB8A40" w14:textId="651B9DE1" w:rsidR="00F92BED" w:rsidRPr="00C53573" w:rsidRDefault="00131CDA" w:rsidP="00131CDA">
            <w:pPr>
              <w:rPr>
                <w:lang w:val="es-ES"/>
              </w:rPr>
            </w:pPr>
            <w:r w:rsidRPr="00C53573">
              <w:rPr>
                <w:lang w:val="es-ES"/>
              </w:rPr>
              <w:t>Con cargo a los presupuestos asignados para 2024-2025 y 2026-2027.</w:t>
            </w:r>
          </w:p>
          <w:p w14:paraId="6FB36109" w14:textId="77777777" w:rsidR="00FE57F6" w:rsidRPr="00C53573" w:rsidRDefault="00FE57F6" w:rsidP="00C4421B">
            <w:pPr>
              <w:spacing w:before="160"/>
              <w:rPr>
                <w:caps/>
                <w:sz w:val="22"/>
                <w:lang w:val="es-ES"/>
              </w:rPr>
            </w:pPr>
            <w:r w:rsidRPr="00C53573">
              <w:rPr>
                <w:sz w:val="22"/>
                <w:lang w:val="es-ES"/>
              </w:rPr>
              <w:t>__________________</w:t>
            </w:r>
          </w:p>
          <w:p w14:paraId="4F9E816B" w14:textId="77777777" w:rsidR="00FE57F6" w:rsidRPr="00C53573" w:rsidRDefault="00F24B71" w:rsidP="00C4421B">
            <w:pPr>
              <w:spacing w:before="160"/>
              <w:rPr>
                <w:b/>
                <w:bCs/>
                <w:sz w:val="26"/>
                <w:szCs w:val="26"/>
                <w:lang w:val="es-ES"/>
              </w:rPr>
            </w:pPr>
            <w:r w:rsidRPr="00C53573">
              <w:rPr>
                <w:b/>
                <w:bCs/>
                <w:sz w:val="26"/>
                <w:szCs w:val="26"/>
                <w:lang w:val="es-ES"/>
              </w:rPr>
              <w:t>Referencia</w:t>
            </w:r>
            <w:r w:rsidR="00F92BED" w:rsidRPr="00C53573">
              <w:rPr>
                <w:b/>
                <w:bCs/>
                <w:sz w:val="26"/>
                <w:szCs w:val="26"/>
                <w:lang w:val="es-ES"/>
              </w:rPr>
              <w:t>s</w:t>
            </w:r>
            <w:r w:rsidR="00D375E0" w:rsidRPr="00C53573">
              <w:rPr>
                <w:sz w:val="26"/>
                <w:szCs w:val="26"/>
                <w:lang w:val="es-ES"/>
              </w:rPr>
              <w:t xml:space="preserve"> </w:t>
            </w:r>
          </w:p>
          <w:p w14:paraId="0ED7CD0D" w14:textId="55125B5C" w:rsidR="00FE57F6" w:rsidRPr="00753CDD" w:rsidRDefault="00131CDA" w:rsidP="00131CDA">
            <w:pPr>
              <w:spacing w:after="160"/>
              <w:rPr>
                <w:i/>
                <w:iCs/>
                <w:sz w:val="22"/>
                <w:szCs w:val="22"/>
                <w:lang w:val="es-ES"/>
              </w:rPr>
            </w:pPr>
            <w:hyperlink r:id="rId6" w:history="1">
              <w:proofErr w:type="spellStart"/>
              <w:r w:rsidRPr="00753CDD">
                <w:rPr>
                  <w:rStyle w:val="Hyperlink"/>
                  <w:rFonts w:eastAsia="Times New Roman" w:cs="Times New Roman"/>
                  <w:i/>
                  <w:iCs/>
                  <w:sz w:val="22"/>
                  <w:lang w:val="es-ES"/>
                </w:rPr>
                <w:t>CV2</w:t>
              </w:r>
              <w:proofErr w:type="spellEnd"/>
            </w:hyperlink>
            <w:r w:rsidRPr="00753CDD">
              <w:rPr>
                <w:i/>
                <w:iCs/>
                <w:sz w:val="22"/>
                <w:szCs w:val="22"/>
                <w:lang w:val="es-ES"/>
              </w:rPr>
              <w:t>, Resolución</w:t>
            </w:r>
            <w:hyperlink r:id="rId7" w:history="1">
              <w:r w:rsidRPr="00753CDD">
                <w:rPr>
                  <w:rStyle w:val="Hyperlink"/>
                  <w:rFonts w:eastAsia="Times New Roman" w:cs="Times New Roman"/>
                  <w:i/>
                  <w:iCs/>
                  <w:sz w:val="22"/>
                  <w:lang w:val="es-ES"/>
                </w:rPr>
                <w:t xml:space="preserve"> 77 (Rev. Bucarest, 2022)</w:t>
              </w:r>
            </w:hyperlink>
            <w:r w:rsidRPr="00753CDD">
              <w:rPr>
                <w:i/>
                <w:iCs/>
                <w:sz w:val="22"/>
                <w:szCs w:val="22"/>
                <w:lang w:val="es-ES"/>
              </w:rPr>
              <w:t xml:space="preserve"> de la Conferencia de Plenipotenciarios; Acuerdo</w:t>
            </w:r>
            <w:hyperlink r:id="rId8" w:history="1">
              <w:r w:rsidRPr="00753CDD">
                <w:rPr>
                  <w:rStyle w:val="Hyperlink"/>
                  <w:rFonts w:eastAsia="Times New Roman" w:cs="Times New Roman"/>
                  <w:i/>
                  <w:iCs/>
                  <w:sz w:val="22"/>
                  <w:lang w:val="es-ES"/>
                </w:rPr>
                <w:t xml:space="preserve"> 636 (</w:t>
              </w:r>
              <w:proofErr w:type="spellStart"/>
              <w:r w:rsidRPr="00753CDD">
                <w:rPr>
                  <w:rStyle w:val="Hyperlink"/>
                  <w:rFonts w:eastAsia="Times New Roman" w:cs="Times New Roman"/>
                  <w:i/>
                  <w:iCs/>
                  <w:sz w:val="22"/>
                  <w:lang w:val="es-ES"/>
                </w:rPr>
                <w:t>C23</w:t>
              </w:r>
              <w:proofErr w:type="spellEnd"/>
              <w:r w:rsidRPr="00753CDD">
                <w:rPr>
                  <w:rStyle w:val="Hyperlink"/>
                  <w:rFonts w:eastAsia="Times New Roman" w:cs="Times New Roman"/>
                  <w:i/>
                  <w:iCs/>
                  <w:sz w:val="22"/>
                  <w:lang w:val="es-ES"/>
                </w:rPr>
                <w:t>)</w:t>
              </w:r>
            </w:hyperlink>
            <w:r w:rsidRPr="00753CDD">
              <w:rPr>
                <w:i/>
                <w:iCs/>
                <w:sz w:val="22"/>
                <w:szCs w:val="22"/>
                <w:lang w:val="es-ES"/>
              </w:rPr>
              <w:t xml:space="preserve">; Documentos </w:t>
            </w:r>
            <w:hyperlink r:id="rId9" w:history="1">
              <w:proofErr w:type="spellStart"/>
              <w:r w:rsidRPr="00753CDD">
                <w:rPr>
                  <w:rStyle w:val="Hyperlink"/>
                  <w:rFonts w:eastAsia="Times New Roman" w:cs="Times New Roman"/>
                  <w:i/>
                  <w:iCs/>
                  <w:sz w:val="22"/>
                  <w:lang w:val="es-ES"/>
                </w:rPr>
                <w:t>C23</w:t>
              </w:r>
              <w:proofErr w:type="spellEnd"/>
              <w:r w:rsidRPr="00753CDD">
                <w:rPr>
                  <w:rStyle w:val="Hyperlink"/>
                  <w:rFonts w:eastAsia="Times New Roman" w:cs="Times New Roman"/>
                  <w:i/>
                  <w:iCs/>
                  <w:sz w:val="22"/>
                  <w:lang w:val="es-ES"/>
                </w:rPr>
                <w:t>/4</w:t>
              </w:r>
            </w:hyperlink>
            <w:r w:rsidRPr="00753CDD">
              <w:rPr>
                <w:i/>
                <w:iCs/>
                <w:sz w:val="22"/>
                <w:szCs w:val="22"/>
                <w:lang w:val="es-ES"/>
              </w:rPr>
              <w:t xml:space="preserve">, </w:t>
            </w:r>
            <w:hyperlink r:id="rId10" w:history="1">
              <w:proofErr w:type="spellStart"/>
              <w:r w:rsidRPr="00753CDD">
                <w:rPr>
                  <w:rStyle w:val="Hyperlink"/>
                  <w:rFonts w:eastAsia="Times New Roman" w:cs="Times New Roman"/>
                  <w:i/>
                  <w:iCs/>
                  <w:sz w:val="22"/>
                  <w:lang w:val="es-ES"/>
                </w:rPr>
                <w:t>C23</w:t>
              </w:r>
              <w:proofErr w:type="spellEnd"/>
              <w:r w:rsidRPr="00753CDD">
                <w:rPr>
                  <w:rStyle w:val="Hyperlink"/>
                  <w:rFonts w:eastAsia="Times New Roman" w:cs="Times New Roman"/>
                  <w:i/>
                  <w:iCs/>
                  <w:sz w:val="22"/>
                  <w:lang w:val="es-ES"/>
                </w:rPr>
                <w:t>/84</w:t>
              </w:r>
            </w:hyperlink>
            <w:r w:rsidRPr="00753CDD">
              <w:rPr>
                <w:i/>
                <w:iCs/>
                <w:sz w:val="22"/>
                <w:szCs w:val="22"/>
                <w:lang w:val="es-ES"/>
              </w:rPr>
              <w:t xml:space="preserve">, </w:t>
            </w:r>
            <w:hyperlink r:id="rId11" w:history="1">
              <w:proofErr w:type="spellStart"/>
              <w:r w:rsidRPr="00753CDD">
                <w:rPr>
                  <w:rStyle w:val="Hyperlink"/>
                  <w:rFonts w:eastAsia="Times New Roman" w:cs="Times New Roman"/>
                  <w:i/>
                  <w:iCs/>
                  <w:sz w:val="22"/>
                  <w:lang w:val="es-ES"/>
                </w:rPr>
                <w:t>C23</w:t>
              </w:r>
              <w:proofErr w:type="spellEnd"/>
              <w:r w:rsidRPr="00753CDD">
                <w:rPr>
                  <w:rStyle w:val="Hyperlink"/>
                  <w:rFonts w:eastAsia="Times New Roman" w:cs="Times New Roman"/>
                  <w:i/>
                  <w:iCs/>
                  <w:sz w:val="22"/>
                  <w:lang w:val="es-ES"/>
                </w:rPr>
                <w:t>/107</w:t>
              </w:r>
            </w:hyperlink>
            <w:r w:rsidRPr="00753CDD">
              <w:rPr>
                <w:i/>
                <w:iCs/>
                <w:sz w:val="22"/>
                <w:szCs w:val="22"/>
                <w:lang w:val="es-ES"/>
              </w:rPr>
              <w:t xml:space="preserve">, </w:t>
            </w:r>
            <w:hyperlink r:id="rId12" w:history="1">
              <w:proofErr w:type="spellStart"/>
              <w:r w:rsidRPr="00753CDD">
                <w:rPr>
                  <w:rStyle w:val="Hyperlink"/>
                  <w:rFonts w:eastAsia="Times New Roman" w:cs="Times New Roman"/>
                  <w:i/>
                  <w:iCs/>
                  <w:sz w:val="22"/>
                  <w:lang w:val="es-ES"/>
                </w:rPr>
                <w:t>C23</w:t>
              </w:r>
              <w:proofErr w:type="spellEnd"/>
              <w:r w:rsidRPr="00753CDD">
                <w:rPr>
                  <w:rStyle w:val="Hyperlink"/>
                  <w:rFonts w:eastAsia="Times New Roman" w:cs="Times New Roman"/>
                  <w:i/>
                  <w:iCs/>
                  <w:sz w:val="22"/>
                  <w:lang w:val="es-ES"/>
                </w:rPr>
                <w:t>-ADD/4</w:t>
              </w:r>
            </w:hyperlink>
            <w:r w:rsidRPr="00753CDD">
              <w:rPr>
                <w:i/>
                <w:iCs/>
                <w:sz w:val="22"/>
                <w:szCs w:val="22"/>
                <w:lang w:val="es-ES"/>
              </w:rPr>
              <w:t xml:space="preserve">, </w:t>
            </w:r>
            <w:hyperlink r:id="rId13" w:history="1">
              <w:r w:rsidRPr="00753CDD">
                <w:rPr>
                  <w:rStyle w:val="Hyperlink"/>
                  <w:rFonts w:eastAsia="Times New Roman" w:cs="Times New Roman"/>
                  <w:i/>
                  <w:iCs/>
                  <w:sz w:val="22"/>
                  <w:lang w:val="es-ES"/>
                </w:rPr>
                <w:t>CL-23/44</w:t>
              </w:r>
            </w:hyperlink>
            <w:r w:rsidRPr="00753CDD">
              <w:rPr>
                <w:i/>
                <w:iCs/>
                <w:sz w:val="22"/>
                <w:szCs w:val="22"/>
                <w:lang w:val="es-ES"/>
              </w:rPr>
              <w:t xml:space="preserve">, </w:t>
            </w:r>
            <w:hyperlink r:id="rId14" w:history="1">
              <w:r w:rsidRPr="00753CDD">
                <w:rPr>
                  <w:rStyle w:val="Hyperlink"/>
                  <w:rFonts w:eastAsia="Times New Roman" w:cs="Times New Roman"/>
                  <w:i/>
                  <w:iCs/>
                  <w:sz w:val="22"/>
                  <w:lang w:val="es-ES"/>
                </w:rPr>
                <w:t>CL-23/53</w:t>
              </w:r>
            </w:hyperlink>
            <w:r w:rsidRPr="00753CDD">
              <w:rPr>
                <w:i/>
                <w:iCs/>
                <w:sz w:val="22"/>
                <w:szCs w:val="22"/>
                <w:lang w:val="es-ES"/>
              </w:rPr>
              <w:t xml:space="preserve">, </w:t>
            </w:r>
            <w:hyperlink r:id="rId15" w:history="1">
              <w:proofErr w:type="spellStart"/>
              <w:r w:rsidRPr="00753CDD">
                <w:rPr>
                  <w:rStyle w:val="Hyperlink"/>
                  <w:rFonts w:eastAsia="Times New Roman" w:cs="Times New Roman"/>
                  <w:i/>
                  <w:iCs/>
                  <w:sz w:val="22"/>
                  <w:lang w:val="es-ES"/>
                </w:rPr>
                <w:t>C24</w:t>
              </w:r>
              <w:proofErr w:type="spellEnd"/>
              <w:r w:rsidRPr="00753CDD">
                <w:rPr>
                  <w:rStyle w:val="Hyperlink"/>
                  <w:rFonts w:eastAsia="Times New Roman" w:cs="Times New Roman"/>
                  <w:i/>
                  <w:iCs/>
                  <w:sz w:val="22"/>
                  <w:lang w:val="es-ES"/>
                </w:rPr>
                <w:t>/4</w:t>
              </w:r>
            </w:hyperlink>
            <w:r w:rsidRPr="00753CDD">
              <w:rPr>
                <w:i/>
                <w:iCs/>
                <w:sz w:val="22"/>
                <w:szCs w:val="22"/>
                <w:lang w:val="es-ES"/>
              </w:rPr>
              <w:t xml:space="preserve">, </w:t>
            </w:r>
            <w:hyperlink r:id="rId16" w:history="1">
              <w:proofErr w:type="spellStart"/>
              <w:r w:rsidRPr="00753CDD">
                <w:rPr>
                  <w:rStyle w:val="Hyperlink"/>
                  <w:rFonts w:eastAsia="Times New Roman" w:cs="Times New Roman"/>
                  <w:i/>
                  <w:iCs/>
                  <w:sz w:val="22"/>
                  <w:lang w:val="es-ES"/>
                </w:rPr>
                <w:t>C24</w:t>
              </w:r>
              <w:proofErr w:type="spellEnd"/>
              <w:r w:rsidRPr="00753CDD">
                <w:rPr>
                  <w:rStyle w:val="Hyperlink"/>
                  <w:rFonts w:eastAsia="Times New Roman" w:cs="Times New Roman"/>
                  <w:i/>
                  <w:iCs/>
                  <w:sz w:val="22"/>
                  <w:lang w:val="es-ES"/>
                </w:rPr>
                <w:t>/86</w:t>
              </w:r>
            </w:hyperlink>
            <w:r w:rsidRPr="00753CDD">
              <w:rPr>
                <w:i/>
                <w:iCs/>
                <w:sz w:val="22"/>
                <w:szCs w:val="22"/>
                <w:lang w:val="es-ES"/>
              </w:rPr>
              <w:t xml:space="preserve">, </w:t>
            </w:r>
            <w:hyperlink r:id="rId17" w:history="1">
              <w:proofErr w:type="spellStart"/>
              <w:r w:rsidRPr="00753CDD">
                <w:rPr>
                  <w:rStyle w:val="Hyperlink"/>
                  <w:rFonts w:eastAsia="Times New Roman" w:cs="Times New Roman"/>
                  <w:i/>
                  <w:iCs/>
                  <w:sz w:val="22"/>
                  <w:lang w:val="es-ES"/>
                </w:rPr>
                <w:t>C24</w:t>
              </w:r>
              <w:proofErr w:type="spellEnd"/>
              <w:r w:rsidRPr="00753CDD">
                <w:rPr>
                  <w:rStyle w:val="Hyperlink"/>
                  <w:rFonts w:eastAsia="Times New Roman" w:cs="Times New Roman"/>
                  <w:i/>
                  <w:iCs/>
                  <w:sz w:val="22"/>
                  <w:lang w:val="es-ES"/>
                </w:rPr>
                <w:t>/INF/13</w:t>
              </w:r>
            </w:hyperlink>
            <w:r w:rsidRPr="00753CDD">
              <w:rPr>
                <w:i/>
                <w:iCs/>
                <w:sz w:val="22"/>
                <w:szCs w:val="22"/>
                <w:lang w:val="es-ES"/>
              </w:rPr>
              <w:t xml:space="preserve">, </w:t>
            </w:r>
            <w:hyperlink r:id="rId18" w:history="1">
              <w:proofErr w:type="spellStart"/>
              <w:r w:rsidRPr="00753CDD">
                <w:rPr>
                  <w:rStyle w:val="Hyperlink"/>
                  <w:rFonts w:eastAsia="Times New Roman" w:cs="Times New Roman"/>
                  <w:i/>
                  <w:iCs/>
                  <w:sz w:val="22"/>
                  <w:lang w:val="es-ES"/>
                </w:rPr>
                <w:t>C24</w:t>
              </w:r>
              <w:proofErr w:type="spellEnd"/>
              <w:r w:rsidRPr="00753CDD">
                <w:rPr>
                  <w:rStyle w:val="Hyperlink"/>
                  <w:rFonts w:eastAsia="Times New Roman" w:cs="Times New Roman"/>
                  <w:i/>
                  <w:iCs/>
                  <w:sz w:val="22"/>
                  <w:lang w:val="es-ES"/>
                </w:rPr>
                <w:t>/113</w:t>
              </w:r>
            </w:hyperlink>
            <w:r w:rsidRPr="00753CDD">
              <w:rPr>
                <w:i/>
                <w:iCs/>
                <w:sz w:val="22"/>
                <w:szCs w:val="22"/>
                <w:lang w:val="es-ES"/>
              </w:rPr>
              <w:t xml:space="preserve">, </w:t>
            </w:r>
            <w:hyperlink r:id="rId19" w:history="1">
              <w:r w:rsidRPr="00753CDD">
                <w:rPr>
                  <w:rStyle w:val="Hyperlink"/>
                  <w:rFonts w:eastAsia="Times New Roman" w:cs="Times New Roman"/>
                  <w:i/>
                  <w:iCs/>
                  <w:sz w:val="22"/>
                  <w:lang w:val="es-ES"/>
                </w:rPr>
                <w:t>CL-24/11</w:t>
              </w:r>
            </w:hyperlink>
            <w:r w:rsidRPr="00753CDD">
              <w:rPr>
                <w:i/>
                <w:iCs/>
                <w:sz w:val="22"/>
                <w:szCs w:val="22"/>
                <w:lang w:val="es-ES"/>
              </w:rPr>
              <w:t xml:space="preserve">, </w:t>
            </w:r>
            <w:hyperlink r:id="rId20" w:history="1">
              <w:proofErr w:type="spellStart"/>
              <w:r w:rsidRPr="00753CDD">
                <w:rPr>
                  <w:rStyle w:val="Hyperlink"/>
                  <w:rFonts w:eastAsia="Times New Roman" w:cs="Times New Roman"/>
                  <w:i/>
                  <w:iCs/>
                  <w:sz w:val="22"/>
                  <w:lang w:val="es-ES"/>
                </w:rPr>
                <w:t>C25</w:t>
              </w:r>
              <w:proofErr w:type="spellEnd"/>
              <w:r w:rsidRPr="00753CDD">
                <w:rPr>
                  <w:rStyle w:val="Hyperlink"/>
                  <w:rFonts w:eastAsia="Times New Roman" w:cs="Times New Roman"/>
                  <w:i/>
                  <w:iCs/>
                  <w:sz w:val="22"/>
                  <w:lang w:val="es-ES"/>
                </w:rPr>
                <w:t>/4</w:t>
              </w:r>
            </w:hyperlink>
            <w:r w:rsidRPr="00753CDD">
              <w:rPr>
                <w:i/>
                <w:iCs/>
                <w:sz w:val="22"/>
                <w:szCs w:val="22"/>
                <w:lang w:val="es-ES"/>
              </w:rPr>
              <w:t xml:space="preserve">, </w:t>
            </w:r>
            <w:hyperlink r:id="rId21" w:history="1">
              <w:r w:rsidRPr="00753CDD">
                <w:rPr>
                  <w:rStyle w:val="Hyperlink"/>
                  <w:rFonts w:eastAsia="Times New Roman" w:cs="Times New Roman"/>
                  <w:i/>
                  <w:iCs/>
                  <w:sz w:val="22"/>
                  <w:lang w:val="es-ES"/>
                </w:rPr>
                <w:t>CL-25/47</w:t>
              </w:r>
            </w:hyperlink>
            <w:r w:rsidRPr="00753CDD">
              <w:rPr>
                <w:i/>
                <w:iCs/>
                <w:sz w:val="22"/>
                <w:szCs w:val="22"/>
                <w:lang w:val="es-ES"/>
              </w:rPr>
              <w:t xml:space="preserve"> y </w:t>
            </w:r>
            <w:hyperlink r:id="rId22" w:history="1">
              <w:r w:rsidRPr="00753CDD">
                <w:rPr>
                  <w:rStyle w:val="Hyperlink"/>
                  <w:rFonts w:eastAsia="Times New Roman" w:cs="Times New Roman"/>
                  <w:i/>
                  <w:iCs/>
                  <w:sz w:val="22"/>
                  <w:lang w:val="es-ES"/>
                </w:rPr>
                <w:t>CL-25/48</w:t>
              </w:r>
            </w:hyperlink>
            <w:r w:rsidRPr="00753CDD">
              <w:rPr>
                <w:i/>
                <w:iCs/>
                <w:sz w:val="22"/>
                <w:szCs w:val="22"/>
                <w:lang w:val="es-ES"/>
              </w:rPr>
              <w:t>.</w:t>
            </w:r>
          </w:p>
        </w:tc>
      </w:tr>
      <w:bookmarkEnd w:id="0"/>
    </w:tbl>
    <w:p w14:paraId="09831150" w14:textId="77777777" w:rsidR="00093EEB" w:rsidRPr="00C53573" w:rsidRDefault="00093EEB">
      <w:pPr>
        <w:rPr>
          <w:lang w:val="es-ES"/>
        </w:rPr>
      </w:pPr>
    </w:p>
    <w:p w14:paraId="043BEE40" w14:textId="77777777" w:rsidR="001559F5" w:rsidRPr="00C53573" w:rsidRDefault="001559F5">
      <w:pPr>
        <w:tabs>
          <w:tab w:val="clear" w:pos="567"/>
          <w:tab w:val="clear" w:pos="1134"/>
          <w:tab w:val="clear" w:pos="1701"/>
          <w:tab w:val="clear" w:pos="2268"/>
          <w:tab w:val="clear" w:pos="2835"/>
        </w:tabs>
        <w:overflowPunct/>
        <w:autoSpaceDE/>
        <w:autoSpaceDN/>
        <w:adjustRightInd/>
        <w:spacing w:before="0"/>
        <w:textAlignment w:val="auto"/>
        <w:rPr>
          <w:lang w:val="es-ES"/>
        </w:rPr>
      </w:pPr>
      <w:r w:rsidRPr="00C53573">
        <w:rPr>
          <w:lang w:val="es-ES"/>
        </w:rPr>
        <w:br w:type="page"/>
      </w:r>
    </w:p>
    <w:p w14:paraId="1D6E0D17" w14:textId="77777777" w:rsidR="00131CDA" w:rsidRPr="00C53573" w:rsidRDefault="00131CDA" w:rsidP="00131CDA">
      <w:pPr>
        <w:pStyle w:val="Heading1"/>
        <w:rPr>
          <w:rFonts w:asciiTheme="minorHAnsi" w:hAnsiTheme="minorHAnsi" w:cstheme="minorHAnsi"/>
          <w:b w:val="0"/>
          <w:bCs/>
          <w:szCs w:val="24"/>
          <w:lang w:val="es-ES"/>
        </w:rPr>
      </w:pPr>
      <w:r w:rsidRPr="00C53573">
        <w:rPr>
          <w:lang w:val="es-ES"/>
        </w:rPr>
        <w:lastRenderedPageBreak/>
        <w:t>1</w:t>
      </w:r>
      <w:r w:rsidRPr="00C53573">
        <w:rPr>
          <w:lang w:val="es-ES"/>
        </w:rPr>
        <w:tab/>
        <w:t>Introducción</w:t>
      </w:r>
    </w:p>
    <w:p w14:paraId="21F8F9A8" w14:textId="54E1C7A9" w:rsidR="00131CDA" w:rsidRPr="00753CDD" w:rsidRDefault="00131CDA" w:rsidP="00131CDA">
      <w:pPr>
        <w:jc w:val="both"/>
        <w:rPr>
          <w:spacing w:val="-2"/>
          <w:lang w:val="es-ES"/>
        </w:rPr>
      </w:pPr>
      <w:r w:rsidRPr="00753CDD">
        <w:rPr>
          <w:spacing w:val="-2"/>
          <w:lang w:val="es-ES" w:eastAsia="zh-CN"/>
        </w:rPr>
        <w:t>1.1</w:t>
      </w:r>
      <w:r w:rsidRPr="00753CDD">
        <w:rPr>
          <w:spacing w:val="-2"/>
          <w:lang w:val="es-ES" w:eastAsia="zh-CN"/>
        </w:rPr>
        <w:tab/>
      </w:r>
      <w:r w:rsidRPr="00753CDD">
        <w:rPr>
          <w:spacing w:val="-2"/>
          <w:lang w:val="es-ES"/>
        </w:rPr>
        <w:t xml:space="preserve">El presente documento contiene información actualizada sobre la evolución de los preparativos para la próxima Conferencia de Plenipotenciarios (PP-26) desde que se presentó el último documento en la materia al Consejo en su reunión de 2025 (véase el Documento </w:t>
      </w:r>
      <w:hyperlink r:id="rId23" w:history="1">
        <w:proofErr w:type="spellStart"/>
        <w:r w:rsidRPr="00753CDD">
          <w:rPr>
            <w:rStyle w:val="Hyperlink"/>
            <w:rFonts w:asciiTheme="minorHAnsi" w:hAnsiTheme="minorHAnsi" w:cstheme="minorHAnsi"/>
            <w:bCs/>
            <w:spacing w:val="-2"/>
            <w:szCs w:val="24"/>
            <w:lang w:val="es-ES"/>
          </w:rPr>
          <w:t>C25</w:t>
        </w:r>
        <w:proofErr w:type="spellEnd"/>
        <w:r w:rsidRPr="00753CDD">
          <w:rPr>
            <w:rStyle w:val="Hyperlink"/>
            <w:rFonts w:asciiTheme="minorHAnsi" w:hAnsiTheme="minorHAnsi" w:cstheme="minorHAnsi"/>
            <w:bCs/>
            <w:spacing w:val="-2"/>
            <w:szCs w:val="24"/>
            <w:lang w:val="es-ES"/>
          </w:rPr>
          <w:t>/4</w:t>
        </w:r>
      </w:hyperlink>
      <w:r w:rsidRPr="00753CDD">
        <w:rPr>
          <w:spacing w:val="-2"/>
          <w:lang w:val="es-ES"/>
        </w:rPr>
        <w:t xml:space="preserve">). </w:t>
      </w:r>
    </w:p>
    <w:p w14:paraId="678E74C0" w14:textId="77777777" w:rsidR="00131CDA" w:rsidRPr="00C53573" w:rsidRDefault="00131CDA" w:rsidP="00131CDA">
      <w:pPr>
        <w:pStyle w:val="Heading1"/>
        <w:rPr>
          <w:lang w:val="es-ES"/>
        </w:rPr>
      </w:pPr>
      <w:r w:rsidRPr="00C53573">
        <w:rPr>
          <w:lang w:val="es-ES"/>
        </w:rPr>
        <w:t>2</w:t>
      </w:r>
      <w:r w:rsidRPr="00C53573">
        <w:rPr>
          <w:lang w:val="es-ES"/>
        </w:rPr>
        <w:tab/>
        <w:t>Acuerdo con el país anfitrión y coordinación con el país anfitrión</w:t>
      </w:r>
    </w:p>
    <w:p w14:paraId="5F21D7F8" w14:textId="77777777" w:rsidR="00131CDA" w:rsidRPr="00C53573" w:rsidRDefault="00131CDA" w:rsidP="00131CDA">
      <w:pPr>
        <w:jc w:val="both"/>
        <w:rPr>
          <w:lang w:val="es-ES"/>
        </w:rPr>
      </w:pPr>
      <w:r w:rsidRPr="00C53573">
        <w:rPr>
          <w:lang w:val="es-ES"/>
        </w:rPr>
        <w:t>2.1</w:t>
      </w:r>
      <w:r w:rsidRPr="00C53573">
        <w:rPr>
          <w:lang w:val="es-ES"/>
        </w:rPr>
        <w:tab/>
        <w:t>Cabe prever que las negociaciones entre el Gobierno de Qatar y la UIT concluyan con éxito antes de la reunión de 2026 del Consejo.</w:t>
      </w:r>
    </w:p>
    <w:p w14:paraId="3067265A" w14:textId="6356061E" w:rsidR="00131CDA" w:rsidRPr="00C53573" w:rsidRDefault="00131CDA" w:rsidP="00131CDA">
      <w:pPr>
        <w:jc w:val="both"/>
        <w:rPr>
          <w:lang w:val="es-ES"/>
        </w:rPr>
      </w:pPr>
      <w:r w:rsidRPr="00C53573">
        <w:rPr>
          <w:lang w:val="es-ES"/>
        </w:rPr>
        <w:t>2.2</w:t>
      </w:r>
      <w:r w:rsidRPr="00C53573">
        <w:rPr>
          <w:lang w:val="es-ES"/>
        </w:rPr>
        <w:tab/>
        <w:t>El Presidente designado de la PP-26, Ing. Ahmad Abdulla Muslemani, ha participado activamente en los preparativos y ha asistido a reuniones con la secretaría, reuniones oficiales de la UIT y reuniones preparatorias regionales.</w:t>
      </w:r>
    </w:p>
    <w:p w14:paraId="00371BB2" w14:textId="77777777" w:rsidR="00131CDA" w:rsidRPr="00C53573" w:rsidRDefault="00131CDA" w:rsidP="00131CDA">
      <w:pPr>
        <w:jc w:val="both"/>
        <w:rPr>
          <w:lang w:val="es-ES"/>
        </w:rPr>
      </w:pPr>
      <w:r w:rsidRPr="00C53573">
        <w:rPr>
          <w:lang w:val="es-ES"/>
        </w:rPr>
        <w:t>2.3</w:t>
      </w:r>
      <w:r w:rsidRPr="00C53573">
        <w:rPr>
          <w:lang w:val="es-ES"/>
        </w:rPr>
        <w:tab/>
        <w:t>Entre el 4 y el 6 de noviembre de 2025, la UIT visitó la zona por segunda vez con el objetivo de reunirse con sus homólogos del país anfitrión, examinar las infraestructuras, los hoteles y el centro de conferencias, preparar el plan de seguridad del evento, los planos de las salas de conferencias, el plan de protocolo y el plan de comunicaciones, y avanzar en la organización logística.</w:t>
      </w:r>
    </w:p>
    <w:p w14:paraId="5D2E3CB3" w14:textId="77777777" w:rsidR="00131CDA" w:rsidRPr="00C53573" w:rsidRDefault="00131CDA" w:rsidP="003B1DD9">
      <w:pPr>
        <w:jc w:val="both"/>
        <w:rPr>
          <w:lang w:val="es-ES"/>
        </w:rPr>
      </w:pPr>
      <w:r w:rsidRPr="00C53573">
        <w:rPr>
          <w:lang w:val="es-ES"/>
        </w:rPr>
        <w:t>2.4</w:t>
      </w:r>
      <w:r w:rsidRPr="00C53573">
        <w:rPr>
          <w:lang w:val="es-ES"/>
        </w:rPr>
        <w:tab/>
        <w:t>La secretaría de la UIT y el equipo del país anfitrión encargado de los preparativos de la PP</w:t>
      </w:r>
      <w:r w:rsidRPr="00C53573">
        <w:rPr>
          <w:lang w:val="es-ES"/>
        </w:rPr>
        <w:noBreakHyphen/>
        <w:t xml:space="preserve">26 han celebrado reuniones virtuales mensuales a fin de intercambiar información, abordar todos los elementos relacionados con la preparación del evento y examinar cuestiones urgentes. Además de las reuniones mensuales, se han organizado reuniones bilaterales periódicas con el país anfitrión para atender cuestiones específicas de la organización del evento. </w:t>
      </w:r>
    </w:p>
    <w:p w14:paraId="51DB9258" w14:textId="77777777" w:rsidR="00131CDA" w:rsidRPr="00C53573" w:rsidRDefault="00131CDA" w:rsidP="00131CDA">
      <w:pPr>
        <w:jc w:val="both"/>
        <w:rPr>
          <w:lang w:val="es-ES"/>
        </w:rPr>
      </w:pPr>
      <w:r w:rsidRPr="00C53573">
        <w:rPr>
          <w:lang w:val="es-ES"/>
        </w:rPr>
        <w:t>2.5</w:t>
      </w:r>
      <w:r w:rsidRPr="00C53573">
        <w:rPr>
          <w:lang w:val="es-ES"/>
        </w:rPr>
        <w:tab/>
        <w:t>La secretaría, en estrecha coordinación con el país anfitrión, sigue atenta a la evolución de la situación en la región y a sus posibles repercusiones en la seguridad de los participantes, la accesibilidad y el adecuado desarrollo de la Conferencia. El país anfitrión reafirma su pleno compromiso para con la celebración de la PP-26, sigue vigilando de cerca la evolución de los acontecimientos y adoptando todas las medidas necesarias para garantizar la plena participación de las delegaciones y facilitar la organización de la Conferencia, y se adaptará según sea necesario.</w:t>
      </w:r>
    </w:p>
    <w:p w14:paraId="6F8A10BC" w14:textId="77777777" w:rsidR="00131CDA" w:rsidRPr="00C53573" w:rsidRDefault="00131CDA" w:rsidP="00131CDA">
      <w:pPr>
        <w:pStyle w:val="Heading1"/>
        <w:rPr>
          <w:rFonts w:asciiTheme="minorHAnsi" w:hAnsiTheme="minorHAnsi"/>
          <w:b w:val="0"/>
          <w:szCs w:val="24"/>
          <w:lang w:val="es-ES"/>
        </w:rPr>
      </w:pPr>
      <w:r w:rsidRPr="00C53573">
        <w:rPr>
          <w:lang w:val="es-ES"/>
        </w:rPr>
        <w:t>3</w:t>
      </w:r>
      <w:r w:rsidRPr="00C53573">
        <w:rPr>
          <w:lang w:val="es-ES"/>
        </w:rPr>
        <w:tab/>
        <w:t>Invitaciones y convocatoria de propuestas y candidaturas</w:t>
      </w:r>
    </w:p>
    <w:p w14:paraId="1EB0E32D" w14:textId="363E7928" w:rsidR="00131CDA" w:rsidRPr="00C53573" w:rsidRDefault="00131CDA" w:rsidP="00131CDA">
      <w:pPr>
        <w:jc w:val="both"/>
        <w:rPr>
          <w:lang w:val="es-ES"/>
        </w:rPr>
      </w:pPr>
      <w:r w:rsidRPr="00C53573">
        <w:rPr>
          <w:lang w:val="es-ES"/>
        </w:rPr>
        <w:t>3.1</w:t>
      </w:r>
      <w:r w:rsidRPr="00C53573">
        <w:rPr>
          <w:lang w:val="es-ES"/>
        </w:rPr>
        <w:tab/>
        <w:t>El 7 de noviembre de 2025 se enviaron las invitaciones a la Conferencia de Plenipotenciarios de 2026 en nombre del Gobierno de Qatar (</w:t>
      </w:r>
      <w:hyperlink r:id="rId24" w:history="1">
        <w:r w:rsidRPr="00C53573">
          <w:rPr>
            <w:rStyle w:val="Hyperlink"/>
            <w:rFonts w:asciiTheme="minorHAnsi" w:hAnsiTheme="minorHAnsi"/>
            <w:lang w:val="es-ES"/>
          </w:rPr>
          <w:t>CL-25/47</w:t>
        </w:r>
      </w:hyperlink>
      <w:r w:rsidRPr="00C53573">
        <w:rPr>
          <w:lang w:val="es-ES"/>
        </w:rPr>
        <w:t>).</w:t>
      </w:r>
    </w:p>
    <w:p w14:paraId="0307F7F7" w14:textId="004E0208" w:rsidR="00131CDA" w:rsidRPr="00C53573" w:rsidRDefault="00131CDA" w:rsidP="003B1DD9">
      <w:pPr>
        <w:jc w:val="both"/>
        <w:rPr>
          <w:lang w:val="es-ES"/>
        </w:rPr>
      </w:pPr>
      <w:r w:rsidRPr="00C53573">
        <w:rPr>
          <w:lang w:val="es-ES"/>
        </w:rPr>
        <w:t>3.2</w:t>
      </w:r>
      <w:r w:rsidRPr="00C53573">
        <w:rPr>
          <w:lang w:val="es-ES"/>
        </w:rPr>
        <w:tab/>
        <w:t>El 7 de noviembre de 2025, la Secretaria General envió las correspondientes invitaciones a la Conferencia de Plenipotenciarios de 2026 al Estado de Palestina, las organizaciones observadoras (</w:t>
      </w:r>
      <w:hyperlink r:id="rId25" w:history="1">
        <w:r w:rsidRPr="00C53573">
          <w:rPr>
            <w:rStyle w:val="Hyperlink"/>
            <w:rFonts w:asciiTheme="minorHAnsi" w:hAnsiTheme="minorHAnsi"/>
            <w:szCs w:val="24"/>
            <w:lang w:val="es-ES"/>
          </w:rPr>
          <w:t>DM-25/1007</w:t>
        </w:r>
      </w:hyperlink>
      <w:r w:rsidRPr="00C53573">
        <w:rPr>
          <w:lang w:val="es-ES"/>
        </w:rPr>
        <w:t>) y los Miembros de Sector de la UIT (</w:t>
      </w:r>
      <w:hyperlink r:id="rId26" w:history="1">
        <w:r w:rsidRPr="00C53573">
          <w:rPr>
            <w:rStyle w:val="Hyperlink"/>
            <w:rFonts w:asciiTheme="minorHAnsi" w:hAnsiTheme="minorHAnsi"/>
            <w:szCs w:val="24"/>
            <w:lang w:val="es-ES"/>
          </w:rPr>
          <w:t>DM-25/1006</w:t>
        </w:r>
      </w:hyperlink>
      <w:r w:rsidRPr="00C53573">
        <w:rPr>
          <w:lang w:val="es-ES"/>
        </w:rPr>
        <w:t>).</w:t>
      </w:r>
    </w:p>
    <w:p w14:paraId="63C05E33" w14:textId="7D967FD6" w:rsidR="00131CDA" w:rsidRPr="00C53573" w:rsidRDefault="00131CDA" w:rsidP="00131CDA">
      <w:pPr>
        <w:jc w:val="both"/>
        <w:rPr>
          <w:lang w:val="es-ES"/>
        </w:rPr>
      </w:pPr>
      <w:r w:rsidRPr="00C53573">
        <w:rPr>
          <w:lang w:val="es-ES"/>
        </w:rPr>
        <w:t>3.3</w:t>
      </w:r>
      <w:r w:rsidRPr="00C53573">
        <w:rPr>
          <w:lang w:val="es-ES"/>
        </w:rPr>
        <w:tab/>
        <w:t xml:space="preserve">El 10 de noviembre de 2025, la Secretaria General envió la Carta Circular </w:t>
      </w:r>
      <w:hyperlink r:id="rId27" w:history="1">
        <w:r w:rsidRPr="00C53573">
          <w:rPr>
            <w:rStyle w:val="Hyperlink"/>
            <w:rFonts w:asciiTheme="minorHAnsi" w:hAnsiTheme="minorHAnsi"/>
            <w:lang w:val="es-ES"/>
          </w:rPr>
          <w:t>CL-25/48</w:t>
        </w:r>
      </w:hyperlink>
      <w:r w:rsidRPr="00C53573">
        <w:rPr>
          <w:lang w:val="es-ES"/>
        </w:rPr>
        <w:t xml:space="preserve"> a todos los Estados Miembros de la UIT, con miras a facilitarles información sobre las propuestas relativas a los trabajos de la Conferencia, la documentación y las elecciones (convocatoria de candidaturas). De conformidad con el número 224 de la Constitución y el número 519 del Convenio, se solicitó a los Estados Miembros que presentasen sus propuestas de modificación de la Constitución y el Convenio el 9 de marzo de 2026 a más tardar. El plazo para la presentación de otras propuestas relativas a los trabajos de la Conferencia vence el 9 de julio </w:t>
      </w:r>
      <w:r w:rsidRPr="00C53573">
        <w:rPr>
          <w:lang w:val="es-ES"/>
        </w:rPr>
        <w:lastRenderedPageBreak/>
        <w:t xml:space="preserve">de 2026 (véase el número 40 del Reglamento general de las conferencias, asambleas y reuniones de la Unión (en adelante, Reglamento General)). De acuerdo con lo dispuesto en la Resolución 165 (Rev. Dubái, 2018), se fijó el 19 de octubre de 2026 como fecha límite inamovible para la presentación de todas las contribuciones. Se alienta encarecidamente a los Estados Miembros a utilizar la </w:t>
      </w:r>
      <w:hyperlink r:id="rId28" w:history="1">
        <w:r w:rsidRPr="00C53573">
          <w:rPr>
            <w:rStyle w:val="Hyperlink"/>
            <w:rFonts w:asciiTheme="minorHAnsi" w:hAnsiTheme="minorHAnsi"/>
            <w:lang w:val="es-ES"/>
          </w:rPr>
          <w:t>Interfaz de Propuestas de la Conferencia (CPI)</w:t>
        </w:r>
      </w:hyperlink>
      <w:r w:rsidRPr="00C53573">
        <w:rPr>
          <w:lang w:val="es-ES"/>
        </w:rPr>
        <w:t xml:space="preserve"> para presentar sus propuestas. </w:t>
      </w:r>
    </w:p>
    <w:p w14:paraId="65EAAF75" w14:textId="69C9D240" w:rsidR="00131CDA" w:rsidRPr="00C53573" w:rsidRDefault="00131CDA" w:rsidP="00753CDD">
      <w:pPr>
        <w:jc w:val="both"/>
        <w:rPr>
          <w:lang w:val="es-ES"/>
        </w:rPr>
      </w:pPr>
      <w:r w:rsidRPr="00C53573">
        <w:rPr>
          <w:lang w:val="es-ES"/>
        </w:rPr>
        <w:t>3.4</w:t>
      </w:r>
      <w:r w:rsidRPr="00C53573">
        <w:rPr>
          <w:lang w:val="es-ES"/>
        </w:rPr>
        <w:tab/>
        <w:t>Se ruega a todos los Estados Miembros que deseen presentar candidaturas para las</w:t>
      </w:r>
      <w:r w:rsidR="00753CDD">
        <w:rPr>
          <w:lang w:val="es-ES"/>
        </w:rPr>
        <w:t> </w:t>
      </w:r>
      <w:r w:rsidRPr="00C53573">
        <w:rPr>
          <w:lang w:val="es-ES"/>
        </w:rPr>
        <w:t>elecciones que procedan a ello a más tardar a las 23.59 horas (hora de Ginebra) del lunes</w:t>
      </w:r>
      <w:r w:rsidR="00753CDD">
        <w:rPr>
          <w:lang w:val="es-ES"/>
        </w:rPr>
        <w:t> </w:t>
      </w:r>
      <w:r w:rsidRPr="00C53573">
        <w:rPr>
          <w:lang w:val="es-ES"/>
        </w:rPr>
        <w:t>12 de octubre de 2026, de conformidad con el número 170 del Reglamento General.</w:t>
      </w:r>
    </w:p>
    <w:p w14:paraId="7759FFAE" w14:textId="77777777" w:rsidR="00131CDA" w:rsidRPr="00C53573" w:rsidRDefault="00131CDA" w:rsidP="003B1DD9">
      <w:pPr>
        <w:jc w:val="both"/>
        <w:rPr>
          <w:lang w:val="es-ES"/>
        </w:rPr>
      </w:pPr>
      <w:r w:rsidRPr="00C53573">
        <w:rPr>
          <w:lang w:val="es-ES"/>
        </w:rPr>
        <w:t>3.5</w:t>
      </w:r>
      <w:r w:rsidRPr="00C53573">
        <w:rPr>
          <w:lang w:val="es-ES"/>
        </w:rPr>
        <w:tab/>
        <w:t>El plazo de inscripción se abrirá en julio de 2026 exclusivamente en línea.</w:t>
      </w:r>
    </w:p>
    <w:p w14:paraId="52B2B0CB" w14:textId="483C780E" w:rsidR="00131CDA" w:rsidRPr="00C53573" w:rsidRDefault="00131CDA" w:rsidP="00131CDA">
      <w:pPr>
        <w:jc w:val="both"/>
        <w:rPr>
          <w:lang w:val="es-ES"/>
        </w:rPr>
      </w:pPr>
      <w:r w:rsidRPr="00C53573">
        <w:rPr>
          <w:lang w:val="es-ES"/>
        </w:rPr>
        <w:t>3.6</w:t>
      </w:r>
      <w:r w:rsidRPr="00C53573">
        <w:rPr>
          <w:lang w:val="es-ES"/>
        </w:rPr>
        <w:tab/>
        <w:t>Se ha enviado una Carta Circular relativa a las credenciales (</w:t>
      </w:r>
      <w:hyperlink r:id="rId29" w:history="1">
        <w:r w:rsidRPr="00C53573">
          <w:rPr>
            <w:rStyle w:val="Hyperlink"/>
            <w:lang w:val="es-ES"/>
          </w:rPr>
          <w:t>CL-26/21</w:t>
        </w:r>
      </w:hyperlink>
      <w:r w:rsidRPr="00C53573">
        <w:rPr>
          <w:lang w:val="es-ES"/>
        </w:rPr>
        <w:t xml:space="preserve">) y, próximamente, se enviará una carta sobre la participación de personalidades destacadas. </w:t>
      </w:r>
    </w:p>
    <w:p w14:paraId="2C353BE1" w14:textId="77777777" w:rsidR="00131CDA" w:rsidRPr="00C53573" w:rsidRDefault="00131CDA" w:rsidP="00131CDA">
      <w:pPr>
        <w:pStyle w:val="Heading1"/>
        <w:rPr>
          <w:rFonts w:asciiTheme="minorHAnsi" w:hAnsiTheme="minorHAnsi"/>
          <w:b w:val="0"/>
          <w:szCs w:val="24"/>
          <w:lang w:val="es-ES"/>
        </w:rPr>
      </w:pPr>
      <w:r w:rsidRPr="00C53573">
        <w:rPr>
          <w:lang w:val="es-ES"/>
        </w:rPr>
        <w:t>4</w:t>
      </w:r>
      <w:r w:rsidRPr="00C53573">
        <w:rPr>
          <w:lang w:val="es-ES"/>
        </w:rPr>
        <w:tab/>
        <w:t>Estructura propuesta</w:t>
      </w:r>
    </w:p>
    <w:p w14:paraId="1147024E" w14:textId="77777777" w:rsidR="00131CDA" w:rsidRPr="00C53573" w:rsidRDefault="00131CDA" w:rsidP="003B1DD9">
      <w:pPr>
        <w:jc w:val="both"/>
        <w:rPr>
          <w:lang w:val="es-ES"/>
        </w:rPr>
      </w:pPr>
      <w:r w:rsidRPr="00C53573">
        <w:rPr>
          <w:lang w:val="es-ES"/>
        </w:rPr>
        <w:t>4.1</w:t>
      </w:r>
      <w:r w:rsidRPr="00C53573">
        <w:rPr>
          <w:lang w:val="es-ES"/>
        </w:rPr>
        <w:tab/>
        <w:t>Además de las cuatro Comisiones permanentes (Comisión de Dirección, Comisión de Control del Presupuesto, Comisión de Credenciales y Comisión de Redacción), y siguiendo la práctica consuetudinaria, se propone la creación de dos Comisiones sustantivas (Asuntos de Orden Político y Jurídico (Comisión 5), y Administración y Gestión (Comisión 6)) y un Grupo de Trabajo de la Plenaria (GT-PL).</w:t>
      </w:r>
    </w:p>
    <w:p w14:paraId="6C301C76" w14:textId="77777777" w:rsidR="00131CDA" w:rsidRPr="00C53573" w:rsidRDefault="00131CDA" w:rsidP="00131CDA">
      <w:pPr>
        <w:jc w:val="both"/>
        <w:rPr>
          <w:lang w:val="es-ES"/>
        </w:rPr>
      </w:pPr>
      <w:r w:rsidRPr="00C53573">
        <w:rPr>
          <w:lang w:val="es-ES"/>
        </w:rPr>
        <w:t>4.2</w:t>
      </w:r>
      <w:r w:rsidRPr="00C53573">
        <w:rPr>
          <w:lang w:val="es-ES"/>
        </w:rPr>
        <w:tab/>
        <w:t>La Comisión 5 de Asuntos de Orden Político y Jurídico tendrá por cometido: examinar los informes y propuestas relativos a cuestiones de política de la Unión, incluidos los informes presentados por el Consejo sobre las actividades de la Unión; recomendar las decisiones adecuadas con respecto a las actividades de la Secretaría General y los tres Sectores; examinar las propuestas de revisión de la Constitución, el Convenio, el Reglamento General y el Protocolo Facultativo; habida cuenta de los Informes y recomendaciones pertinentes de la Comisión 6 y el Grupo de Trabajo de la Plenaria, recomendar a la Plenaria las medidas convenientes; analizar toda cuestión de carácter jurídico que surja durante la Conferencia; y transmitir a la Comisión 6 los asuntos que tengan consecuencias financieras.</w:t>
      </w:r>
    </w:p>
    <w:p w14:paraId="0CC0C891" w14:textId="77777777" w:rsidR="00131CDA" w:rsidRPr="00C53573" w:rsidRDefault="00131CDA" w:rsidP="00131CDA">
      <w:pPr>
        <w:jc w:val="both"/>
        <w:rPr>
          <w:lang w:val="es-ES"/>
        </w:rPr>
      </w:pPr>
      <w:r w:rsidRPr="00C53573">
        <w:rPr>
          <w:lang w:val="es-ES"/>
        </w:rPr>
        <w:t>4.3</w:t>
      </w:r>
      <w:r w:rsidRPr="00C53573">
        <w:rPr>
          <w:lang w:val="es-ES"/>
        </w:rPr>
        <w:tab/>
        <w:t>La Comisión 6 de Administración y Gestión tendrá por cometido: examinar el proyecto de Plan Estratégico y otros informes y propuestas relativos al mismo; analizar los informes y propuestas pertinentes acerca de la gestión general de la Unión, en particular los que atañan a los recursos humanos y financieros, incluidas las partes pertinentes de los informes presentados por otras Comisiones y Grupos de Trabajo; preparar proyectos de políticas financieras y un proyecto de Plan Financiero para el periodo 2028-2031; recomendar a la Plenaria todas las decisiones convenientes en relación con la gestión de las actividades de la Unión; y remitir a la Comisión 5 los asuntos que impliquen enmiendas a la Constitución, el Convenio y el Reglamento General.</w:t>
      </w:r>
    </w:p>
    <w:p w14:paraId="5ADB1327" w14:textId="77777777" w:rsidR="00131CDA" w:rsidRPr="00C53573" w:rsidRDefault="00131CDA" w:rsidP="00131CDA">
      <w:pPr>
        <w:jc w:val="both"/>
        <w:rPr>
          <w:lang w:val="es-ES"/>
        </w:rPr>
      </w:pPr>
      <w:r w:rsidRPr="00C53573">
        <w:rPr>
          <w:lang w:val="es-ES"/>
        </w:rPr>
        <w:t>4.4</w:t>
      </w:r>
      <w:r w:rsidRPr="00C53573">
        <w:rPr>
          <w:lang w:val="es-ES"/>
        </w:rPr>
        <w:tab/>
        <w:t>El Grupo de Trabajo de la Plenaria tendrá por cometido: examinar los informes y propuestas relativos a cuestiones relacionadas con políticas públicas (incluido Internet) y otros asuntos generales, y recomendar las medidas adecuadas al respecto; y transmitir a la Comisión 5 los asuntos que impliquen enmiendas a la Constitución, el Convenio y el Reglamento General, y a la Comisión 6 los asuntos que tengan repercusiones financieras.</w:t>
      </w:r>
    </w:p>
    <w:p w14:paraId="217AAD04" w14:textId="77777777" w:rsidR="00131CDA" w:rsidRPr="00C53573" w:rsidRDefault="00131CDA" w:rsidP="00131CDA">
      <w:pPr>
        <w:pStyle w:val="Heading1"/>
        <w:rPr>
          <w:rFonts w:asciiTheme="minorHAnsi" w:hAnsiTheme="minorHAnsi"/>
          <w:b w:val="0"/>
          <w:szCs w:val="24"/>
          <w:lang w:val="es-ES"/>
        </w:rPr>
      </w:pPr>
      <w:r w:rsidRPr="00C53573">
        <w:rPr>
          <w:lang w:val="es-ES"/>
        </w:rPr>
        <w:lastRenderedPageBreak/>
        <w:t>5</w:t>
      </w:r>
      <w:r w:rsidRPr="00C53573">
        <w:rPr>
          <w:lang w:val="es-ES"/>
        </w:rPr>
        <w:tab/>
      </w:r>
      <w:r w:rsidRPr="00C53573">
        <w:rPr>
          <w:rFonts w:asciiTheme="minorHAnsi" w:hAnsiTheme="minorHAnsi"/>
          <w:szCs w:val="24"/>
          <w:lang w:val="es-ES"/>
        </w:rPr>
        <w:t>Mesas redondas y declaraciones de política</w:t>
      </w:r>
    </w:p>
    <w:p w14:paraId="7A4C30DD" w14:textId="77777777" w:rsidR="00131CDA" w:rsidRPr="00C53573" w:rsidRDefault="00131CDA" w:rsidP="00131CDA">
      <w:pPr>
        <w:jc w:val="both"/>
        <w:rPr>
          <w:lang w:val="es-ES"/>
        </w:rPr>
      </w:pPr>
      <w:r w:rsidRPr="00C53573">
        <w:rPr>
          <w:lang w:val="es-ES"/>
        </w:rPr>
        <w:t>5.1</w:t>
      </w:r>
      <w:r w:rsidRPr="00C53573">
        <w:rPr>
          <w:lang w:val="es-ES"/>
        </w:rPr>
        <w:tab/>
        <w:t>Durante la primera semana de la Conferencia, se invitará a los ministros responsables de las telecomunicaciones y las TIC a pronunciar declaraciones de política en sesión plenaria. Estas declaraciones brindan la oportunidad de:</w:t>
      </w:r>
    </w:p>
    <w:p w14:paraId="57FB9A40" w14:textId="77777777" w:rsidR="00131CDA" w:rsidRPr="00C53573" w:rsidRDefault="00131CDA" w:rsidP="00131CDA">
      <w:pPr>
        <w:pStyle w:val="enumlev1"/>
        <w:jc w:val="both"/>
        <w:rPr>
          <w:lang w:val="es-ES"/>
        </w:rPr>
      </w:pPr>
      <w:r w:rsidRPr="00C53573">
        <w:rPr>
          <w:lang w:val="es-ES"/>
        </w:rPr>
        <w:t>–</w:t>
      </w:r>
      <w:r w:rsidRPr="00C53573">
        <w:rPr>
          <w:lang w:val="es-ES"/>
        </w:rPr>
        <w:tab/>
        <w:t>destacar los avances y logros alcanzados a escala nacional desde la PP-22;</w:t>
      </w:r>
    </w:p>
    <w:p w14:paraId="6A596EC7" w14:textId="77777777" w:rsidR="00131CDA" w:rsidRPr="00C53573" w:rsidRDefault="00131CDA" w:rsidP="00131CDA">
      <w:pPr>
        <w:pStyle w:val="enumlev1"/>
        <w:jc w:val="both"/>
        <w:rPr>
          <w:lang w:val="es-ES"/>
        </w:rPr>
      </w:pPr>
      <w:r w:rsidRPr="00C53573">
        <w:rPr>
          <w:lang w:val="es-ES"/>
        </w:rPr>
        <w:t>–</w:t>
      </w:r>
      <w:r w:rsidRPr="00C53573">
        <w:rPr>
          <w:lang w:val="es-ES"/>
        </w:rPr>
        <w:tab/>
        <w:t>poner en común estrategias y prioridades nacionales para la próxima fase de desarrollo digital;</w:t>
      </w:r>
    </w:p>
    <w:p w14:paraId="03FBA6DB" w14:textId="77777777" w:rsidR="00131CDA" w:rsidRPr="00C53573" w:rsidRDefault="00131CDA" w:rsidP="00131CDA">
      <w:pPr>
        <w:pStyle w:val="enumlev1"/>
        <w:jc w:val="both"/>
        <w:rPr>
          <w:lang w:val="es-ES"/>
        </w:rPr>
      </w:pPr>
      <w:r w:rsidRPr="00C53573">
        <w:rPr>
          <w:lang w:val="es-ES"/>
        </w:rPr>
        <w:t>–</w:t>
      </w:r>
      <w:r w:rsidRPr="00C53573">
        <w:rPr>
          <w:lang w:val="es-ES"/>
        </w:rPr>
        <w:tab/>
        <w:t xml:space="preserve">detectar oportunidades y retos incipientes en el dinámico entorno digital; y </w:t>
      </w:r>
    </w:p>
    <w:p w14:paraId="683CDBE0" w14:textId="77777777" w:rsidR="00131CDA" w:rsidRPr="00C53573" w:rsidRDefault="00131CDA" w:rsidP="00131CDA">
      <w:pPr>
        <w:pStyle w:val="enumlev1"/>
        <w:jc w:val="both"/>
        <w:rPr>
          <w:lang w:val="es-ES"/>
        </w:rPr>
      </w:pPr>
      <w:r w:rsidRPr="00C53573">
        <w:rPr>
          <w:lang w:val="es-ES"/>
        </w:rPr>
        <w:t>–</w:t>
      </w:r>
      <w:r w:rsidRPr="00C53573">
        <w:rPr>
          <w:lang w:val="es-ES"/>
        </w:rPr>
        <w:tab/>
        <w:t>ofrecer perspectivas sobre formas de optimizar el apoyo prestado a los Estados Miembros mediante la cooperación internacional, en particular a través de la UIT.</w:t>
      </w:r>
    </w:p>
    <w:p w14:paraId="01CC02AF" w14:textId="6B9FFCC4" w:rsidR="00131CDA" w:rsidRPr="003B1DD9" w:rsidRDefault="00131CDA" w:rsidP="00131CDA">
      <w:pPr>
        <w:jc w:val="both"/>
        <w:rPr>
          <w:lang w:val="es-ES"/>
        </w:rPr>
      </w:pPr>
      <w:r w:rsidRPr="003B1DD9">
        <w:rPr>
          <w:lang w:val="es-ES"/>
        </w:rPr>
        <w:t>A fin de propiciar un diálogo prospectivo, los Estados Miembros podrían centrar sus intervenciones en las dos metas estratégicas de la Unión, a saber:</w:t>
      </w:r>
    </w:p>
    <w:p w14:paraId="0A8FB30B" w14:textId="618691AB" w:rsidR="00131CDA" w:rsidRPr="00C53573" w:rsidRDefault="00131CDA" w:rsidP="00131CDA">
      <w:pPr>
        <w:pStyle w:val="enumlev1"/>
        <w:jc w:val="both"/>
        <w:rPr>
          <w:lang w:val="es-ES"/>
        </w:rPr>
      </w:pPr>
      <w:r w:rsidRPr="00C53573">
        <w:rPr>
          <w:lang w:val="es-ES"/>
        </w:rPr>
        <w:tab/>
        <w:t>Meta 1 – Conectividad universal: Permitir y fomentar el acceso universal a unas telecomunicaciones/TIC asequibles, seguras y de alta calidad.</w:t>
      </w:r>
    </w:p>
    <w:p w14:paraId="45D45AB4" w14:textId="77777777" w:rsidR="00131CDA" w:rsidRPr="00C53573" w:rsidRDefault="00131CDA" w:rsidP="00131CDA">
      <w:pPr>
        <w:pStyle w:val="enumlev1"/>
        <w:jc w:val="both"/>
        <w:rPr>
          <w:spacing w:val="-2"/>
          <w:lang w:val="es-ES"/>
        </w:rPr>
      </w:pPr>
      <w:r w:rsidRPr="00C53573">
        <w:rPr>
          <w:spacing w:val="-2"/>
          <w:lang w:val="es-ES"/>
        </w:rPr>
        <w:tab/>
        <w:t>Meta 2 – Transformación digital sostenible: Fomentar la utilización equitativa e inclusiva de las telecomunicaciones/TIC para empoderar a las personas y las sociedades en favor del desarrollo sostenible.</w:t>
      </w:r>
    </w:p>
    <w:p w14:paraId="7EA89494" w14:textId="71743B8B" w:rsidR="00131CDA" w:rsidRPr="00C53573" w:rsidRDefault="00131CDA" w:rsidP="003B1DD9">
      <w:pPr>
        <w:jc w:val="both"/>
        <w:rPr>
          <w:rFonts w:cstheme="majorBidi"/>
          <w:lang w:val="es-ES"/>
        </w:rPr>
      </w:pPr>
      <w:r w:rsidRPr="00C53573">
        <w:rPr>
          <w:lang w:val="es-ES"/>
        </w:rPr>
        <w:t xml:space="preserve">Se enviarán a los Estados Miembros directrices sobre las declaraciones de política </w:t>
      </w:r>
      <w:r w:rsidRPr="00C53573">
        <w:rPr>
          <w:rFonts w:cstheme="majorBidi"/>
          <w:lang w:val="es-ES"/>
        </w:rPr>
        <w:t xml:space="preserve">(véase el proyecto de directrices que figura en el Documento </w:t>
      </w:r>
      <w:hyperlink r:id="rId30" w:history="1">
        <w:proofErr w:type="spellStart"/>
        <w:r w:rsidRPr="00C53573">
          <w:rPr>
            <w:rStyle w:val="Hyperlink"/>
            <w:rFonts w:asciiTheme="minorHAnsi" w:hAnsiTheme="minorHAnsi" w:cstheme="majorBidi"/>
            <w:lang w:val="es-ES"/>
          </w:rPr>
          <w:t>C26</w:t>
        </w:r>
        <w:proofErr w:type="spellEnd"/>
        <w:r w:rsidRPr="00C53573">
          <w:rPr>
            <w:rStyle w:val="Hyperlink"/>
            <w:rFonts w:asciiTheme="minorHAnsi" w:hAnsiTheme="minorHAnsi" w:cstheme="majorBidi"/>
            <w:lang w:val="es-ES"/>
          </w:rPr>
          <w:t>/INF/13</w:t>
        </w:r>
      </w:hyperlink>
      <w:r w:rsidRPr="00C53573">
        <w:rPr>
          <w:rFonts w:cstheme="majorBidi"/>
          <w:lang w:val="es-ES"/>
        </w:rPr>
        <w:t xml:space="preserve">). </w:t>
      </w:r>
      <w:r w:rsidRPr="00C53573">
        <w:rPr>
          <w:lang w:val="es-ES"/>
        </w:rPr>
        <w:t>Las declaraciones estarán sujetas a un límite de tiempo de tres minutos para los ministros y de dos minutos para los demás jefes de delegación. Los discursos completos se publicarán en el sitio web de la PP-26. Los oradores pronunciarán sus discursos desde la tribuna.</w:t>
      </w:r>
    </w:p>
    <w:p w14:paraId="2458E395" w14:textId="18F45BD8" w:rsidR="00131CDA" w:rsidRPr="00C53573" w:rsidRDefault="00131CDA" w:rsidP="003B1DD9">
      <w:pPr>
        <w:jc w:val="both"/>
        <w:rPr>
          <w:lang w:val="es-ES"/>
        </w:rPr>
      </w:pPr>
      <w:r w:rsidRPr="00C53573">
        <w:rPr>
          <w:lang w:val="es-ES"/>
        </w:rPr>
        <w:t>5.2</w:t>
      </w:r>
      <w:r w:rsidRPr="00C53573">
        <w:rPr>
          <w:lang w:val="es-ES"/>
        </w:rPr>
        <w:tab/>
        <w:t>Con objeto de aprovechar la participación de alto nivel en la PP, se está planeando la celebración de dos o tres mesas redondas ministeriales durante la primera semana. Se facilitará más información al respecto a su debido tiempo.</w:t>
      </w:r>
    </w:p>
    <w:p w14:paraId="011FA1AD" w14:textId="4559724C" w:rsidR="00131CDA" w:rsidRPr="00C53573" w:rsidRDefault="00131CDA" w:rsidP="00131CDA">
      <w:pPr>
        <w:pStyle w:val="Heading1"/>
        <w:rPr>
          <w:rFonts w:asciiTheme="minorHAnsi" w:hAnsiTheme="minorHAnsi"/>
          <w:b w:val="0"/>
          <w:szCs w:val="24"/>
          <w:lang w:val="es-ES"/>
        </w:rPr>
      </w:pPr>
      <w:r w:rsidRPr="00C53573">
        <w:rPr>
          <w:lang w:val="es-ES"/>
        </w:rPr>
        <w:t>6</w:t>
      </w:r>
      <w:r w:rsidRPr="00C53573">
        <w:rPr>
          <w:lang w:val="es-ES"/>
        </w:rPr>
        <w:tab/>
        <w:t>Plan de gestión del tiempo</w:t>
      </w:r>
    </w:p>
    <w:p w14:paraId="358A1575" w14:textId="77777777" w:rsidR="00131CDA" w:rsidRPr="00C53573" w:rsidRDefault="00131CDA" w:rsidP="00131CDA">
      <w:pPr>
        <w:jc w:val="both"/>
        <w:rPr>
          <w:lang w:val="es-ES"/>
        </w:rPr>
      </w:pPr>
      <w:r w:rsidRPr="00C53573">
        <w:rPr>
          <w:lang w:val="es-ES"/>
        </w:rPr>
        <w:t>6.1</w:t>
      </w:r>
      <w:r w:rsidRPr="00C53573">
        <w:rPr>
          <w:lang w:val="es-ES"/>
        </w:rPr>
        <w:tab/>
        <w:t xml:space="preserve">La Secretaría está preparando un proyecto de plan de gestión del tiempo, que tendrá en cuenta la experiencia adquirida en anteriores PP, las consultas celebradas con los secretarios de las Comisiones y las opiniones de los Estados Miembros. Cabe prever que los trabajos de las Comisiones sustantivas comiencen la mañana del martes de la primera semana. No se celebrarán más de dos reuniones principales al mismo tiempo. Partiendo del proyecto final de plan de gestión del tiempo de la PP-22, se programarán sesiones de 1,5 horas para las Comisiones y el GT-PL, de tal manera que los grupos </w:t>
      </w:r>
      <w:r w:rsidRPr="00C53573">
        <w:rPr>
          <w:i/>
          <w:iCs/>
          <w:lang w:val="es-ES"/>
        </w:rPr>
        <w:t>ad hoc</w:t>
      </w:r>
      <w:r w:rsidRPr="00C53573">
        <w:rPr>
          <w:lang w:val="es-ES"/>
        </w:rPr>
        <w:t xml:space="preserve"> tengan tiempo para reunirse durante las jornadas de trabajo. La información relativa a todas las reuniones, incluidas las de los grupos </w:t>
      </w:r>
      <w:r w:rsidRPr="00C53573">
        <w:rPr>
          <w:i/>
          <w:iCs/>
          <w:lang w:val="es-ES"/>
        </w:rPr>
        <w:t>ad hoc</w:t>
      </w:r>
      <w:r w:rsidRPr="00C53573">
        <w:rPr>
          <w:lang w:val="es-ES"/>
        </w:rPr>
        <w:t xml:space="preserve"> y los grupos de redacción, se mostrará en pantallas repartidas por el lugar de celebración y se publicará en el sitio web de la PP-26. </w:t>
      </w:r>
    </w:p>
    <w:p w14:paraId="0D65F868" w14:textId="499F85E7" w:rsidR="00131CDA" w:rsidRPr="00C53573" w:rsidRDefault="00131CDA" w:rsidP="00131CDA">
      <w:pPr>
        <w:jc w:val="both"/>
        <w:rPr>
          <w:lang w:val="es-ES"/>
        </w:rPr>
      </w:pPr>
      <w:r w:rsidRPr="00C53573">
        <w:rPr>
          <w:lang w:val="es-ES"/>
        </w:rPr>
        <w:t>Al igual que en las dos PP anteriores, se propone que el plazo para la selección definitiva de la</w:t>
      </w:r>
      <w:r w:rsidR="00602CE6">
        <w:rPr>
          <w:lang w:val="es-ES"/>
        </w:rPr>
        <w:t> </w:t>
      </w:r>
      <w:r w:rsidRPr="00C53573">
        <w:rPr>
          <w:lang w:val="es-ES"/>
        </w:rPr>
        <w:t>clase de contribución venza a las 23.59 horas (hora de Ginebra) del miércoles 11</w:t>
      </w:r>
      <w:r w:rsidR="00602CE6">
        <w:rPr>
          <w:lang w:val="es-ES"/>
        </w:rPr>
        <w:t> </w:t>
      </w:r>
      <w:r w:rsidRPr="00C53573">
        <w:rPr>
          <w:lang w:val="es-ES"/>
        </w:rPr>
        <w:t>de</w:t>
      </w:r>
      <w:r w:rsidR="00602CE6">
        <w:rPr>
          <w:lang w:val="es-ES"/>
        </w:rPr>
        <w:t> </w:t>
      </w:r>
      <w:r w:rsidRPr="00C53573">
        <w:rPr>
          <w:lang w:val="es-ES"/>
        </w:rPr>
        <w:t xml:space="preserve">noviembre de 2026, y que la secretaría publique la clase de contribución seleccionada a más tardar a las 06.00 horas del cuarto día de la Conferencia, antes de que comiencen las elecciones. </w:t>
      </w:r>
    </w:p>
    <w:p w14:paraId="1BF776FD" w14:textId="77777777" w:rsidR="00131CDA" w:rsidRPr="00C53573" w:rsidRDefault="00131CDA" w:rsidP="00131CDA">
      <w:pPr>
        <w:jc w:val="both"/>
        <w:rPr>
          <w:szCs w:val="24"/>
          <w:lang w:val="es-ES"/>
        </w:rPr>
      </w:pPr>
      <w:r w:rsidRPr="00C53573">
        <w:rPr>
          <w:lang w:val="es-ES"/>
        </w:rPr>
        <w:lastRenderedPageBreak/>
        <w:t xml:space="preserve">La reunión oficial de los Jefes de Delegación tendrá lugar el lunes </w:t>
      </w:r>
      <w:r w:rsidRPr="00C53573">
        <w:rPr>
          <w:szCs w:val="24"/>
          <w:lang w:val="es-ES"/>
        </w:rPr>
        <w:t>9 de noviembre de 2026, justo antes de</w:t>
      </w:r>
      <w:r w:rsidRPr="00C53573">
        <w:rPr>
          <w:lang w:val="es-ES"/>
        </w:rPr>
        <w:t xml:space="preserve"> la ceremonia de apertura y la sesión plenaria inaugural</w:t>
      </w:r>
      <w:r w:rsidRPr="00C53573">
        <w:rPr>
          <w:szCs w:val="24"/>
          <w:lang w:val="es-ES"/>
        </w:rPr>
        <w:t>.</w:t>
      </w:r>
    </w:p>
    <w:p w14:paraId="7F9C8D24" w14:textId="1B470F07" w:rsidR="00131CDA" w:rsidRPr="00753CDD" w:rsidRDefault="00131CDA" w:rsidP="00131CDA">
      <w:pPr>
        <w:jc w:val="both"/>
        <w:rPr>
          <w:spacing w:val="-2"/>
          <w:lang w:val="es-ES"/>
        </w:rPr>
      </w:pPr>
      <w:r w:rsidRPr="00753CDD">
        <w:rPr>
          <w:spacing w:val="-2"/>
          <w:lang w:val="es-ES"/>
        </w:rPr>
        <w:t>6.2</w:t>
      </w:r>
      <w:r w:rsidRPr="00753CDD">
        <w:rPr>
          <w:spacing w:val="-2"/>
          <w:lang w:val="es-ES"/>
        </w:rPr>
        <w:tab/>
        <w:t>El Mobile World Congress (MWC) Doha 2026 se celebrará en el Doha Exhibition and Convention Center (DECC) del 8 al 11 de noviembre de 2026, concurrencia que brinda una valiosa oportunidad para potenciar las sinergias entre ambos eventos. Se espera que esta confluencia facilite una mayor participación de la comunidad mundial de las TIC, promueva intercambios de alto nivel entre responsables de la elaboración de políticas y líderes del sector, y permita a los participantes beneficiarse de un ecosistema más rico en</w:t>
      </w:r>
      <w:r w:rsidR="00BA082E" w:rsidRPr="00753CDD">
        <w:rPr>
          <w:spacing w:val="-2"/>
          <w:lang w:val="es-ES"/>
        </w:rPr>
        <w:t xml:space="preserve"> </w:t>
      </w:r>
      <w:r w:rsidRPr="00753CDD">
        <w:rPr>
          <w:spacing w:val="-2"/>
          <w:lang w:val="es-ES"/>
        </w:rPr>
        <w:t>lo que a celebración de debates, organización de exposiciones y establecimiento de contactos se refiere.</w:t>
      </w:r>
    </w:p>
    <w:p w14:paraId="33DF97FD" w14:textId="1384994D" w:rsidR="00131CDA" w:rsidRPr="00C53573" w:rsidRDefault="00131CDA" w:rsidP="00131CDA">
      <w:pPr>
        <w:jc w:val="both"/>
        <w:rPr>
          <w:lang w:val="es-ES"/>
        </w:rPr>
      </w:pPr>
      <w:r w:rsidRPr="00C53573">
        <w:rPr>
          <w:lang w:val="es-ES"/>
        </w:rPr>
        <w:t>6.3</w:t>
      </w:r>
      <w:r w:rsidRPr="00C53573">
        <w:rPr>
          <w:lang w:val="es-ES"/>
        </w:rPr>
        <w:tab/>
        <w:t>El país anfitrión organizará una serie de eventos paralelos a la PP-26, teniendo plenamente en cuenta el programa de la Conferencia y procurando garantizar el adecuado desarrollo de esta última y de sus sesiones oficiales, sin interferencias. Entre dichos eventos figurará una mesa redonda ministerial, prevista la tarde del domingo 8 de noviembre de 2026. Se facilitará más información al respecto a su debido tiempo.</w:t>
      </w:r>
    </w:p>
    <w:p w14:paraId="23D68CC5" w14:textId="77777777" w:rsidR="00131CDA" w:rsidRPr="00C53573" w:rsidRDefault="00131CDA" w:rsidP="00131CDA">
      <w:pPr>
        <w:pStyle w:val="Heading1"/>
        <w:rPr>
          <w:rFonts w:asciiTheme="minorHAnsi" w:hAnsiTheme="minorHAnsi"/>
          <w:b w:val="0"/>
          <w:szCs w:val="24"/>
          <w:lang w:val="es-ES"/>
        </w:rPr>
      </w:pPr>
      <w:r w:rsidRPr="00C53573">
        <w:rPr>
          <w:lang w:val="es-ES"/>
        </w:rPr>
        <w:t>7</w:t>
      </w:r>
      <w:r w:rsidRPr="00C53573">
        <w:rPr>
          <w:lang w:val="es-ES"/>
        </w:rPr>
        <w:tab/>
        <w:t>Grupo Preparatorio de Doha</w:t>
      </w:r>
    </w:p>
    <w:p w14:paraId="78E31C75" w14:textId="77777777" w:rsidR="00131CDA" w:rsidRPr="00C53573" w:rsidRDefault="00131CDA" w:rsidP="003B1DD9">
      <w:pPr>
        <w:jc w:val="both"/>
        <w:rPr>
          <w:lang w:val="es-ES"/>
        </w:rPr>
      </w:pPr>
      <w:r w:rsidRPr="00C53573">
        <w:rPr>
          <w:lang w:val="es-ES"/>
        </w:rPr>
        <w:t>7.1</w:t>
      </w:r>
      <w:r w:rsidRPr="00C53573">
        <w:rPr>
          <w:lang w:val="es-ES"/>
        </w:rPr>
        <w:tab/>
        <w:t>El Grupo Preparatorio de Doha (GPD) se creó a fin de coordinar los preparativos a escala interna. Este grupo está compuesto por representantes de la Secretaría General y de las Oficinas, incluidos los Directores Regionales, y se reúne periódicamente.</w:t>
      </w:r>
    </w:p>
    <w:p w14:paraId="3BC7ABDE" w14:textId="31D38B1F" w:rsidR="00131CDA" w:rsidRPr="003B1DD9" w:rsidRDefault="00131CDA" w:rsidP="00131CDA">
      <w:pPr>
        <w:pStyle w:val="Heading1"/>
        <w:rPr>
          <w:lang w:val="es-ES"/>
        </w:rPr>
      </w:pPr>
      <w:r w:rsidRPr="00C53573">
        <w:rPr>
          <w:lang w:val="es-ES"/>
        </w:rPr>
        <w:t>8</w:t>
      </w:r>
      <w:r w:rsidRPr="00C53573">
        <w:rPr>
          <w:lang w:val="es-ES"/>
        </w:rPr>
        <w:tab/>
      </w:r>
      <w:r w:rsidRPr="003B1DD9">
        <w:rPr>
          <w:lang w:val="es-ES"/>
        </w:rPr>
        <w:t>Apoyo a los preparativos regionales</w:t>
      </w:r>
    </w:p>
    <w:p w14:paraId="761924C2" w14:textId="70DDFAB8" w:rsidR="00131CDA" w:rsidRPr="00C53573" w:rsidRDefault="00131CDA" w:rsidP="00131CDA">
      <w:pPr>
        <w:jc w:val="both"/>
        <w:rPr>
          <w:rFonts w:asciiTheme="minorHAnsi" w:hAnsiTheme="minorHAnsi"/>
          <w:lang w:val="es-ES"/>
        </w:rPr>
      </w:pPr>
      <w:r w:rsidRPr="00C53573">
        <w:rPr>
          <w:rFonts w:asciiTheme="minorHAnsi" w:hAnsiTheme="minorHAnsi"/>
          <w:lang w:val="es-ES"/>
        </w:rPr>
        <w:t>8.1</w:t>
      </w:r>
      <w:r w:rsidRPr="00C53573">
        <w:rPr>
          <w:lang w:val="es-ES"/>
        </w:rPr>
        <w:tab/>
        <w:t>De conformidad con la Resolución 58 (</w:t>
      </w:r>
      <w:r w:rsidRPr="00C53573">
        <w:rPr>
          <w:rFonts w:asciiTheme="minorHAnsi" w:hAnsiTheme="minorHAnsi"/>
          <w:lang w:val="es-ES"/>
        </w:rPr>
        <w:t>Rev. Busán, 2014</w:t>
      </w:r>
      <w:r w:rsidRPr="00C53573">
        <w:rPr>
          <w:lang w:val="es-ES"/>
        </w:rPr>
        <w:t xml:space="preserve">) y con miras a estrechar las relaciones entre la UIT y las organizaciones regionales de telecomunicaciones, </w:t>
      </w:r>
      <w:r w:rsidRPr="00C53573">
        <w:rPr>
          <w:rFonts w:asciiTheme="minorHAnsi" w:hAnsiTheme="minorHAnsi"/>
          <w:lang w:val="es-ES"/>
        </w:rPr>
        <w:t xml:space="preserve">tal y como se hizo en vísperas de la PP-18 y la PP-22, </w:t>
      </w:r>
      <w:r w:rsidRPr="00C53573">
        <w:rPr>
          <w:lang w:val="es-ES"/>
        </w:rPr>
        <w:t>la secretaría está participando en los preparativos regionales, facilitando</w:t>
      </w:r>
      <w:r w:rsidRPr="00C53573">
        <w:rPr>
          <w:rFonts w:asciiTheme="minorHAnsi" w:hAnsiTheme="minorHAnsi"/>
          <w:lang w:val="es-ES"/>
        </w:rPr>
        <w:t xml:space="preserve"> información sobre la Conferencia y sus procesos, así como formación específica previa solicitud. En el </w:t>
      </w:r>
      <w:hyperlink r:id="rId31" w:anchor="/es" w:history="1">
        <w:r w:rsidRPr="00C53573">
          <w:rPr>
            <w:rStyle w:val="Hyperlink"/>
            <w:rFonts w:asciiTheme="minorHAnsi" w:hAnsiTheme="minorHAnsi"/>
            <w:lang w:val="es-ES"/>
          </w:rPr>
          <w:t>sitio web</w:t>
        </w:r>
      </w:hyperlink>
      <w:r w:rsidRPr="00C53573">
        <w:rPr>
          <w:rFonts w:asciiTheme="minorHAnsi" w:hAnsiTheme="minorHAnsi"/>
          <w:lang w:val="es-ES"/>
        </w:rPr>
        <w:t xml:space="preserve"> también se han publicado presentaciones sobre el proceso de la PP, junto con el calendario de reuniones preparatorias regionales</w:t>
      </w:r>
      <w:r w:rsidRPr="00C53573">
        <w:rPr>
          <w:lang w:val="es-ES"/>
        </w:rPr>
        <w:t>.</w:t>
      </w:r>
    </w:p>
    <w:p w14:paraId="3DA420C3" w14:textId="18B3887F" w:rsidR="00131CDA" w:rsidRPr="00602CE6" w:rsidRDefault="00131CDA" w:rsidP="003B1DD9">
      <w:pPr>
        <w:jc w:val="both"/>
        <w:rPr>
          <w:spacing w:val="-2"/>
          <w:lang w:val="es-ES"/>
        </w:rPr>
      </w:pPr>
      <w:r w:rsidRPr="00602CE6">
        <w:rPr>
          <w:spacing w:val="-2"/>
          <w:lang w:val="es-ES"/>
        </w:rPr>
        <w:t>8.2</w:t>
      </w:r>
      <w:r w:rsidRPr="00602CE6">
        <w:rPr>
          <w:spacing w:val="-2"/>
          <w:szCs w:val="24"/>
          <w:lang w:val="es-ES"/>
        </w:rPr>
        <w:tab/>
      </w:r>
      <w:r w:rsidRPr="00602CE6">
        <w:rPr>
          <w:spacing w:val="-2"/>
          <w:lang w:val="es-ES"/>
        </w:rPr>
        <w:t>Además, en su reunión de 2024, el Consejo acordó que se siguieran convocando reuniones interregionales oficiosas. La primera reunión se celebró el martes 13 de enero de 2026, bajo la dirección del Presidente designado de la PP-26. Las reuniones posteriores, cuyo formato será híbrido, se celebrarán en las siguientes fechas:</w:t>
      </w:r>
    </w:p>
    <w:p w14:paraId="5C899D19" w14:textId="77777777" w:rsidR="00131CDA" w:rsidRPr="00C53573" w:rsidRDefault="00131CDA" w:rsidP="00131CDA">
      <w:pPr>
        <w:pStyle w:val="enumlev1"/>
        <w:jc w:val="both"/>
        <w:rPr>
          <w:spacing w:val="-3"/>
          <w:lang w:val="es-ES"/>
        </w:rPr>
      </w:pPr>
      <w:r w:rsidRPr="00C53573">
        <w:rPr>
          <w:spacing w:val="-3"/>
          <w:lang w:val="es-ES"/>
        </w:rPr>
        <w:t>–</w:t>
      </w:r>
      <w:r w:rsidRPr="00C53573">
        <w:rPr>
          <w:spacing w:val="-3"/>
          <w:lang w:val="es-ES"/>
        </w:rPr>
        <w:tab/>
        <w:t>2ª reunión: 30 de abril de 2026, de las 13.00 a las 14.30 horas, durante la reunión de 2026 del Consejo (28 de abril – 8 de mayo de 2026), Ginebra.</w:t>
      </w:r>
    </w:p>
    <w:p w14:paraId="265CB421" w14:textId="77777777" w:rsidR="00131CDA" w:rsidRPr="00C53573" w:rsidRDefault="00131CDA" w:rsidP="00131CDA">
      <w:pPr>
        <w:pStyle w:val="enumlev1"/>
        <w:jc w:val="both"/>
        <w:rPr>
          <w:lang w:val="es-ES"/>
        </w:rPr>
      </w:pPr>
      <w:r w:rsidRPr="00C53573">
        <w:rPr>
          <w:lang w:val="es-ES"/>
        </w:rPr>
        <w:t>–</w:t>
      </w:r>
      <w:r w:rsidRPr="00C53573">
        <w:rPr>
          <w:lang w:val="es-ES"/>
        </w:rPr>
        <w:tab/>
        <w:t xml:space="preserve">3ª reunión: 10 de junio de 2026, de las 13.00 a las 14.30 horas (hora de Nassau), durante el FMPT-26 (9-11 de junio de 2026), Nassau. </w:t>
      </w:r>
    </w:p>
    <w:p w14:paraId="57B24DA6" w14:textId="6A41D5F4" w:rsidR="00F92BED" w:rsidRPr="00C53573" w:rsidRDefault="00131CDA" w:rsidP="00D428E9">
      <w:pPr>
        <w:pStyle w:val="enumlev1"/>
        <w:jc w:val="both"/>
        <w:rPr>
          <w:lang w:val="es-ES"/>
        </w:rPr>
      </w:pPr>
      <w:r w:rsidRPr="00C53573">
        <w:rPr>
          <w:lang w:val="es-ES"/>
        </w:rPr>
        <w:t>–</w:t>
      </w:r>
      <w:r w:rsidRPr="00C53573">
        <w:rPr>
          <w:lang w:val="es-ES"/>
        </w:rPr>
        <w:tab/>
        <w:t xml:space="preserve">4ª reunión: 14-15 de octubre de 2026, </w:t>
      </w:r>
      <w:r w:rsidRPr="00C53573">
        <w:rPr>
          <w:i/>
          <w:iCs/>
          <w:lang w:val="es-ES"/>
        </w:rPr>
        <w:t>por confirmar</w:t>
      </w:r>
      <w:r w:rsidRPr="00C53573">
        <w:rPr>
          <w:lang w:val="es-ES"/>
        </w:rPr>
        <w:t>, tras la fecha límite para la presentación de candidaturas (12 de octubre de 2026, a las 23.59 horas (hora de Ginebra)), Arabia Saudita.</w:t>
      </w:r>
    </w:p>
    <w:p w14:paraId="0943B434" w14:textId="77777777" w:rsidR="00D428E9" w:rsidRPr="00C53573" w:rsidRDefault="00D428E9" w:rsidP="00411C49">
      <w:pPr>
        <w:pStyle w:val="Reasons"/>
        <w:rPr>
          <w:lang w:val="es-ES"/>
        </w:rPr>
      </w:pPr>
    </w:p>
    <w:p w14:paraId="0564E777" w14:textId="77777777" w:rsidR="00D428E9" w:rsidRPr="00C53573" w:rsidRDefault="00D428E9">
      <w:pPr>
        <w:jc w:val="center"/>
        <w:rPr>
          <w:lang w:val="es-ES"/>
        </w:rPr>
      </w:pPr>
      <w:r w:rsidRPr="00C53573">
        <w:rPr>
          <w:lang w:val="es-ES"/>
        </w:rPr>
        <w:t>______________</w:t>
      </w:r>
    </w:p>
    <w:sectPr w:rsidR="00D428E9" w:rsidRPr="00C53573" w:rsidSect="00C538FC">
      <w:footerReference w:type="default" r:id="rId32"/>
      <w:headerReference w:type="first" r:id="rId33"/>
      <w:footerReference w:type="first" r:id="rId34"/>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89A9D" w14:textId="77777777" w:rsidR="00846E80" w:rsidRDefault="00846E80">
      <w:r>
        <w:separator/>
      </w:r>
    </w:p>
  </w:endnote>
  <w:endnote w:type="continuationSeparator" w:id="0">
    <w:p w14:paraId="110BBF5D" w14:textId="77777777" w:rsidR="00846E80" w:rsidRDefault="00846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7524D41B" w14:textId="77777777" w:rsidTr="00E31DCE">
      <w:trPr>
        <w:jc w:val="center"/>
      </w:trPr>
      <w:tc>
        <w:tcPr>
          <w:tcW w:w="1803" w:type="dxa"/>
          <w:vAlign w:val="center"/>
        </w:tcPr>
        <w:p w14:paraId="76603373" w14:textId="7D101D2B" w:rsidR="003273A4" w:rsidRDefault="002946E2" w:rsidP="003273A4">
          <w:pPr>
            <w:pStyle w:val="Header"/>
            <w:jc w:val="left"/>
            <w:rPr>
              <w:noProof/>
            </w:rPr>
          </w:pPr>
          <w:r>
            <w:rPr>
              <w:noProof/>
            </w:rPr>
            <w:t>gDoc #</w:t>
          </w:r>
          <w:r w:rsidR="00D428E9">
            <w:rPr>
              <w:noProof/>
            </w:rPr>
            <w:t>2600698</w:t>
          </w:r>
        </w:p>
      </w:tc>
      <w:tc>
        <w:tcPr>
          <w:tcW w:w="8261" w:type="dxa"/>
        </w:tcPr>
        <w:p w14:paraId="63A2BC76" w14:textId="0BCD9C87" w:rsidR="003273A4" w:rsidRPr="00E06FD5" w:rsidRDefault="003273A4" w:rsidP="00B060DF">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85E5C">
            <w:rPr>
              <w:bCs/>
            </w:rPr>
            <w:t>6</w:t>
          </w:r>
          <w:proofErr w:type="spellEnd"/>
          <w:r w:rsidRPr="00623AE3">
            <w:rPr>
              <w:bCs/>
            </w:rPr>
            <w:t>/</w:t>
          </w:r>
          <w:r w:rsidR="00D428E9">
            <w:rPr>
              <w:bCs/>
            </w:rPr>
            <w:t>4</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20E9F676"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636899AE" w14:textId="77777777" w:rsidTr="00E31DCE">
      <w:trPr>
        <w:jc w:val="center"/>
      </w:trPr>
      <w:tc>
        <w:tcPr>
          <w:tcW w:w="1803" w:type="dxa"/>
          <w:vAlign w:val="center"/>
        </w:tcPr>
        <w:p w14:paraId="281655BA" w14:textId="77777777" w:rsidR="00F24B71" w:rsidRPr="002946E2" w:rsidRDefault="00F85E5C" w:rsidP="00F24B71">
          <w:pPr>
            <w:pStyle w:val="Header"/>
            <w:jc w:val="left"/>
            <w:rPr>
              <w:noProof/>
            </w:rPr>
          </w:pPr>
          <w:hyperlink r:id="rId1" w:anchor="/es" w:history="1">
            <w:r>
              <w:rPr>
                <w:rStyle w:val="Hyperlink"/>
                <w:noProof/>
              </w:rPr>
              <w:t>council.itu.int/2026</w:t>
            </w:r>
          </w:hyperlink>
          <w:r w:rsidR="002946E2" w:rsidRPr="002946E2">
            <w:rPr>
              <w:noProof/>
            </w:rPr>
            <w:t xml:space="preserve"> </w:t>
          </w:r>
        </w:p>
      </w:tc>
      <w:tc>
        <w:tcPr>
          <w:tcW w:w="8261" w:type="dxa"/>
        </w:tcPr>
        <w:p w14:paraId="7BE38B6C" w14:textId="25A7DF9C" w:rsidR="00F24B71" w:rsidRPr="00E06FD5" w:rsidRDefault="00F24B71" w:rsidP="00B060DF">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85E5C">
            <w:rPr>
              <w:bCs/>
            </w:rPr>
            <w:t>6</w:t>
          </w:r>
          <w:proofErr w:type="spellEnd"/>
          <w:r w:rsidRPr="00623AE3">
            <w:rPr>
              <w:bCs/>
            </w:rPr>
            <w:t>/</w:t>
          </w:r>
          <w:r w:rsidR="00D428E9">
            <w:rPr>
              <w:bCs/>
            </w:rPr>
            <w:t>4</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3EDC9455"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9ADE5" w14:textId="77777777" w:rsidR="00846E80" w:rsidRDefault="00846E80">
      <w:r>
        <w:t>____________________</w:t>
      </w:r>
    </w:p>
  </w:footnote>
  <w:footnote w:type="continuationSeparator" w:id="0">
    <w:p w14:paraId="6DDE9193" w14:textId="77777777" w:rsidR="00846E80" w:rsidRDefault="00846E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50942" w14:textId="77777777" w:rsidR="001559F5" w:rsidRPr="00B1560D" w:rsidRDefault="00B1560D" w:rsidP="00B1560D">
    <w:pPr>
      <w:pStyle w:val="Header"/>
    </w:pPr>
    <w:r>
      <w:rPr>
        <w:noProof/>
      </w:rPr>
      <w:drawing>
        <wp:inline distT="0" distB="0" distL="0" distR="0" wp14:anchorId="47895F54" wp14:editId="7C1AFC58">
          <wp:extent cx="5760085" cy="840740"/>
          <wp:effectExtent l="0" t="0" r="0" b="0"/>
          <wp:docPr id="397875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75340" name="Picture 397875340"/>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E80"/>
    <w:rsid w:val="000007D1"/>
    <w:rsid w:val="0006007D"/>
    <w:rsid w:val="00093EEB"/>
    <w:rsid w:val="000B0D00"/>
    <w:rsid w:val="000B7C15"/>
    <w:rsid w:val="000D1D0F"/>
    <w:rsid w:val="000D5768"/>
    <w:rsid w:val="000E3F07"/>
    <w:rsid w:val="000F5290"/>
    <w:rsid w:val="000F5A95"/>
    <w:rsid w:val="0010165C"/>
    <w:rsid w:val="00131CDA"/>
    <w:rsid w:val="00146BFB"/>
    <w:rsid w:val="001559F5"/>
    <w:rsid w:val="00157AC4"/>
    <w:rsid w:val="0016169C"/>
    <w:rsid w:val="001958F5"/>
    <w:rsid w:val="001A323A"/>
    <w:rsid w:val="001B6E2B"/>
    <w:rsid w:val="001F14A2"/>
    <w:rsid w:val="00277DEA"/>
    <w:rsid w:val="002801AA"/>
    <w:rsid w:val="002946E2"/>
    <w:rsid w:val="002C3F32"/>
    <w:rsid w:val="002C4676"/>
    <w:rsid w:val="002C70B0"/>
    <w:rsid w:val="002F3CC4"/>
    <w:rsid w:val="003032E2"/>
    <w:rsid w:val="0031300A"/>
    <w:rsid w:val="003273A4"/>
    <w:rsid w:val="0034796E"/>
    <w:rsid w:val="003B1DD9"/>
    <w:rsid w:val="004571B0"/>
    <w:rsid w:val="00465C35"/>
    <w:rsid w:val="00473962"/>
    <w:rsid w:val="004A7913"/>
    <w:rsid w:val="004B5D49"/>
    <w:rsid w:val="004D3A3C"/>
    <w:rsid w:val="00513630"/>
    <w:rsid w:val="00560125"/>
    <w:rsid w:val="00585553"/>
    <w:rsid w:val="005B34D9"/>
    <w:rsid w:val="005D0CCF"/>
    <w:rsid w:val="005F0915"/>
    <w:rsid w:val="005F3BCB"/>
    <w:rsid w:val="005F410F"/>
    <w:rsid w:val="0060149A"/>
    <w:rsid w:val="00601924"/>
    <w:rsid w:val="00602CE6"/>
    <w:rsid w:val="00614EF9"/>
    <w:rsid w:val="006447EA"/>
    <w:rsid w:val="0064481D"/>
    <w:rsid w:val="0064731F"/>
    <w:rsid w:val="00664572"/>
    <w:rsid w:val="00666D09"/>
    <w:rsid w:val="00670579"/>
    <w:rsid w:val="006710F6"/>
    <w:rsid w:val="00677A97"/>
    <w:rsid w:val="006C1B56"/>
    <w:rsid w:val="006D4761"/>
    <w:rsid w:val="00726872"/>
    <w:rsid w:val="00753CDD"/>
    <w:rsid w:val="00760F1C"/>
    <w:rsid w:val="007657F0"/>
    <w:rsid w:val="0077110E"/>
    <w:rsid w:val="0077252D"/>
    <w:rsid w:val="007955DA"/>
    <w:rsid w:val="007E5DD3"/>
    <w:rsid w:val="007F350B"/>
    <w:rsid w:val="00820BE4"/>
    <w:rsid w:val="008451E8"/>
    <w:rsid w:val="0084546D"/>
    <w:rsid w:val="00846E80"/>
    <w:rsid w:val="008F6ABC"/>
    <w:rsid w:val="00913B9C"/>
    <w:rsid w:val="00927F93"/>
    <w:rsid w:val="00956E77"/>
    <w:rsid w:val="009A338E"/>
    <w:rsid w:val="009A76A8"/>
    <w:rsid w:val="009F4811"/>
    <w:rsid w:val="00A01F4F"/>
    <w:rsid w:val="00A109AF"/>
    <w:rsid w:val="00A94438"/>
    <w:rsid w:val="00AA390C"/>
    <w:rsid w:val="00AD5A4D"/>
    <w:rsid w:val="00AF0EAC"/>
    <w:rsid w:val="00B0200A"/>
    <w:rsid w:val="00B060DF"/>
    <w:rsid w:val="00B1560D"/>
    <w:rsid w:val="00B574DB"/>
    <w:rsid w:val="00B826C2"/>
    <w:rsid w:val="00B8298E"/>
    <w:rsid w:val="00BA082E"/>
    <w:rsid w:val="00BB6FD8"/>
    <w:rsid w:val="00BD0723"/>
    <w:rsid w:val="00BD2518"/>
    <w:rsid w:val="00BF1D1C"/>
    <w:rsid w:val="00C20C59"/>
    <w:rsid w:val="00C2727F"/>
    <w:rsid w:val="00C4421B"/>
    <w:rsid w:val="00C44D40"/>
    <w:rsid w:val="00C53573"/>
    <w:rsid w:val="00C538FC"/>
    <w:rsid w:val="00C55B1F"/>
    <w:rsid w:val="00CF1A67"/>
    <w:rsid w:val="00D2750E"/>
    <w:rsid w:val="00D375E0"/>
    <w:rsid w:val="00D428E9"/>
    <w:rsid w:val="00D50A36"/>
    <w:rsid w:val="00D62446"/>
    <w:rsid w:val="00D71C39"/>
    <w:rsid w:val="00DA4EA2"/>
    <w:rsid w:val="00DC3D3E"/>
    <w:rsid w:val="00DE2C90"/>
    <w:rsid w:val="00DE3B24"/>
    <w:rsid w:val="00DE7376"/>
    <w:rsid w:val="00E06947"/>
    <w:rsid w:val="00E11319"/>
    <w:rsid w:val="00E21444"/>
    <w:rsid w:val="00E34072"/>
    <w:rsid w:val="00E3592D"/>
    <w:rsid w:val="00E50D76"/>
    <w:rsid w:val="00E8018B"/>
    <w:rsid w:val="00E92DE8"/>
    <w:rsid w:val="00EB1212"/>
    <w:rsid w:val="00ED65AB"/>
    <w:rsid w:val="00F12850"/>
    <w:rsid w:val="00F24B71"/>
    <w:rsid w:val="00F33BF4"/>
    <w:rsid w:val="00F7105E"/>
    <w:rsid w:val="00F75F57"/>
    <w:rsid w:val="00F806E4"/>
    <w:rsid w:val="00F82FEE"/>
    <w:rsid w:val="00F85E5C"/>
    <w:rsid w:val="00F92BED"/>
    <w:rsid w:val="00FB1E65"/>
    <w:rsid w:val="00FD57D3"/>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58E715A"/>
  <w15:docId w15:val="{48F388DD-1983-421C-9EE4-0EC1BFF2A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5A9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link w:val="Heading1Char"/>
    <w:qFormat/>
    <w:rsid w:val="000F5A95"/>
    <w:pPr>
      <w:keepNext/>
      <w:keepLines/>
      <w:spacing w:before="360"/>
      <w:ind w:left="567" w:hanging="567"/>
      <w:outlineLvl w:val="0"/>
    </w:pPr>
    <w:rPr>
      <w:b/>
      <w:sz w:val="28"/>
    </w:rPr>
  </w:style>
  <w:style w:type="paragraph" w:styleId="Heading2">
    <w:name w:val="heading 2"/>
    <w:basedOn w:val="Heading1"/>
    <w:next w:val="Normal"/>
    <w:qFormat/>
    <w:rsid w:val="000F5A95"/>
    <w:pPr>
      <w:spacing w:before="200"/>
      <w:outlineLvl w:val="1"/>
    </w:pPr>
    <w:rPr>
      <w:sz w:val="24"/>
    </w:rPr>
  </w:style>
  <w:style w:type="paragraph" w:styleId="Heading3">
    <w:name w:val="heading 3"/>
    <w:basedOn w:val="Heading1"/>
    <w:next w:val="Normal"/>
    <w:qFormat/>
    <w:rsid w:val="000F5A95"/>
    <w:pPr>
      <w:spacing w:before="200"/>
      <w:outlineLvl w:val="2"/>
    </w:pPr>
    <w:rPr>
      <w:sz w:val="24"/>
    </w:rPr>
  </w:style>
  <w:style w:type="paragraph" w:styleId="Heading4">
    <w:name w:val="heading 4"/>
    <w:basedOn w:val="Heading3"/>
    <w:next w:val="Normal"/>
    <w:qFormat/>
    <w:rsid w:val="000F5A95"/>
    <w:pPr>
      <w:ind w:left="1134" w:hanging="1134"/>
      <w:outlineLvl w:val="3"/>
    </w:pPr>
  </w:style>
  <w:style w:type="paragraph" w:styleId="Heading5">
    <w:name w:val="heading 5"/>
    <w:basedOn w:val="Heading4"/>
    <w:next w:val="Normal"/>
    <w:qFormat/>
    <w:rsid w:val="000F5A95"/>
    <w:pPr>
      <w:outlineLvl w:val="4"/>
    </w:pPr>
  </w:style>
  <w:style w:type="paragraph" w:styleId="Heading6">
    <w:name w:val="heading 6"/>
    <w:basedOn w:val="Heading4"/>
    <w:next w:val="Normal"/>
    <w:qFormat/>
    <w:rsid w:val="000F5A95"/>
    <w:pPr>
      <w:outlineLvl w:val="5"/>
    </w:pPr>
  </w:style>
  <w:style w:type="paragraph" w:styleId="Heading7">
    <w:name w:val="heading 7"/>
    <w:basedOn w:val="Heading4"/>
    <w:next w:val="Normal"/>
    <w:qFormat/>
    <w:rsid w:val="000F5A95"/>
    <w:pPr>
      <w:ind w:left="1701" w:hanging="1701"/>
      <w:outlineLvl w:val="6"/>
    </w:pPr>
  </w:style>
  <w:style w:type="paragraph" w:styleId="Heading8">
    <w:name w:val="heading 8"/>
    <w:basedOn w:val="Heading4"/>
    <w:next w:val="Normal"/>
    <w:qFormat/>
    <w:rsid w:val="000F5A95"/>
    <w:pPr>
      <w:ind w:left="1701" w:hanging="1701"/>
      <w:outlineLvl w:val="7"/>
    </w:pPr>
  </w:style>
  <w:style w:type="paragraph" w:styleId="Heading9">
    <w:name w:val="heading 9"/>
    <w:basedOn w:val="Heading4"/>
    <w:next w:val="Normal"/>
    <w:qFormat/>
    <w:rsid w:val="000F5A9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0F5A95"/>
  </w:style>
  <w:style w:type="paragraph" w:styleId="TOC4">
    <w:name w:val="toc 4"/>
    <w:basedOn w:val="TOC1"/>
    <w:next w:val="Normal"/>
    <w:rsid w:val="000F5A95"/>
  </w:style>
  <w:style w:type="paragraph" w:styleId="TOC3">
    <w:name w:val="toc 3"/>
    <w:basedOn w:val="TOC1"/>
    <w:next w:val="Normal"/>
    <w:rsid w:val="000F5A95"/>
  </w:style>
  <w:style w:type="paragraph" w:styleId="TOC2">
    <w:name w:val="toc 2"/>
    <w:basedOn w:val="TOC1"/>
    <w:next w:val="Normal"/>
    <w:rsid w:val="000F5A95"/>
    <w:pPr>
      <w:spacing w:before="160"/>
    </w:pPr>
  </w:style>
  <w:style w:type="paragraph" w:styleId="TOC1">
    <w:name w:val="toc 1"/>
    <w:basedOn w:val="Normal"/>
    <w:rsid w:val="000F5A95"/>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0F5A95"/>
  </w:style>
  <w:style w:type="paragraph" w:styleId="TOC6">
    <w:name w:val="toc 6"/>
    <w:basedOn w:val="TOC5"/>
    <w:next w:val="Normal"/>
    <w:rsid w:val="000F5A95"/>
  </w:style>
  <w:style w:type="paragraph" w:styleId="TOC5">
    <w:name w:val="toc 5"/>
    <w:basedOn w:val="TOC4"/>
    <w:next w:val="Normal"/>
    <w:rsid w:val="000F5A95"/>
    <w:rPr>
      <w:lang w:val="fr-CH"/>
    </w:rPr>
  </w:style>
  <w:style w:type="paragraph" w:styleId="Index7">
    <w:name w:val="index 7"/>
    <w:basedOn w:val="Normal"/>
    <w:next w:val="Normal"/>
    <w:rsid w:val="000F5A95"/>
    <w:pPr>
      <w:ind w:left="1698"/>
    </w:pPr>
  </w:style>
  <w:style w:type="paragraph" w:styleId="Index6">
    <w:name w:val="index 6"/>
    <w:basedOn w:val="Normal"/>
    <w:next w:val="Normal"/>
    <w:rsid w:val="000F5A95"/>
    <w:pPr>
      <w:ind w:left="1415"/>
    </w:pPr>
  </w:style>
  <w:style w:type="paragraph" w:styleId="Index5">
    <w:name w:val="index 5"/>
    <w:basedOn w:val="Normal"/>
    <w:next w:val="Normal"/>
    <w:rsid w:val="000F5A95"/>
    <w:pPr>
      <w:ind w:left="1132"/>
    </w:pPr>
  </w:style>
  <w:style w:type="paragraph" w:styleId="Index4">
    <w:name w:val="index 4"/>
    <w:basedOn w:val="Normal"/>
    <w:next w:val="Normal"/>
    <w:rsid w:val="000F5A95"/>
    <w:pPr>
      <w:ind w:left="849"/>
    </w:pPr>
  </w:style>
  <w:style w:type="paragraph" w:styleId="Index3">
    <w:name w:val="index 3"/>
    <w:basedOn w:val="Normal"/>
    <w:next w:val="Normal"/>
    <w:rsid w:val="000F5A95"/>
    <w:pPr>
      <w:ind w:left="566"/>
    </w:pPr>
  </w:style>
  <w:style w:type="paragraph" w:styleId="Index2">
    <w:name w:val="index 2"/>
    <w:basedOn w:val="Normal"/>
    <w:next w:val="Normal"/>
    <w:rsid w:val="000F5A95"/>
    <w:pPr>
      <w:ind w:left="283"/>
    </w:pPr>
  </w:style>
  <w:style w:type="paragraph" w:styleId="Index1">
    <w:name w:val="index 1"/>
    <w:basedOn w:val="Normal"/>
    <w:next w:val="Normal"/>
    <w:rsid w:val="000F5A95"/>
  </w:style>
  <w:style w:type="character" w:styleId="LineNumber">
    <w:name w:val="line number"/>
    <w:basedOn w:val="DefaultParagraphFont"/>
    <w:rsid w:val="000F5A95"/>
  </w:style>
  <w:style w:type="paragraph" w:styleId="IndexHeading">
    <w:name w:val="index heading"/>
    <w:basedOn w:val="Normal"/>
    <w:next w:val="Index1"/>
    <w:rsid w:val="000F5A95"/>
  </w:style>
  <w:style w:type="paragraph" w:styleId="Footer">
    <w:name w:val="footer"/>
    <w:basedOn w:val="Normal"/>
    <w:rsid w:val="000F5A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F5A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F5A95"/>
    <w:rPr>
      <w:rFonts w:ascii="Calibri" w:hAnsi="Calibri"/>
      <w:position w:val="6"/>
      <w:sz w:val="16"/>
    </w:rPr>
  </w:style>
  <w:style w:type="paragraph" w:styleId="FootnoteText">
    <w:name w:val="footnote text"/>
    <w:basedOn w:val="Normal"/>
    <w:rsid w:val="000F5A95"/>
    <w:pPr>
      <w:keepLines/>
      <w:tabs>
        <w:tab w:val="left" w:pos="256"/>
      </w:tabs>
      <w:ind w:left="256" w:hanging="256"/>
    </w:pPr>
    <w:rPr>
      <w:sz w:val="22"/>
    </w:rPr>
  </w:style>
  <w:style w:type="paragraph" w:styleId="NormalIndent">
    <w:name w:val="Normal Indent"/>
    <w:basedOn w:val="Normal"/>
    <w:rsid w:val="000F5A95"/>
    <w:pPr>
      <w:ind w:left="567"/>
    </w:pPr>
  </w:style>
  <w:style w:type="paragraph" w:customStyle="1" w:styleId="AnnexNo">
    <w:name w:val="Annex_No"/>
    <w:basedOn w:val="Normal"/>
    <w:next w:val="Annexref"/>
    <w:rsid w:val="000F5A95"/>
    <w:pPr>
      <w:keepNext/>
      <w:keepLines/>
      <w:spacing w:before="720"/>
      <w:jc w:val="center"/>
    </w:pPr>
    <w:rPr>
      <w:caps/>
      <w:sz w:val="28"/>
    </w:rPr>
  </w:style>
  <w:style w:type="paragraph" w:customStyle="1" w:styleId="Annextitle">
    <w:name w:val="Annex_title"/>
    <w:basedOn w:val="Normal"/>
    <w:next w:val="Normalaftertitle"/>
    <w:rsid w:val="000F5A95"/>
    <w:pPr>
      <w:keepNext/>
      <w:keepLines/>
      <w:spacing w:before="240" w:after="240"/>
      <w:jc w:val="center"/>
    </w:pPr>
    <w:rPr>
      <w:b/>
      <w:sz w:val="28"/>
    </w:rPr>
  </w:style>
  <w:style w:type="paragraph" w:customStyle="1" w:styleId="Annexref">
    <w:name w:val="Annex_ref"/>
    <w:basedOn w:val="Normal"/>
    <w:next w:val="Annextitle"/>
    <w:rsid w:val="000F5A95"/>
    <w:pPr>
      <w:keepNext/>
      <w:keepLines/>
      <w:jc w:val="center"/>
    </w:pPr>
    <w:rPr>
      <w:sz w:val="28"/>
    </w:rPr>
  </w:style>
  <w:style w:type="paragraph" w:customStyle="1" w:styleId="Normalaftertitle">
    <w:name w:val="Normal after title"/>
    <w:basedOn w:val="Normal"/>
    <w:next w:val="Normal"/>
    <w:rsid w:val="000F5A95"/>
    <w:pPr>
      <w:spacing w:before="240"/>
    </w:pPr>
  </w:style>
  <w:style w:type="paragraph" w:customStyle="1" w:styleId="AppendixNo">
    <w:name w:val="Appendix_No"/>
    <w:basedOn w:val="AnnexNo"/>
    <w:next w:val="Appendixref"/>
    <w:rsid w:val="000F5A95"/>
  </w:style>
  <w:style w:type="paragraph" w:customStyle="1" w:styleId="Appendixtitle">
    <w:name w:val="Appendix_title"/>
    <w:basedOn w:val="Annextitle"/>
    <w:next w:val="Normalaftertitle"/>
    <w:rsid w:val="000F5A95"/>
  </w:style>
  <w:style w:type="paragraph" w:customStyle="1" w:styleId="Appendixref">
    <w:name w:val="Appendix_ref"/>
    <w:basedOn w:val="Annexref"/>
    <w:next w:val="Appendixtitle"/>
    <w:rsid w:val="000F5A95"/>
  </w:style>
  <w:style w:type="paragraph" w:customStyle="1" w:styleId="enumlev1">
    <w:name w:val="enumlev1"/>
    <w:basedOn w:val="Normal"/>
    <w:qFormat/>
    <w:rsid w:val="000F5A95"/>
    <w:pPr>
      <w:spacing w:before="80"/>
      <w:ind w:left="567" w:hanging="567"/>
    </w:pPr>
  </w:style>
  <w:style w:type="paragraph" w:customStyle="1" w:styleId="enumlev2">
    <w:name w:val="enumlev2"/>
    <w:basedOn w:val="enumlev1"/>
    <w:rsid w:val="000F5A95"/>
    <w:pPr>
      <w:ind w:left="1134"/>
    </w:pPr>
  </w:style>
  <w:style w:type="paragraph" w:customStyle="1" w:styleId="enumlev3">
    <w:name w:val="enumlev3"/>
    <w:basedOn w:val="enumlev2"/>
    <w:rsid w:val="000F5A95"/>
    <w:pPr>
      <w:ind w:left="1701"/>
    </w:pPr>
  </w:style>
  <w:style w:type="paragraph" w:customStyle="1" w:styleId="Artheading">
    <w:name w:val="Art_heading"/>
    <w:basedOn w:val="Normal"/>
    <w:next w:val="Normalaftertitle"/>
    <w:rsid w:val="000F5A9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F5A95"/>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F5A95"/>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F5A95"/>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F5A95"/>
  </w:style>
  <w:style w:type="paragraph" w:customStyle="1" w:styleId="Chaptitle">
    <w:name w:val="Chap_title"/>
    <w:basedOn w:val="Arttitle"/>
    <w:next w:val="Normalaftertitle"/>
    <w:rsid w:val="000F5A95"/>
  </w:style>
  <w:style w:type="paragraph" w:customStyle="1" w:styleId="Equationlegend">
    <w:name w:val="Equation_legend"/>
    <w:basedOn w:val="NormalIndent"/>
    <w:rsid w:val="000F5A95"/>
    <w:pPr>
      <w:tabs>
        <w:tab w:val="right" w:pos="1531"/>
      </w:tabs>
      <w:spacing w:before="80"/>
      <w:ind w:left="1701" w:hanging="1701"/>
    </w:pPr>
  </w:style>
  <w:style w:type="paragraph" w:customStyle="1" w:styleId="Figure">
    <w:name w:val="Figure"/>
    <w:basedOn w:val="Normal"/>
    <w:next w:val="Normal"/>
    <w:rsid w:val="000F5A95"/>
    <w:pPr>
      <w:spacing w:after="240"/>
      <w:jc w:val="center"/>
    </w:pPr>
  </w:style>
  <w:style w:type="paragraph" w:customStyle="1" w:styleId="Figuretitle">
    <w:name w:val="Figure_title"/>
    <w:basedOn w:val="Tabletitle"/>
    <w:next w:val="Normalaftertitle"/>
    <w:rsid w:val="000F5A95"/>
    <w:pPr>
      <w:spacing w:before="120" w:after="0"/>
    </w:pPr>
  </w:style>
  <w:style w:type="paragraph" w:customStyle="1" w:styleId="Tabletitle">
    <w:name w:val="Table_title"/>
    <w:basedOn w:val="TableNo"/>
    <w:next w:val="Tabletext"/>
    <w:rsid w:val="000F5A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F5A95"/>
    <w:pPr>
      <w:keepNext/>
      <w:keepLines/>
      <w:spacing w:before="480" w:after="120"/>
      <w:jc w:val="center"/>
    </w:pPr>
    <w:rPr>
      <w:caps/>
    </w:rPr>
  </w:style>
  <w:style w:type="paragraph" w:customStyle="1" w:styleId="Tabletext">
    <w:name w:val="Table_text"/>
    <w:basedOn w:val="Normal"/>
    <w:rsid w:val="000F5A95"/>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next w:val="Normal"/>
    <w:rsid w:val="000F5A95"/>
    <w:pPr>
      <w:spacing w:before="20" w:after="240"/>
    </w:pPr>
    <w:rPr>
      <w:sz w:val="18"/>
    </w:rPr>
  </w:style>
  <w:style w:type="paragraph" w:customStyle="1" w:styleId="Equation">
    <w:name w:val="Equation"/>
    <w:basedOn w:val="Normal"/>
    <w:rsid w:val="000F5A95"/>
    <w:pPr>
      <w:tabs>
        <w:tab w:val="center" w:pos="4820"/>
        <w:tab w:val="right" w:pos="9639"/>
      </w:tabs>
    </w:pPr>
  </w:style>
  <w:style w:type="paragraph" w:customStyle="1" w:styleId="Head">
    <w:name w:val="Head"/>
    <w:basedOn w:val="Normal"/>
    <w:rsid w:val="000F5A95"/>
    <w:pPr>
      <w:tabs>
        <w:tab w:val="left" w:pos="6663"/>
      </w:tabs>
      <w:overflowPunct/>
      <w:autoSpaceDE/>
      <w:autoSpaceDN/>
      <w:adjustRightInd/>
      <w:spacing w:before="0"/>
      <w:textAlignment w:val="auto"/>
    </w:pPr>
  </w:style>
  <w:style w:type="paragraph" w:customStyle="1" w:styleId="toc0">
    <w:name w:val="toc 0"/>
    <w:basedOn w:val="Normal"/>
    <w:next w:val="TOC1"/>
    <w:rsid w:val="000F5A95"/>
    <w:pPr>
      <w:tabs>
        <w:tab w:val="clear" w:pos="567"/>
        <w:tab w:val="clear" w:pos="1134"/>
        <w:tab w:val="clear" w:pos="1701"/>
        <w:tab w:val="clear" w:pos="2268"/>
        <w:tab w:val="clear" w:pos="2835"/>
        <w:tab w:val="right" w:pos="9781"/>
      </w:tabs>
    </w:pPr>
    <w:rPr>
      <w:b/>
    </w:rPr>
  </w:style>
  <w:style w:type="paragraph" w:styleId="List">
    <w:name w:val="List"/>
    <w:basedOn w:val="Normal"/>
    <w:rsid w:val="000F5A95"/>
    <w:pPr>
      <w:tabs>
        <w:tab w:val="left" w:pos="2127"/>
      </w:tabs>
      <w:ind w:left="2127" w:hanging="2127"/>
    </w:pPr>
  </w:style>
  <w:style w:type="paragraph" w:customStyle="1" w:styleId="Part">
    <w:name w:val="Part"/>
    <w:basedOn w:val="Normal"/>
    <w:rsid w:val="000F5A95"/>
    <w:pPr>
      <w:tabs>
        <w:tab w:val="left" w:pos="1276"/>
      </w:tabs>
      <w:spacing w:before="199"/>
      <w:ind w:left="1701" w:hanging="1701"/>
    </w:pPr>
    <w:rPr>
      <w:caps/>
    </w:rPr>
  </w:style>
  <w:style w:type="paragraph" w:customStyle="1" w:styleId="Figurewithouttitle">
    <w:name w:val="Figure_without_title"/>
    <w:basedOn w:val="Figure"/>
    <w:next w:val="Normal"/>
    <w:rsid w:val="000F5A95"/>
  </w:style>
  <w:style w:type="character" w:styleId="PageNumber">
    <w:name w:val="page number"/>
    <w:basedOn w:val="DefaultParagraphFont"/>
    <w:rsid w:val="000F5A95"/>
    <w:rPr>
      <w:rFonts w:ascii="Calibri" w:hAnsi="Calibri"/>
    </w:rPr>
  </w:style>
  <w:style w:type="paragraph" w:customStyle="1" w:styleId="meeting">
    <w:name w:val="meeting"/>
    <w:basedOn w:val="Head"/>
    <w:next w:val="Head"/>
    <w:rsid w:val="000F5A95"/>
    <w:pPr>
      <w:tabs>
        <w:tab w:val="left" w:pos="7371"/>
      </w:tabs>
      <w:spacing w:after="567"/>
    </w:pPr>
  </w:style>
  <w:style w:type="paragraph" w:customStyle="1" w:styleId="PartNo">
    <w:name w:val="Part_No"/>
    <w:basedOn w:val="AnnexNo"/>
    <w:next w:val="Parttitle"/>
    <w:rsid w:val="000F5A95"/>
  </w:style>
  <w:style w:type="paragraph" w:customStyle="1" w:styleId="Parttitle">
    <w:name w:val="Part_title"/>
    <w:basedOn w:val="Annextitle"/>
    <w:next w:val="Partref"/>
    <w:rsid w:val="000F5A95"/>
  </w:style>
  <w:style w:type="paragraph" w:customStyle="1" w:styleId="Partref">
    <w:name w:val="Part_ref"/>
    <w:basedOn w:val="Annexref"/>
    <w:next w:val="Normalaftertitle"/>
    <w:rsid w:val="000F5A95"/>
  </w:style>
  <w:style w:type="paragraph" w:customStyle="1" w:styleId="Headingb">
    <w:name w:val="Heading_b"/>
    <w:basedOn w:val="Heading3"/>
    <w:next w:val="Normal"/>
    <w:rsid w:val="000F5A95"/>
    <w:pPr>
      <w:spacing w:before="160"/>
      <w:ind w:left="0" w:firstLine="0"/>
      <w:outlineLvl w:val="0"/>
    </w:pPr>
  </w:style>
  <w:style w:type="paragraph" w:customStyle="1" w:styleId="Subject">
    <w:name w:val="Subject"/>
    <w:basedOn w:val="Normal"/>
    <w:next w:val="Source"/>
    <w:rsid w:val="000F5A95"/>
    <w:pPr>
      <w:tabs>
        <w:tab w:val="left" w:pos="709"/>
      </w:tabs>
      <w:spacing w:before="0"/>
      <w:ind w:left="709" w:hanging="709"/>
    </w:pPr>
  </w:style>
  <w:style w:type="paragraph" w:customStyle="1" w:styleId="Source">
    <w:name w:val="Source"/>
    <w:basedOn w:val="Normal"/>
    <w:next w:val="Title1"/>
    <w:rsid w:val="000F5A95"/>
    <w:pPr>
      <w:spacing w:before="840"/>
      <w:jc w:val="center"/>
    </w:pPr>
    <w:rPr>
      <w:b/>
      <w:sz w:val="28"/>
    </w:rPr>
  </w:style>
  <w:style w:type="paragraph" w:customStyle="1" w:styleId="Data">
    <w:name w:val="Data"/>
    <w:basedOn w:val="Subject"/>
    <w:next w:val="Subject"/>
    <w:rsid w:val="000F5A95"/>
  </w:style>
  <w:style w:type="character" w:styleId="Hyperlink">
    <w:name w:val="Hyperlink"/>
    <w:basedOn w:val="DefaultParagraphFont"/>
    <w:rsid w:val="000F5A95"/>
    <w:rPr>
      <w:rFonts w:eastAsiaTheme="minorHAnsi" w:cstheme="minorBidi"/>
      <w:color w:val="4F81BD" w:themeColor="accent1"/>
      <w:szCs w:val="22"/>
    </w:rPr>
  </w:style>
  <w:style w:type="character" w:styleId="FollowedHyperlink">
    <w:name w:val="FollowedHyperlink"/>
    <w:basedOn w:val="DefaultParagraphFont"/>
    <w:rsid w:val="000F5A95"/>
    <w:rPr>
      <w:color w:val="800080"/>
      <w:u w:val="single"/>
    </w:rPr>
  </w:style>
  <w:style w:type="paragraph" w:customStyle="1" w:styleId="FirstFooter">
    <w:name w:val="FirstFooter"/>
    <w:basedOn w:val="Footer"/>
    <w:rsid w:val="000F5A95"/>
    <w:rPr>
      <w:caps w:val="0"/>
    </w:rPr>
  </w:style>
  <w:style w:type="paragraph" w:customStyle="1" w:styleId="Note">
    <w:name w:val="Note"/>
    <w:basedOn w:val="Normal"/>
    <w:rsid w:val="000F5A95"/>
    <w:pPr>
      <w:spacing w:before="80"/>
    </w:pPr>
    <w:rPr>
      <w:sz w:val="22"/>
    </w:rPr>
  </w:style>
  <w:style w:type="paragraph" w:styleId="TOC9">
    <w:name w:val="toc 9"/>
    <w:basedOn w:val="Normal"/>
    <w:next w:val="Normal"/>
    <w:rsid w:val="000F5A95"/>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0F5A95"/>
    <w:pPr>
      <w:spacing w:before="160"/>
      <w:ind w:left="0" w:firstLine="0"/>
      <w:outlineLvl w:val="0"/>
    </w:pPr>
    <w:rPr>
      <w:b w:val="0"/>
      <w:i/>
    </w:rPr>
  </w:style>
  <w:style w:type="paragraph" w:customStyle="1" w:styleId="Title1">
    <w:name w:val="Title 1"/>
    <w:basedOn w:val="Normal"/>
    <w:next w:val="Normalaftertitle"/>
    <w:rsid w:val="000F5A95"/>
    <w:pPr>
      <w:spacing w:before="360"/>
      <w:jc w:val="center"/>
    </w:pPr>
    <w:rPr>
      <w:caps/>
    </w:rPr>
  </w:style>
  <w:style w:type="paragraph" w:customStyle="1" w:styleId="Title2">
    <w:name w:val="Title 2"/>
    <w:basedOn w:val="Title1"/>
    <w:next w:val="Normalaftertitle"/>
    <w:rsid w:val="000F5A95"/>
    <w:pPr>
      <w:keepNext/>
      <w:keepLines/>
      <w:spacing w:before="240"/>
    </w:pPr>
    <w:rPr>
      <w:b/>
      <w:caps w:val="0"/>
    </w:rPr>
  </w:style>
  <w:style w:type="paragraph" w:customStyle="1" w:styleId="Title3">
    <w:name w:val="Title 3"/>
    <w:basedOn w:val="Title2"/>
    <w:next w:val="Normalaftertitle"/>
    <w:rsid w:val="000F5A95"/>
    <w:rPr>
      <w:b w:val="0"/>
      <w:caps/>
    </w:rPr>
  </w:style>
  <w:style w:type="paragraph" w:customStyle="1" w:styleId="Title4">
    <w:name w:val="Title 4"/>
    <w:basedOn w:val="Annextitle"/>
    <w:next w:val="Normal"/>
    <w:rsid w:val="000F5A95"/>
    <w:pPr>
      <w:spacing w:after="120"/>
    </w:pPr>
    <w:rPr>
      <w:b w:val="0"/>
    </w:rPr>
  </w:style>
  <w:style w:type="paragraph" w:customStyle="1" w:styleId="dnum">
    <w:name w:val="dnum"/>
    <w:basedOn w:val="Normal"/>
    <w:rsid w:val="000F5A95"/>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F5A95"/>
    <w:pPr>
      <w:keepNext/>
      <w:keepLines/>
      <w:spacing w:before="720"/>
      <w:jc w:val="center"/>
    </w:pPr>
    <w:rPr>
      <w:caps/>
      <w:sz w:val="28"/>
    </w:rPr>
  </w:style>
  <w:style w:type="paragraph" w:customStyle="1" w:styleId="Rectitle">
    <w:name w:val="Rec_title"/>
    <w:basedOn w:val="Normal"/>
    <w:next w:val="Heading1"/>
    <w:rsid w:val="000F5A95"/>
    <w:pPr>
      <w:keepNext/>
      <w:keepLines/>
      <w:jc w:val="center"/>
    </w:pPr>
    <w:rPr>
      <w:b/>
      <w:sz w:val="28"/>
    </w:rPr>
  </w:style>
  <w:style w:type="paragraph" w:customStyle="1" w:styleId="Recref">
    <w:name w:val="Rec_ref"/>
    <w:basedOn w:val="Rectitle"/>
    <w:next w:val="Recdate"/>
    <w:rsid w:val="000F5A95"/>
    <w:rPr>
      <w:rFonts w:ascii="Times New Roman" w:hAnsi="Times New Roman"/>
      <w:b w:val="0"/>
      <w:sz w:val="24"/>
    </w:rPr>
  </w:style>
  <w:style w:type="paragraph" w:customStyle="1" w:styleId="Recdate">
    <w:name w:val="Rec_date"/>
    <w:basedOn w:val="Recref"/>
    <w:next w:val="Normalaftertitle"/>
    <w:rsid w:val="000F5A95"/>
    <w:pPr>
      <w:jc w:val="right"/>
    </w:pPr>
    <w:rPr>
      <w:sz w:val="22"/>
    </w:rPr>
  </w:style>
  <w:style w:type="paragraph" w:customStyle="1" w:styleId="Questiondate">
    <w:name w:val="Question_date"/>
    <w:basedOn w:val="Recdate"/>
    <w:next w:val="Normalaftertitle"/>
    <w:rsid w:val="000F5A95"/>
  </w:style>
  <w:style w:type="paragraph" w:customStyle="1" w:styleId="QuestionNo">
    <w:name w:val="Question_No"/>
    <w:basedOn w:val="RecNo"/>
    <w:next w:val="Questiontitle"/>
    <w:rsid w:val="000F5A95"/>
  </w:style>
  <w:style w:type="paragraph" w:customStyle="1" w:styleId="Questiontitle">
    <w:name w:val="Question_title"/>
    <w:basedOn w:val="Rectitle"/>
    <w:next w:val="Questionref"/>
    <w:rsid w:val="000F5A95"/>
  </w:style>
  <w:style w:type="paragraph" w:customStyle="1" w:styleId="Questionref">
    <w:name w:val="Question_ref"/>
    <w:basedOn w:val="Recref"/>
    <w:next w:val="Questiondate"/>
    <w:rsid w:val="000F5A95"/>
  </w:style>
  <w:style w:type="paragraph" w:customStyle="1" w:styleId="Reftext">
    <w:name w:val="Ref_text"/>
    <w:basedOn w:val="Normal"/>
    <w:rsid w:val="000F5A95"/>
    <w:pPr>
      <w:ind w:left="567" w:hanging="567"/>
    </w:pPr>
  </w:style>
  <w:style w:type="paragraph" w:customStyle="1" w:styleId="Reftitle">
    <w:name w:val="Ref_title"/>
    <w:basedOn w:val="Normal"/>
    <w:next w:val="Reftext"/>
    <w:rsid w:val="000F5A95"/>
    <w:pPr>
      <w:spacing w:before="480"/>
      <w:jc w:val="center"/>
    </w:pPr>
    <w:rPr>
      <w:caps/>
      <w:sz w:val="28"/>
    </w:rPr>
  </w:style>
  <w:style w:type="paragraph" w:customStyle="1" w:styleId="Repdate">
    <w:name w:val="Rep_date"/>
    <w:basedOn w:val="Recdate"/>
    <w:next w:val="Normalaftertitle"/>
    <w:rsid w:val="000F5A95"/>
  </w:style>
  <w:style w:type="paragraph" w:customStyle="1" w:styleId="RepNo">
    <w:name w:val="Rep_No"/>
    <w:basedOn w:val="RecNo"/>
    <w:next w:val="Reptitle"/>
    <w:rsid w:val="000F5A95"/>
  </w:style>
  <w:style w:type="paragraph" w:customStyle="1" w:styleId="Reptitle">
    <w:name w:val="Rep_title"/>
    <w:basedOn w:val="Rectitle"/>
    <w:next w:val="Repref"/>
    <w:rsid w:val="000F5A95"/>
  </w:style>
  <w:style w:type="paragraph" w:customStyle="1" w:styleId="Repref">
    <w:name w:val="Rep_ref"/>
    <w:basedOn w:val="Recref"/>
    <w:next w:val="Repdate"/>
    <w:rsid w:val="000F5A95"/>
  </w:style>
  <w:style w:type="paragraph" w:customStyle="1" w:styleId="Resdate">
    <w:name w:val="Res_date"/>
    <w:basedOn w:val="Recdate"/>
    <w:next w:val="Normalaftertitle"/>
    <w:rsid w:val="000F5A95"/>
  </w:style>
  <w:style w:type="paragraph" w:customStyle="1" w:styleId="ResNo">
    <w:name w:val="Res_No"/>
    <w:basedOn w:val="AnnexNo"/>
    <w:next w:val="Restitle"/>
    <w:rsid w:val="000F5A95"/>
  </w:style>
  <w:style w:type="paragraph" w:customStyle="1" w:styleId="Restitle">
    <w:name w:val="Res_title"/>
    <w:basedOn w:val="Annextitle"/>
    <w:next w:val="Normal"/>
    <w:rsid w:val="000F5A95"/>
  </w:style>
  <w:style w:type="paragraph" w:customStyle="1" w:styleId="Resref">
    <w:name w:val="Res_ref"/>
    <w:basedOn w:val="Recref"/>
    <w:next w:val="Resdate"/>
    <w:rsid w:val="000F5A95"/>
  </w:style>
  <w:style w:type="paragraph" w:customStyle="1" w:styleId="SectionNo">
    <w:name w:val="Section_No"/>
    <w:basedOn w:val="AnnexNo"/>
    <w:next w:val="Sectiontitle"/>
    <w:rsid w:val="000F5A95"/>
  </w:style>
  <w:style w:type="paragraph" w:customStyle="1" w:styleId="Sectiontitle">
    <w:name w:val="Section_title"/>
    <w:basedOn w:val="Normal"/>
    <w:next w:val="Normalaftertitle"/>
    <w:rsid w:val="000F5A95"/>
    <w:rPr>
      <w:sz w:val="28"/>
    </w:rPr>
  </w:style>
  <w:style w:type="paragraph" w:customStyle="1" w:styleId="SpecialFooter">
    <w:name w:val="Special Footer"/>
    <w:basedOn w:val="Footer"/>
    <w:rsid w:val="000F5A95"/>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F5A95"/>
    <w:pPr>
      <w:keepNext/>
      <w:keepLines/>
      <w:spacing w:before="80" w:after="80"/>
      <w:jc w:val="center"/>
    </w:pPr>
    <w:rPr>
      <w:b/>
    </w:rPr>
  </w:style>
  <w:style w:type="paragraph" w:customStyle="1" w:styleId="Tablelegend">
    <w:name w:val="Table_legend"/>
    <w:basedOn w:val="Tabletext"/>
    <w:rsid w:val="000F5A95"/>
    <w:pPr>
      <w:ind w:left="284" w:hanging="284"/>
    </w:pPr>
    <w:rPr>
      <w:sz w:val="20"/>
    </w:rPr>
  </w:style>
  <w:style w:type="paragraph" w:customStyle="1" w:styleId="Tableref">
    <w:name w:val="Table_ref"/>
    <w:basedOn w:val="Normal"/>
    <w:next w:val="Tabletitle"/>
    <w:rsid w:val="000F5A95"/>
    <w:pPr>
      <w:keepNext/>
      <w:keepLines/>
      <w:jc w:val="center"/>
    </w:pPr>
    <w:rPr>
      <w:sz w:val="20"/>
    </w:rPr>
  </w:style>
  <w:style w:type="paragraph" w:customStyle="1" w:styleId="Reasons">
    <w:name w:val="Reasons"/>
    <w:basedOn w:val="Normal"/>
    <w:qFormat/>
    <w:rsid w:val="000F5A95"/>
  </w:style>
  <w:style w:type="paragraph" w:customStyle="1" w:styleId="FigureNo">
    <w:name w:val="Figure_No"/>
    <w:basedOn w:val="Normal"/>
    <w:next w:val="Figuretitle"/>
    <w:rsid w:val="000F5A95"/>
    <w:pPr>
      <w:keepNext/>
      <w:keepLines/>
      <w:spacing w:before="48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Normal"/>
    <w:qFormat/>
    <w:rsid w:val="000F5A95"/>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0F5A95"/>
    <w:rPr>
      <w:rFonts w:ascii="Calibri" w:hAnsi="Calibri"/>
      <w:sz w:val="18"/>
      <w:lang w:val="fr-FR" w:eastAsia="en-US"/>
    </w:rPr>
  </w:style>
  <w:style w:type="table" w:styleId="TableGrid">
    <w:name w:val="Table Grid"/>
    <w:basedOn w:val="TableNormal"/>
    <w:uiPriority w:val="39"/>
    <w:rsid w:val="000F5A9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5A95"/>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 w:type="paragraph" w:customStyle="1" w:styleId="firstfooter0">
    <w:name w:val="firstfooter"/>
    <w:basedOn w:val="Normal"/>
    <w:rsid w:val="000F5A9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Object">
    <w:name w:val="Object"/>
    <w:basedOn w:val="Subject"/>
    <w:next w:val="Subject"/>
    <w:rsid w:val="000F5A95"/>
  </w:style>
  <w:style w:type="paragraph" w:customStyle="1" w:styleId="Referencetext">
    <w:name w:val="Reference_text"/>
    <w:basedOn w:val="Normal"/>
    <w:rsid w:val="000F5A95"/>
    <w:pPr>
      <w:framePr w:hSpace="181" w:wrap="around" w:vAnchor="page" w:hAnchor="page" w:x="1589" w:y="2314"/>
      <w:spacing w:after="160"/>
    </w:pPr>
    <w:rPr>
      <w:i/>
      <w:iCs/>
      <w:sz w:val="22"/>
      <w:szCs w:val="22"/>
    </w:rPr>
  </w:style>
  <w:style w:type="character" w:customStyle="1" w:styleId="Heading1Char">
    <w:name w:val="Heading 1 Char"/>
    <w:basedOn w:val="DefaultParagraphFont"/>
    <w:link w:val="Heading1"/>
    <w:rsid w:val="00131CDA"/>
    <w:rPr>
      <w:rFonts w:ascii="Calibri" w:hAnsi="Calibri"/>
      <w:b/>
      <w:sz w:val="2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07733">
      <w:bodyDiv w:val="1"/>
      <w:marLeft w:val="0"/>
      <w:marRight w:val="0"/>
      <w:marTop w:val="0"/>
      <w:marBottom w:val="0"/>
      <w:divBdr>
        <w:top w:val="none" w:sz="0" w:space="0" w:color="auto"/>
        <w:left w:val="none" w:sz="0" w:space="0" w:color="auto"/>
        <w:bottom w:val="none" w:sz="0" w:space="0" w:color="auto"/>
        <w:right w:val="none" w:sz="0" w:space="0" w:color="auto"/>
      </w:divBdr>
    </w:div>
    <w:div w:id="345593872">
      <w:bodyDiv w:val="1"/>
      <w:marLeft w:val="0"/>
      <w:marRight w:val="0"/>
      <w:marTop w:val="0"/>
      <w:marBottom w:val="0"/>
      <w:divBdr>
        <w:top w:val="none" w:sz="0" w:space="0" w:color="auto"/>
        <w:left w:val="none" w:sz="0" w:space="0" w:color="auto"/>
        <w:bottom w:val="none" w:sz="0" w:space="0" w:color="auto"/>
        <w:right w:val="none" w:sz="0" w:space="0" w:color="auto"/>
      </w:divBdr>
    </w:div>
    <w:div w:id="359169385">
      <w:bodyDiv w:val="1"/>
      <w:marLeft w:val="0"/>
      <w:marRight w:val="0"/>
      <w:marTop w:val="0"/>
      <w:marBottom w:val="0"/>
      <w:divBdr>
        <w:top w:val="none" w:sz="0" w:space="0" w:color="auto"/>
        <w:left w:val="none" w:sz="0" w:space="0" w:color="auto"/>
        <w:bottom w:val="none" w:sz="0" w:space="0" w:color="auto"/>
        <w:right w:val="none" w:sz="0" w:space="0" w:color="auto"/>
      </w:divBdr>
    </w:div>
    <w:div w:id="515198467">
      <w:bodyDiv w:val="1"/>
      <w:marLeft w:val="0"/>
      <w:marRight w:val="0"/>
      <w:marTop w:val="0"/>
      <w:marBottom w:val="0"/>
      <w:divBdr>
        <w:top w:val="none" w:sz="0" w:space="0" w:color="auto"/>
        <w:left w:val="none" w:sz="0" w:space="0" w:color="auto"/>
        <w:bottom w:val="none" w:sz="0" w:space="0" w:color="auto"/>
        <w:right w:val="none" w:sz="0" w:space="0" w:color="auto"/>
      </w:divBdr>
    </w:div>
    <w:div w:id="56665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23-SG-CIR-0044/es" TargetMode="External"/><Relationship Id="rId18" Type="http://schemas.openxmlformats.org/officeDocument/2006/relationships/hyperlink" Target="https://www.itu.int/md/S24-CL-C-0113/es" TargetMode="External"/><Relationship Id="rId26" Type="http://schemas.openxmlformats.org/officeDocument/2006/relationships/hyperlink" Target="https://www.itu.int/md/S25-DM-CIR-1006/es" TargetMode="External"/><Relationship Id="rId3" Type="http://schemas.openxmlformats.org/officeDocument/2006/relationships/webSettings" Target="webSettings.xml"/><Relationship Id="rId21" Type="http://schemas.openxmlformats.org/officeDocument/2006/relationships/hyperlink" Target="https://www.itu.int/md/S25-SG-CIR-0047/es" TargetMode="External"/><Relationship Id="rId34" Type="http://schemas.openxmlformats.org/officeDocument/2006/relationships/footer" Target="footer2.xml"/><Relationship Id="rId7" Type="http://schemas.openxmlformats.org/officeDocument/2006/relationships/hyperlink" Target="https://www.itu.int/en/council/Documents/basic-texts-2023/RES-077-s.pdf" TargetMode="External"/><Relationship Id="rId12" Type="http://schemas.openxmlformats.org/officeDocument/2006/relationships/hyperlink" Target="https://www.itu.int/md/S23-C23ADD-C-0004/es" TargetMode="External"/><Relationship Id="rId17" Type="http://schemas.openxmlformats.org/officeDocument/2006/relationships/hyperlink" Target="https://www.itu.int/md/S24-CL-INF-0013/es" TargetMode="External"/><Relationship Id="rId25" Type="http://schemas.openxmlformats.org/officeDocument/2006/relationships/hyperlink" Target="https://www.itu.int/md/S25-DM-CIR-1007/es" TargetMode="External"/><Relationship Id="rId3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www.itu.int/md/S24-CL-C-0086/es" TargetMode="External"/><Relationship Id="rId20" Type="http://schemas.openxmlformats.org/officeDocument/2006/relationships/hyperlink" Target="https://www.itu.int/md/S25-CL-C-0004/es" TargetMode="External"/><Relationship Id="rId29" Type="http://schemas.openxmlformats.org/officeDocument/2006/relationships/hyperlink" Target="https://www.itu.int/md/S26-SG-CIR-0021/es" TargetMode="External"/><Relationship Id="rId1" Type="http://schemas.openxmlformats.org/officeDocument/2006/relationships/styles" Target="styles.xml"/><Relationship Id="rId6" Type="http://schemas.openxmlformats.org/officeDocument/2006/relationships/hyperlink" Target="https://www.itu.int/pub/S-CONF-PLEN-2022" TargetMode="External"/><Relationship Id="rId11" Type="http://schemas.openxmlformats.org/officeDocument/2006/relationships/hyperlink" Target="https://www.itu.int/md/S23-CL-C-0107/es" TargetMode="External"/><Relationship Id="rId24" Type="http://schemas.openxmlformats.org/officeDocument/2006/relationships/hyperlink" Target="https://www.itu.int/md/S25-SG-CIR-0047/es" TargetMode="External"/><Relationship Id="rId32"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www.itu.int/md/S24-CL-C-0004/es" TargetMode="External"/><Relationship Id="rId23" Type="http://schemas.openxmlformats.org/officeDocument/2006/relationships/hyperlink" Target="https://www.itu.int/md/S25-CL-C-0004/es" TargetMode="External"/><Relationship Id="rId28" Type="http://schemas.openxmlformats.org/officeDocument/2006/relationships/hyperlink" Target="https://www.itu.int/net4/proposals/CPI/PP26" TargetMode="External"/><Relationship Id="rId36" Type="http://schemas.openxmlformats.org/officeDocument/2006/relationships/theme" Target="theme/theme1.xml"/><Relationship Id="rId10" Type="http://schemas.openxmlformats.org/officeDocument/2006/relationships/hyperlink" Target="https://www.itu.int/md/S23-CL-C-0084/es" TargetMode="External"/><Relationship Id="rId19" Type="http://schemas.openxmlformats.org/officeDocument/2006/relationships/hyperlink" Target="https://www.itu.int/md/S24-SG-CIR-0011/es" TargetMode="External"/><Relationship Id="rId31" Type="http://schemas.openxmlformats.org/officeDocument/2006/relationships/hyperlink" Target="https://pp.itu.int/2026/en/about/pp-preparatory/" TargetMode="External"/><Relationship Id="rId4" Type="http://schemas.openxmlformats.org/officeDocument/2006/relationships/footnotes" Target="footnotes.xml"/><Relationship Id="rId9" Type="http://schemas.openxmlformats.org/officeDocument/2006/relationships/hyperlink" Target="https://www.itu.int/md/S23-CL-C-0004/es" TargetMode="External"/><Relationship Id="rId14" Type="http://schemas.openxmlformats.org/officeDocument/2006/relationships/hyperlink" Target="https://www.itu.int/md/S23-SG-CIR-0053/es" TargetMode="External"/><Relationship Id="rId22" Type="http://schemas.openxmlformats.org/officeDocument/2006/relationships/hyperlink" Target="https://www.itu.int/md/S25-SG-CIR-0048/es" TargetMode="External"/><Relationship Id="rId27" Type="http://schemas.openxmlformats.org/officeDocument/2006/relationships/hyperlink" Target="https://www.itu.int/md/S25-SG-CIR-0048/es" TargetMode="External"/><Relationship Id="rId30" Type="http://schemas.openxmlformats.org/officeDocument/2006/relationships/hyperlink" Target="https://www.itu.int/md/S26-CL-INF-0013/es" TargetMode="External"/><Relationship Id="rId35" Type="http://schemas.openxmlformats.org/officeDocument/2006/relationships/fontTable" Target="fontTable.xml"/><Relationship Id="rId8" Type="http://schemas.openxmlformats.org/officeDocument/2006/relationships/hyperlink" Target="https://www.itu.int/md/S23-C23ADD-C-0014/e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S%20-%20ITU\GS\PS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PS_Council26.dotx</Template>
  <TotalTime>3</TotalTime>
  <Pages>5</Pages>
  <Words>2143</Words>
  <Characters>12997</Characters>
  <Application>Microsoft Office Word</Application>
  <DocSecurity>0</DocSecurity>
  <Lines>228</Lines>
  <Paragraphs>97</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International Telecommunication Union</Company>
  <LinksUpToDate>false</LinksUpToDate>
  <CharactersWithSpaces>15043</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Preparativos para la Conferencia de Plenipotenciarios de 2026</dc:title>
  <dc:subject>Consejo 2026 de la UIT</dc:subject>
  <cp:keywords>C26; C2026; Council 2026; PP26</cp:keywords>
  <dc:description/>
  <cp:lastPrinted>2006-03-24T09:51:00Z</cp:lastPrinted>
  <dcterms:created xsi:type="dcterms:W3CDTF">2026-04-07T11:19:00Z</dcterms:created>
  <dcterms:modified xsi:type="dcterms:W3CDTF">2026-04-07T11:22:00Z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