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F1628" w14:paraId="70539ADE" w14:textId="77777777" w:rsidTr="00796BDB">
        <w:trPr>
          <w:cantSplit/>
          <w:trHeight w:val="23"/>
        </w:trPr>
        <w:tc>
          <w:tcPr>
            <w:tcW w:w="3969" w:type="dxa"/>
            <w:vMerge w:val="restart"/>
            <w:tcMar>
              <w:left w:w="0" w:type="dxa"/>
            </w:tcMar>
          </w:tcPr>
          <w:p w14:paraId="1330B43A" w14:textId="159FB9AA" w:rsidR="00D72F49" w:rsidRPr="001F1628" w:rsidRDefault="00D72F49" w:rsidP="00796BDB">
            <w:pPr>
              <w:tabs>
                <w:tab w:val="left" w:pos="851"/>
              </w:tabs>
              <w:spacing w:before="0" w:line="240" w:lineRule="atLeast"/>
              <w:rPr>
                <w:b/>
              </w:rPr>
            </w:pPr>
            <w:r w:rsidRPr="001F1628">
              <w:rPr>
                <w:b/>
              </w:rPr>
              <w:t xml:space="preserve">Point de l'ordre du </w:t>
            </w:r>
            <w:proofErr w:type="gramStart"/>
            <w:r w:rsidRPr="001F1628">
              <w:rPr>
                <w:b/>
              </w:rPr>
              <w:t>jour:</w:t>
            </w:r>
            <w:proofErr w:type="gramEnd"/>
            <w:r w:rsidR="008D0C6D" w:rsidRPr="001F1628">
              <w:rPr>
                <w:b/>
              </w:rPr>
              <w:t xml:space="preserve"> </w:t>
            </w:r>
            <w:proofErr w:type="spellStart"/>
            <w:r w:rsidR="008D0C6D" w:rsidRPr="001F1628">
              <w:rPr>
                <w:b/>
                <w:bCs/>
                <w:color w:val="000000"/>
              </w:rPr>
              <w:t>PL</w:t>
            </w:r>
            <w:r w:rsidR="00D05490">
              <w:rPr>
                <w:b/>
                <w:bCs/>
                <w:color w:val="000000"/>
              </w:rPr>
              <w:t>-</w:t>
            </w:r>
            <w:r w:rsidR="00AC004D">
              <w:rPr>
                <w:b/>
                <w:bCs/>
                <w:color w:val="000000"/>
              </w:rPr>
              <w:t>3</w:t>
            </w:r>
            <w:proofErr w:type="spellEnd"/>
          </w:p>
        </w:tc>
        <w:tc>
          <w:tcPr>
            <w:tcW w:w="5245" w:type="dxa"/>
          </w:tcPr>
          <w:p w14:paraId="4E7EC4E0" w14:textId="6A043373" w:rsidR="00D72F49" w:rsidRPr="001F1628" w:rsidRDefault="00D72F49" w:rsidP="00796BDB">
            <w:pPr>
              <w:tabs>
                <w:tab w:val="left" w:pos="851"/>
              </w:tabs>
              <w:spacing w:before="0" w:line="240" w:lineRule="atLeast"/>
              <w:jc w:val="right"/>
              <w:rPr>
                <w:b/>
              </w:rPr>
            </w:pPr>
            <w:r w:rsidRPr="001F1628">
              <w:rPr>
                <w:b/>
              </w:rPr>
              <w:t>Document C2</w:t>
            </w:r>
            <w:r w:rsidR="00E4448E" w:rsidRPr="001F1628">
              <w:rPr>
                <w:b/>
              </w:rPr>
              <w:t>6</w:t>
            </w:r>
            <w:r w:rsidRPr="001F1628">
              <w:rPr>
                <w:b/>
              </w:rPr>
              <w:t>/</w:t>
            </w:r>
            <w:r w:rsidR="00AC004D">
              <w:rPr>
                <w:b/>
              </w:rPr>
              <w:t>4</w:t>
            </w:r>
            <w:r w:rsidRPr="001F1628">
              <w:rPr>
                <w:b/>
              </w:rPr>
              <w:t>-F</w:t>
            </w:r>
          </w:p>
        </w:tc>
      </w:tr>
      <w:tr w:rsidR="00D72F49" w:rsidRPr="001F1628" w14:paraId="6B3D23E9" w14:textId="77777777" w:rsidTr="00796BDB">
        <w:trPr>
          <w:cantSplit/>
        </w:trPr>
        <w:tc>
          <w:tcPr>
            <w:tcW w:w="3969" w:type="dxa"/>
            <w:vMerge/>
          </w:tcPr>
          <w:p w14:paraId="52691A27" w14:textId="77777777" w:rsidR="00D72F49" w:rsidRPr="001F1628" w:rsidRDefault="00D72F49" w:rsidP="00796BDB">
            <w:pPr>
              <w:tabs>
                <w:tab w:val="left" w:pos="851"/>
              </w:tabs>
              <w:spacing w:line="240" w:lineRule="atLeast"/>
              <w:rPr>
                <w:b/>
              </w:rPr>
            </w:pPr>
          </w:p>
        </w:tc>
        <w:tc>
          <w:tcPr>
            <w:tcW w:w="5245" w:type="dxa"/>
          </w:tcPr>
          <w:p w14:paraId="251D2C67" w14:textId="6A0F0B9D" w:rsidR="00D72F49" w:rsidRPr="001F1628" w:rsidRDefault="00AC004D" w:rsidP="00796BDB">
            <w:pPr>
              <w:tabs>
                <w:tab w:val="left" w:pos="851"/>
              </w:tabs>
              <w:spacing w:before="0"/>
              <w:jc w:val="right"/>
              <w:rPr>
                <w:b/>
              </w:rPr>
            </w:pPr>
            <w:r>
              <w:rPr>
                <w:b/>
                <w:bCs/>
                <w:color w:val="000000"/>
              </w:rPr>
              <w:t>27</w:t>
            </w:r>
            <w:r w:rsidR="008D0C6D" w:rsidRPr="001F1628">
              <w:rPr>
                <w:b/>
                <w:bCs/>
                <w:color w:val="000000"/>
              </w:rPr>
              <w:t xml:space="preserve"> mars 2026</w:t>
            </w:r>
          </w:p>
        </w:tc>
      </w:tr>
      <w:tr w:rsidR="00D72F49" w:rsidRPr="001F1628" w14:paraId="3E3C9B87" w14:textId="77777777" w:rsidTr="00796BDB">
        <w:trPr>
          <w:cantSplit/>
          <w:trHeight w:val="23"/>
        </w:trPr>
        <w:tc>
          <w:tcPr>
            <w:tcW w:w="3969" w:type="dxa"/>
            <w:vMerge/>
          </w:tcPr>
          <w:p w14:paraId="2397A033" w14:textId="77777777" w:rsidR="00D72F49" w:rsidRPr="001F1628" w:rsidRDefault="00D72F49" w:rsidP="00796BDB">
            <w:pPr>
              <w:tabs>
                <w:tab w:val="left" w:pos="851"/>
              </w:tabs>
              <w:spacing w:line="240" w:lineRule="atLeast"/>
              <w:rPr>
                <w:b/>
              </w:rPr>
            </w:pPr>
          </w:p>
        </w:tc>
        <w:tc>
          <w:tcPr>
            <w:tcW w:w="5245" w:type="dxa"/>
          </w:tcPr>
          <w:p w14:paraId="0AE9966D" w14:textId="77777777" w:rsidR="00D72F49" w:rsidRPr="001F1628" w:rsidRDefault="00D72F49" w:rsidP="00796BDB">
            <w:pPr>
              <w:tabs>
                <w:tab w:val="left" w:pos="851"/>
              </w:tabs>
              <w:spacing w:before="0" w:line="240" w:lineRule="atLeast"/>
              <w:jc w:val="right"/>
              <w:rPr>
                <w:b/>
              </w:rPr>
            </w:pPr>
            <w:proofErr w:type="gramStart"/>
            <w:r w:rsidRPr="001F1628">
              <w:rPr>
                <w:b/>
              </w:rPr>
              <w:t>Original:</w:t>
            </w:r>
            <w:proofErr w:type="gramEnd"/>
            <w:r w:rsidRPr="001F1628">
              <w:rPr>
                <w:b/>
              </w:rPr>
              <w:t xml:space="preserve"> anglais</w:t>
            </w:r>
          </w:p>
        </w:tc>
      </w:tr>
      <w:tr w:rsidR="00D72F49" w:rsidRPr="001F1628" w14:paraId="13ED3E54" w14:textId="77777777" w:rsidTr="00796BDB">
        <w:trPr>
          <w:cantSplit/>
          <w:trHeight w:val="23"/>
        </w:trPr>
        <w:tc>
          <w:tcPr>
            <w:tcW w:w="3969" w:type="dxa"/>
          </w:tcPr>
          <w:p w14:paraId="36277245" w14:textId="77777777" w:rsidR="00D72F49" w:rsidRPr="001F1628" w:rsidRDefault="00D72F49" w:rsidP="00796BDB">
            <w:pPr>
              <w:tabs>
                <w:tab w:val="left" w:pos="851"/>
              </w:tabs>
              <w:spacing w:line="240" w:lineRule="atLeast"/>
              <w:rPr>
                <w:b/>
              </w:rPr>
            </w:pPr>
          </w:p>
        </w:tc>
        <w:tc>
          <w:tcPr>
            <w:tcW w:w="5245" w:type="dxa"/>
          </w:tcPr>
          <w:p w14:paraId="22578DF2" w14:textId="77777777" w:rsidR="00D72F49" w:rsidRPr="001F1628" w:rsidRDefault="00D72F49" w:rsidP="00796BDB">
            <w:pPr>
              <w:tabs>
                <w:tab w:val="left" w:pos="851"/>
              </w:tabs>
              <w:spacing w:before="0" w:line="240" w:lineRule="atLeast"/>
              <w:jc w:val="right"/>
              <w:rPr>
                <w:b/>
              </w:rPr>
            </w:pPr>
          </w:p>
        </w:tc>
      </w:tr>
      <w:tr w:rsidR="00D72F49" w:rsidRPr="001F1628" w14:paraId="458E4F0E" w14:textId="77777777" w:rsidTr="00796BDB">
        <w:trPr>
          <w:cantSplit/>
        </w:trPr>
        <w:tc>
          <w:tcPr>
            <w:tcW w:w="9214" w:type="dxa"/>
            <w:gridSpan w:val="2"/>
            <w:tcMar>
              <w:left w:w="0" w:type="dxa"/>
            </w:tcMar>
          </w:tcPr>
          <w:p w14:paraId="0F7CE5F3" w14:textId="77777777" w:rsidR="00D72F49" w:rsidRPr="001F1628" w:rsidRDefault="00D72F49" w:rsidP="00796BDB">
            <w:pPr>
              <w:pStyle w:val="Source"/>
              <w:jc w:val="left"/>
              <w:rPr>
                <w:sz w:val="34"/>
                <w:szCs w:val="34"/>
              </w:rPr>
            </w:pPr>
            <w:r w:rsidRPr="001F1628">
              <w:rPr>
                <w:rFonts w:cstheme="minorHAnsi"/>
                <w:color w:val="000000"/>
                <w:sz w:val="34"/>
                <w:szCs w:val="34"/>
              </w:rPr>
              <w:t xml:space="preserve">Rapport </w:t>
            </w:r>
            <w:r w:rsidR="00E95647" w:rsidRPr="001F1628">
              <w:rPr>
                <w:rFonts w:cstheme="minorHAnsi"/>
                <w:color w:val="000000"/>
                <w:sz w:val="34"/>
                <w:szCs w:val="34"/>
              </w:rPr>
              <w:t xml:space="preserve">de la </w:t>
            </w:r>
            <w:r w:rsidRPr="001F1628">
              <w:rPr>
                <w:rFonts w:cstheme="minorHAnsi"/>
                <w:color w:val="000000"/>
                <w:sz w:val="34"/>
                <w:szCs w:val="34"/>
              </w:rPr>
              <w:t>Secrétaire général</w:t>
            </w:r>
            <w:r w:rsidR="00E95647" w:rsidRPr="001F1628">
              <w:rPr>
                <w:rFonts w:cstheme="minorHAnsi"/>
                <w:color w:val="000000"/>
                <w:sz w:val="34"/>
                <w:szCs w:val="34"/>
              </w:rPr>
              <w:t>e</w:t>
            </w:r>
          </w:p>
        </w:tc>
      </w:tr>
      <w:tr w:rsidR="00D72F49" w:rsidRPr="001F1628" w14:paraId="42CD86F9" w14:textId="77777777" w:rsidTr="00796BDB">
        <w:trPr>
          <w:cantSplit/>
        </w:trPr>
        <w:tc>
          <w:tcPr>
            <w:tcW w:w="9214" w:type="dxa"/>
            <w:gridSpan w:val="2"/>
            <w:tcMar>
              <w:left w:w="0" w:type="dxa"/>
            </w:tcMar>
          </w:tcPr>
          <w:p w14:paraId="7F7B9344" w14:textId="53A15B47" w:rsidR="00D72F49" w:rsidRPr="002B326C" w:rsidRDefault="00D9548E" w:rsidP="00796BDB">
            <w:pPr>
              <w:pStyle w:val="Subtitle"/>
              <w:framePr w:hSpace="0" w:wrap="auto" w:hAnchor="text" w:xAlign="left" w:yAlign="inline"/>
              <w:rPr>
                <w:sz w:val="32"/>
                <w:szCs w:val="32"/>
                <w:lang w:val="fr-FR"/>
              </w:rPr>
            </w:pPr>
            <w:r w:rsidRPr="002B326C">
              <w:rPr>
                <w:color w:val="000000"/>
                <w:sz w:val="32"/>
                <w:szCs w:val="32"/>
                <w:lang w:val="fr-FR"/>
              </w:rPr>
              <w:t>TRAVAUX PRÉPARATOIRES EN VUE DE LA CONFÉRENCE DE PLÉNIPOTENTIAIRES DE 2026</w:t>
            </w:r>
          </w:p>
        </w:tc>
      </w:tr>
      <w:tr w:rsidR="00D72F49" w:rsidRPr="001F1628" w14:paraId="709BE9E5" w14:textId="77777777" w:rsidTr="00796BDB">
        <w:trPr>
          <w:cantSplit/>
        </w:trPr>
        <w:tc>
          <w:tcPr>
            <w:tcW w:w="9214" w:type="dxa"/>
            <w:gridSpan w:val="2"/>
            <w:tcBorders>
              <w:top w:val="single" w:sz="4" w:space="0" w:color="auto"/>
              <w:bottom w:val="single" w:sz="4" w:space="0" w:color="auto"/>
            </w:tcBorders>
            <w:tcMar>
              <w:left w:w="0" w:type="dxa"/>
            </w:tcMar>
          </w:tcPr>
          <w:p w14:paraId="61BFCE41" w14:textId="77777777" w:rsidR="00D72F49" w:rsidRPr="001F1628" w:rsidRDefault="00F37FE5" w:rsidP="00796BDB">
            <w:pPr>
              <w:spacing w:before="160"/>
              <w:rPr>
                <w:b/>
                <w:bCs/>
                <w:sz w:val="26"/>
                <w:szCs w:val="26"/>
              </w:rPr>
            </w:pPr>
            <w:r w:rsidRPr="001F1628">
              <w:rPr>
                <w:b/>
                <w:bCs/>
                <w:sz w:val="26"/>
                <w:szCs w:val="26"/>
              </w:rPr>
              <w:t>Objet</w:t>
            </w:r>
          </w:p>
          <w:p w14:paraId="723B0F7B" w14:textId="557F442B" w:rsidR="008D0C6D" w:rsidRPr="001F1628" w:rsidRDefault="00AC004D" w:rsidP="006920CD">
            <w:pPr>
              <w:jc w:val="both"/>
            </w:pPr>
            <w:r w:rsidRPr="00AC004D">
              <w:t>Le présent document a pour objet de présenter au Conseil un point sur l'état d'avancement des travaux préparatoires en vue de la prochaine Conférence de plénipotentiaires (PP-26)</w:t>
            </w:r>
            <w:r w:rsidR="008D0C6D" w:rsidRPr="001F1628">
              <w:t>.</w:t>
            </w:r>
          </w:p>
          <w:p w14:paraId="5BFE0F32" w14:textId="77777777" w:rsidR="00D72F49" w:rsidRPr="001F1628" w:rsidRDefault="00D72F49" w:rsidP="00796BDB">
            <w:pPr>
              <w:spacing w:before="160"/>
              <w:rPr>
                <w:b/>
                <w:bCs/>
                <w:sz w:val="26"/>
                <w:szCs w:val="26"/>
              </w:rPr>
            </w:pPr>
            <w:proofErr w:type="gramStart"/>
            <w:r w:rsidRPr="001F1628">
              <w:rPr>
                <w:b/>
                <w:bCs/>
                <w:sz w:val="26"/>
                <w:szCs w:val="26"/>
              </w:rPr>
              <w:t>Suite à</w:t>
            </w:r>
            <w:proofErr w:type="gramEnd"/>
            <w:r w:rsidRPr="001F1628">
              <w:rPr>
                <w:b/>
                <w:bCs/>
                <w:sz w:val="26"/>
                <w:szCs w:val="26"/>
              </w:rPr>
              <w:t xml:space="preserve"> donner par le Conseil</w:t>
            </w:r>
          </w:p>
          <w:p w14:paraId="3C99D9EA" w14:textId="4F0D6B52" w:rsidR="00D72F49" w:rsidRPr="001F1628" w:rsidRDefault="00AC004D" w:rsidP="006920CD">
            <w:pPr>
              <w:jc w:val="both"/>
            </w:pPr>
            <w:r>
              <w:rPr>
                <w:color w:val="000000"/>
              </w:rPr>
              <w:t xml:space="preserve">Le Conseil est invité à prendre </w:t>
            </w:r>
            <w:r w:rsidRPr="002B326C">
              <w:rPr>
                <w:b/>
                <w:bCs/>
                <w:color w:val="000000"/>
              </w:rPr>
              <w:t>note</w:t>
            </w:r>
            <w:r>
              <w:rPr>
                <w:color w:val="000000"/>
              </w:rPr>
              <w:t xml:space="preserve"> de l'état d'avancement des travaux préparatoires en vue de la PP-26</w:t>
            </w:r>
            <w:r w:rsidR="008D0C6D" w:rsidRPr="001F1628">
              <w:t>.</w:t>
            </w:r>
          </w:p>
          <w:p w14:paraId="7549BD4C" w14:textId="76AA994A" w:rsidR="00D72F49" w:rsidRPr="001F1628" w:rsidRDefault="00D72F49" w:rsidP="00796BDB">
            <w:pPr>
              <w:spacing w:before="160"/>
              <w:rPr>
                <w:b/>
                <w:bCs/>
                <w:sz w:val="26"/>
                <w:szCs w:val="26"/>
              </w:rPr>
            </w:pPr>
            <w:r w:rsidRPr="001F1628">
              <w:rPr>
                <w:b/>
                <w:bCs/>
                <w:sz w:val="26"/>
                <w:szCs w:val="26"/>
              </w:rPr>
              <w:t xml:space="preserve">Lien pertinent avec le </w:t>
            </w:r>
            <w:r w:rsidR="00F37FE5" w:rsidRPr="001F1628">
              <w:rPr>
                <w:b/>
                <w:bCs/>
                <w:sz w:val="26"/>
                <w:szCs w:val="26"/>
              </w:rPr>
              <w:t>p</w:t>
            </w:r>
            <w:r w:rsidRPr="001F1628">
              <w:rPr>
                <w:b/>
                <w:bCs/>
                <w:sz w:val="26"/>
                <w:szCs w:val="26"/>
              </w:rPr>
              <w:t>lan stratégique</w:t>
            </w:r>
          </w:p>
          <w:p w14:paraId="21A490C4" w14:textId="0B250CD5" w:rsidR="00D72F49" w:rsidRDefault="00AC004D" w:rsidP="008948EB">
            <w:pPr>
              <w:rPr>
                <w:color w:val="000000"/>
              </w:rPr>
            </w:pPr>
            <w:r>
              <w:rPr>
                <w:color w:val="000000"/>
              </w:rPr>
              <w:t>Plates-formes fédératrices</w:t>
            </w:r>
            <w:r w:rsidR="008948EB">
              <w:rPr>
                <w:color w:val="000000"/>
              </w:rPr>
              <w:t>.</w:t>
            </w:r>
          </w:p>
          <w:p w14:paraId="23EA185A" w14:textId="77777777" w:rsidR="008948EB" w:rsidRDefault="008948EB" w:rsidP="008948EB">
            <w:pPr>
              <w:rPr>
                <w:b/>
                <w:bCs/>
                <w:color w:val="000000"/>
              </w:rPr>
            </w:pPr>
            <w:r>
              <w:rPr>
                <w:b/>
                <w:bCs/>
                <w:color w:val="000000"/>
              </w:rPr>
              <w:t>Incidences financières</w:t>
            </w:r>
          </w:p>
          <w:p w14:paraId="4315DE08" w14:textId="44E707A1" w:rsidR="008948EB" w:rsidRDefault="00AC004D" w:rsidP="008948EB">
            <w:pPr>
              <w:rPr>
                <w:szCs w:val="24"/>
              </w:rPr>
            </w:pPr>
            <w:r>
              <w:rPr>
                <w:color w:val="000000"/>
              </w:rPr>
              <w:t>Dans le cadre du budget alloué pour 2024-2025 et du budget prévu pour 2026-2027</w:t>
            </w:r>
            <w:r w:rsidR="008948EB">
              <w:rPr>
                <w:szCs w:val="24"/>
              </w:rPr>
              <w:t>.</w:t>
            </w:r>
          </w:p>
          <w:p w14:paraId="1547D6CC" w14:textId="77777777" w:rsidR="008948EB" w:rsidRDefault="008948EB" w:rsidP="008948EB">
            <w:pPr>
              <w:rPr>
                <w:color w:val="000000"/>
              </w:rPr>
            </w:pPr>
            <w:r>
              <w:rPr>
                <w:color w:val="000000"/>
              </w:rPr>
              <w:t>_______________</w:t>
            </w:r>
          </w:p>
          <w:p w14:paraId="0B81F611" w14:textId="77777777" w:rsidR="008948EB" w:rsidRDefault="008948EB" w:rsidP="008948EB">
            <w:pPr>
              <w:rPr>
                <w:b/>
                <w:bCs/>
                <w:color w:val="000000"/>
              </w:rPr>
            </w:pPr>
            <w:r>
              <w:rPr>
                <w:b/>
                <w:bCs/>
                <w:color w:val="000000"/>
              </w:rPr>
              <w:t>Références</w:t>
            </w:r>
          </w:p>
          <w:p w14:paraId="4AE28F2F" w14:textId="655AD016" w:rsidR="008948EB" w:rsidRPr="00D9548E" w:rsidRDefault="00AC004D" w:rsidP="002B2E57">
            <w:pPr>
              <w:spacing w:after="120"/>
              <w:rPr>
                <w:sz w:val="22"/>
                <w:szCs w:val="22"/>
              </w:rPr>
            </w:pPr>
            <w:r w:rsidRPr="00D9548E">
              <w:rPr>
                <w:i/>
                <w:iCs/>
                <w:sz w:val="22"/>
                <w:szCs w:val="22"/>
                <w:lang w:val="fr-CH"/>
              </w:rPr>
              <w:t xml:space="preserve">Numéro </w:t>
            </w:r>
            <w:hyperlink r:id="rId8" w:history="1">
              <w:r w:rsidRPr="00D9548E">
                <w:rPr>
                  <w:rStyle w:val="Hyperlink"/>
                  <w:rFonts w:eastAsia="Times New Roman" w:cs="Times New Roman"/>
                  <w:i/>
                  <w:iCs/>
                  <w:sz w:val="22"/>
                  <w:lang w:val="fr-CH"/>
                </w:rPr>
                <w:t>2</w:t>
              </w:r>
            </w:hyperlink>
            <w:r w:rsidRPr="00D9548E">
              <w:rPr>
                <w:i/>
                <w:iCs/>
                <w:sz w:val="22"/>
                <w:szCs w:val="22"/>
                <w:lang w:val="fr-CH"/>
              </w:rPr>
              <w:t xml:space="preserve"> de la Convention de </w:t>
            </w:r>
            <w:proofErr w:type="gramStart"/>
            <w:r w:rsidRPr="00D9548E">
              <w:rPr>
                <w:i/>
                <w:iCs/>
                <w:sz w:val="22"/>
                <w:szCs w:val="22"/>
                <w:lang w:val="fr-CH"/>
              </w:rPr>
              <w:t>l'UIT;</w:t>
            </w:r>
            <w:proofErr w:type="gramEnd"/>
            <w:r w:rsidRPr="00D9548E">
              <w:rPr>
                <w:i/>
                <w:iCs/>
                <w:sz w:val="22"/>
                <w:szCs w:val="22"/>
                <w:lang w:val="fr-CH"/>
              </w:rPr>
              <w:t xml:space="preserve"> </w:t>
            </w:r>
            <w:hyperlink r:id="rId9" w:history="1">
              <w:r w:rsidRPr="00D9548E">
                <w:rPr>
                  <w:i/>
                  <w:iCs/>
                  <w:color w:val="000000"/>
                  <w:sz w:val="22"/>
                  <w:szCs w:val="22"/>
                  <w:lang w:val="fr-CH"/>
                </w:rPr>
                <w:t xml:space="preserve">Résolution </w:t>
              </w:r>
              <w:r w:rsidRPr="00D9548E">
                <w:rPr>
                  <w:rStyle w:val="Hyperlink"/>
                  <w:i/>
                  <w:iCs/>
                  <w:sz w:val="22"/>
                </w:rPr>
                <w:t>77</w:t>
              </w:r>
              <w:r w:rsidRPr="00D9548E">
                <w:rPr>
                  <w:i/>
                  <w:iCs/>
                  <w:color w:val="000000"/>
                  <w:sz w:val="22"/>
                  <w:szCs w:val="22"/>
                  <w:lang w:val="fr-CH"/>
                </w:rPr>
                <w:t xml:space="preserve"> (Rév. Bucarest, 2022) de la Conférence de plénipotentiaires; Décision </w:t>
              </w:r>
              <w:r w:rsidRPr="00D9548E">
                <w:rPr>
                  <w:rStyle w:val="Hyperlink"/>
                  <w:i/>
                  <w:iCs/>
                  <w:sz w:val="22"/>
                </w:rPr>
                <w:t>636</w:t>
              </w:r>
              <w:r w:rsidR="002B326C" w:rsidRPr="00D9548E">
                <w:rPr>
                  <w:rStyle w:val="Hyperlink"/>
                  <w:i/>
                  <w:iCs/>
                  <w:sz w:val="22"/>
                </w:rPr>
                <w:t xml:space="preserve"> </w:t>
              </w:r>
              <w:r w:rsidRPr="00D9548E">
                <w:rPr>
                  <w:i/>
                  <w:iCs/>
                  <w:color w:val="000000"/>
                  <w:sz w:val="22"/>
                  <w:szCs w:val="22"/>
                  <w:lang w:val="fr-CH"/>
                </w:rPr>
                <w:t>(C23); Documents</w:t>
              </w:r>
              <w:r w:rsidR="0057329D" w:rsidRPr="00D9548E">
                <w:rPr>
                  <w:i/>
                  <w:iCs/>
                  <w:color w:val="000000"/>
                  <w:sz w:val="22"/>
                  <w:szCs w:val="22"/>
                  <w:lang w:val="fr-CH"/>
                </w:rPr>
                <w:t xml:space="preserve"> </w:t>
              </w:r>
              <w:hyperlink r:id="rId10" w:history="1">
                <w:r w:rsidR="0057329D" w:rsidRPr="00D9548E">
                  <w:rPr>
                    <w:rStyle w:val="Hyperlink"/>
                    <w:i/>
                    <w:iCs/>
                    <w:sz w:val="22"/>
                  </w:rPr>
                  <w:t>C23/4</w:t>
                </w:r>
              </w:hyperlink>
              <w:r w:rsidR="0057329D" w:rsidRPr="00D9548E">
                <w:rPr>
                  <w:i/>
                  <w:iCs/>
                  <w:sz w:val="22"/>
                  <w:szCs w:val="22"/>
                </w:rPr>
                <w:t xml:space="preserve">, </w:t>
              </w:r>
              <w:hyperlink r:id="rId11" w:history="1">
                <w:r w:rsidR="0057329D" w:rsidRPr="00D9548E">
                  <w:rPr>
                    <w:rStyle w:val="Hyperlink"/>
                    <w:i/>
                    <w:iCs/>
                    <w:sz w:val="22"/>
                  </w:rPr>
                  <w:t>C23/84</w:t>
                </w:r>
              </w:hyperlink>
              <w:r w:rsidR="0057329D" w:rsidRPr="00D9548E">
                <w:rPr>
                  <w:i/>
                  <w:iCs/>
                  <w:sz w:val="22"/>
                  <w:szCs w:val="22"/>
                </w:rPr>
                <w:t xml:space="preserve">, </w:t>
              </w:r>
              <w:hyperlink r:id="rId12" w:history="1">
                <w:r w:rsidR="0057329D" w:rsidRPr="00D9548E">
                  <w:rPr>
                    <w:rStyle w:val="Hyperlink"/>
                    <w:i/>
                    <w:iCs/>
                    <w:sz w:val="22"/>
                  </w:rPr>
                  <w:t>C23/107</w:t>
                </w:r>
              </w:hyperlink>
              <w:r w:rsidR="0057329D" w:rsidRPr="00D9548E">
                <w:rPr>
                  <w:i/>
                  <w:iCs/>
                  <w:sz w:val="22"/>
                  <w:szCs w:val="22"/>
                </w:rPr>
                <w:t xml:space="preserve">, </w:t>
              </w:r>
              <w:hyperlink r:id="rId13" w:history="1">
                <w:r w:rsidR="0016011B" w:rsidRPr="00D9548E">
                  <w:rPr>
                    <w:rStyle w:val="Hyperlink"/>
                    <w:i/>
                    <w:iCs/>
                    <w:sz w:val="22"/>
                  </w:rPr>
                  <w:t>C23-ADD/4</w:t>
                </w:r>
              </w:hyperlink>
              <w:r w:rsidR="0016011B" w:rsidRPr="00D9548E">
                <w:rPr>
                  <w:i/>
                  <w:iCs/>
                  <w:sz w:val="22"/>
                  <w:szCs w:val="22"/>
                </w:rPr>
                <w:t xml:space="preserve">, </w:t>
              </w:r>
              <w:hyperlink r:id="rId14" w:history="1">
                <w:r w:rsidR="0016011B" w:rsidRPr="00D9548E">
                  <w:rPr>
                    <w:rStyle w:val="Hyperlink"/>
                    <w:i/>
                    <w:iCs/>
                    <w:sz w:val="22"/>
                  </w:rPr>
                  <w:t>CL</w:t>
                </w:r>
                <w:r w:rsidR="0057329D" w:rsidRPr="00D9548E">
                  <w:rPr>
                    <w:rStyle w:val="Hyperlink"/>
                    <w:i/>
                    <w:iCs/>
                    <w:sz w:val="22"/>
                  </w:rPr>
                  <w:noBreakHyphen/>
                </w:r>
                <w:r w:rsidR="0016011B" w:rsidRPr="00D9548E">
                  <w:rPr>
                    <w:rStyle w:val="Hyperlink"/>
                    <w:i/>
                    <w:iCs/>
                    <w:sz w:val="22"/>
                  </w:rPr>
                  <w:t>23/44</w:t>
                </w:r>
              </w:hyperlink>
              <w:r w:rsidR="0016011B" w:rsidRPr="00D9548E">
                <w:rPr>
                  <w:i/>
                  <w:iCs/>
                  <w:sz w:val="22"/>
                  <w:szCs w:val="22"/>
                </w:rPr>
                <w:t xml:space="preserve">, </w:t>
              </w:r>
              <w:r w:rsidR="00D9548E">
                <w:rPr>
                  <w:i/>
                  <w:iCs/>
                  <w:sz w:val="22"/>
                  <w:szCs w:val="22"/>
                </w:rPr>
                <w:br/>
              </w:r>
              <w:hyperlink r:id="rId15" w:history="1">
                <w:r w:rsidR="0016011B" w:rsidRPr="00D9548E">
                  <w:rPr>
                    <w:rStyle w:val="Hyperlink"/>
                    <w:i/>
                    <w:iCs/>
                    <w:sz w:val="22"/>
                  </w:rPr>
                  <w:t>CL-23/53</w:t>
                </w:r>
              </w:hyperlink>
              <w:r w:rsidR="0016011B" w:rsidRPr="00D9548E">
                <w:rPr>
                  <w:i/>
                  <w:iCs/>
                  <w:sz w:val="22"/>
                  <w:szCs w:val="22"/>
                </w:rPr>
                <w:t xml:space="preserve">, </w:t>
              </w:r>
              <w:hyperlink r:id="rId16" w:history="1">
                <w:r w:rsidR="0016011B" w:rsidRPr="00D9548E">
                  <w:rPr>
                    <w:rStyle w:val="Hyperlink"/>
                    <w:rFonts w:asciiTheme="minorHAnsi" w:hAnsiTheme="minorHAnsi" w:cstheme="minorHAnsi"/>
                    <w:i/>
                    <w:iCs/>
                    <w:sz w:val="22"/>
                  </w:rPr>
                  <w:t>C24/4</w:t>
                </w:r>
              </w:hyperlink>
              <w:r w:rsidR="0016011B" w:rsidRPr="00D9548E">
                <w:rPr>
                  <w:rFonts w:asciiTheme="minorHAnsi" w:hAnsiTheme="minorHAnsi" w:cstheme="minorHAnsi"/>
                  <w:i/>
                  <w:iCs/>
                  <w:sz w:val="22"/>
                  <w:szCs w:val="22"/>
                </w:rPr>
                <w:t xml:space="preserve">, </w:t>
              </w:r>
              <w:hyperlink r:id="rId17" w:history="1">
                <w:r w:rsidR="0016011B" w:rsidRPr="00D9548E">
                  <w:rPr>
                    <w:rStyle w:val="Hyperlink"/>
                    <w:rFonts w:asciiTheme="minorHAnsi" w:hAnsiTheme="minorHAnsi" w:cstheme="minorHAnsi"/>
                    <w:i/>
                    <w:iCs/>
                    <w:sz w:val="22"/>
                  </w:rPr>
                  <w:t>C24/86</w:t>
                </w:r>
              </w:hyperlink>
              <w:r w:rsidR="0016011B" w:rsidRPr="00D9548E">
                <w:rPr>
                  <w:i/>
                  <w:iCs/>
                  <w:sz w:val="22"/>
                  <w:szCs w:val="22"/>
                </w:rPr>
                <w:t xml:space="preserve">, </w:t>
              </w:r>
              <w:hyperlink r:id="rId18" w:history="1">
                <w:r w:rsidR="0016011B" w:rsidRPr="00D9548E">
                  <w:rPr>
                    <w:rStyle w:val="Hyperlink"/>
                    <w:rFonts w:asciiTheme="minorHAnsi" w:hAnsiTheme="minorHAnsi" w:cstheme="minorHAnsi"/>
                    <w:i/>
                    <w:iCs/>
                    <w:sz w:val="22"/>
                  </w:rPr>
                  <w:t>C24/INF/13</w:t>
                </w:r>
              </w:hyperlink>
              <w:r w:rsidR="0016011B" w:rsidRPr="00D9548E">
                <w:rPr>
                  <w:i/>
                  <w:iCs/>
                  <w:sz w:val="22"/>
                  <w:szCs w:val="22"/>
                </w:rPr>
                <w:t xml:space="preserve">, </w:t>
              </w:r>
              <w:hyperlink r:id="rId19" w:history="1">
                <w:r w:rsidR="0016011B" w:rsidRPr="00D9548E">
                  <w:rPr>
                    <w:rStyle w:val="Hyperlink"/>
                    <w:rFonts w:asciiTheme="minorHAnsi" w:hAnsiTheme="minorHAnsi" w:cstheme="minorHAnsi"/>
                    <w:i/>
                    <w:iCs/>
                    <w:sz w:val="22"/>
                  </w:rPr>
                  <w:t>C24/113</w:t>
                </w:r>
              </w:hyperlink>
              <w:r w:rsidR="0016011B" w:rsidRPr="00D9548E">
                <w:rPr>
                  <w:i/>
                  <w:iCs/>
                  <w:sz w:val="22"/>
                  <w:szCs w:val="22"/>
                </w:rPr>
                <w:t xml:space="preserve">, </w:t>
              </w:r>
              <w:hyperlink r:id="rId20" w:history="1">
                <w:r w:rsidR="0016011B" w:rsidRPr="00D9548E">
                  <w:rPr>
                    <w:rStyle w:val="Hyperlink"/>
                    <w:i/>
                    <w:iCs/>
                    <w:sz w:val="22"/>
                  </w:rPr>
                  <w:t>CL-24/11</w:t>
                </w:r>
              </w:hyperlink>
              <w:r w:rsidR="0016011B" w:rsidRPr="00D9548E">
                <w:rPr>
                  <w:i/>
                  <w:iCs/>
                  <w:sz w:val="22"/>
                  <w:szCs w:val="22"/>
                </w:rPr>
                <w:t xml:space="preserve">, </w:t>
              </w:r>
              <w:hyperlink r:id="rId21" w:history="1">
                <w:r w:rsidR="0016011B" w:rsidRPr="00D9548E">
                  <w:rPr>
                    <w:rStyle w:val="Hyperlink"/>
                    <w:rFonts w:asciiTheme="minorHAnsi" w:hAnsiTheme="minorHAnsi" w:cstheme="minorHAnsi"/>
                    <w:i/>
                    <w:iCs/>
                    <w:sz w:val="22"/>
                  </w:rPr>
                  <w:t>C25/4</w:t>
                </w:r>
              </w:hyperlink>
              <w:r w:rsidR="0016011B" w:rsidRPr="00D9548E">
                <w:rPr>
                  <w:i/>
                  <w:iCs/>
                  <w:sz w:val="22"/>
                  <w:szCs w:val="22"/>
                </w:rPr>
                <w:t xml:space="preserve">, </w:t>
              </w:r>
              <w:hyperlink r:id="rId22" w:history="1">
                <w:r w:rsidR="0016011B" w:rsidRPr="00D9548E">
                  <w:rPr>
                    <w:rStyle w:val="Hyperlink"/>
                    <w:i/>
                    <w:iCs/>
                    <w:sz w:val="22"/>
                  </w:rPr>
                  <w:t>CL-25/47</w:t>
                </w:r>
              </w:hyperlink>
              <w:r w:rsidR="0016011B" w:rsidRPr="00D9548E">
                <w:rPr>
                  <w:i/>
                  <w:iCs/>
                  <w:sz w:val="22"/>
                  <w:szCs w:val="22"/>
                </w:rPr>
                <w:t xml:space="preserve">, </w:t>
              </w:r>
              <w:hyperlink r:id="rId23" w:history="1">
                <w:r w:rsidR="0016011B" w:rsidRPr="00D9548E">
                  <w:rPr>
                    <w:rStyle w:val="Hyperlink"/>
                    <w:i/>
                    <w:iCs/>
                    <w:sz w:val="22"/>
                  </w:rPr>
                  <w:t>CL</w:t>
                </w:r>
                <w:r w:rsidR="0057329D" w:rsidRPr="00D9548E">
                  <w:rPr>
                    <w:rStyle w:val="Hyperlink"/>
                    <w:i/>
                    <w:iCs/>
                    <w:sz w:val="22"/>
                  </w:rPr>
                  <w:noBreakHyphen/>
                </w:r>
                <w:r w:rsidR="0016011B" w:rsidRPr="00D9548E">
                  <w:rPr>
                    <w:rStyle w:val="Hyperlink"/>
                    <w:i/>
                    <w:iCs/>
                    <w:sz w:val="22"/>
                  </w:rPr>
                  <w:t>25/48</w:t>
                </w:r>
              </w:hyperlink>
              <w:r w:rsidRPr="00D9548E">
                <w:rPr>
                  <w:i/>
                  <w:iCs/>
                  <w:color w:val="000000"/>
                  <w:sz w:val="22"/>
                  <w:szCs w:val="22"/>
                  <w:lang w:val="fr-CH"/>
                </w:rPr>
                <w:t xml:space="preserve"> du Conseil.</w:t>
              </w:r>
            </w:hyperlink>
          </w:p>
        </w:tc>
      </w:tr>
    </w:tbl>
    <w:p w14:paraId="3B7BC6FC" w14:textId="500F1C4A" w:rsidR="00F37A73" w:rsidRDefault="00F37A73" w:rsidP="00F37A73">
      <w:r>
        <w:br w:type="page"/>
      </w:r>
    </w:p>
    <w:p w14:paraId="615DFC82" w14:textId="4A0D3FF6" w:rsidR="001F6F64" w:rsidRDefault="008948EB" w:rsidP="000E68D5">
      <w:pPr>
        <w:pStyle w:val="Heading1"/>
      </w:pPr>
      <w:r w:rsidRPr="008948EB">
        <w:lastRenderedPageBreak/>
        <w:t>1</w:t>
      </w:r>
      <w:r w:rsidRPr="008948EB">
        <w:tab/>
        <w:t>Introduction</w:t>
      </w:r>
    </w:p>
    <w:p w14:paraId="67B0C889" w14:textId="4404778F" w:rsidR="008948EB" w:rsidRDefault="00AC004D" w:rsidP="006920CD">
      <w:pPr>
        <w:jc w:val="both"/>
      </w:pPr>
      <w:r w:rsidRPr="00AC004D">
        <w:t>1.1</w:t>
      </w:r>
      <w:r w:rsidRPr="00AC004D">
        <w:tab/>
        <w:t xml:space="preserve">Le présent document fait le point sur l'état d'avancement des travaux préparatoires en vue de la Conférence de plénipotentiaires de 2026 (PP-26) depuis que le Document </w:t>
      </w:r>
      <w:hyperlink r:id="rId24" w:history="1">
        <w:r w:rsidR="0057329D" w:rsidRPr="006F7723">
          <w:rPr>
            <w:rStyle w:val="Hyperlink"/>
            <w:rFonts w:asciiTheme="minorHAnsi" w:hAnsiTheme="minorHAnsi" w:cstheme="minorHAnsi"/>
            <w:bCs/>
            <w:szCs w:val="24"/>
          </w:rPr>
          <w:t>C25/4</w:t>
        </w:r>
      </w:hyperlink>
      <w:r w:rsidRPr="00AC004D">
        <w:t xml:space="preserve"> a été soumis au Conseil</w:t>
      </w:r>
      <w:r w:rsidR="008948EB">
        <w:t>.</w:t>
      </w:r>
    </w:p>
    <w:p w14:paraId="1C74BE71" w14:textId="055AB775" w:rsidR="008948EB" w:rsidRDefault="008948EB" w:rsidP="000E68D5">
      <w:pPr>
        <w:pStyle w:val="Heading1"/>
      </w:pPr>
      <w:r w:rsidRPr="008948EB">
        <w:t>2</w:t>
      </w:r>
      <w:r w:rsidRPr="008948EB">
        <w:tab/>
      </w:r>
      <w:r w:rsidR="00AC004D">
        <w:rPr>
          <w:bCs/>
        </w:rPr>
        <w:t>Accord de pays hôte et liaison avec le pays hôte</w:t>
      </w:r>
    </w:p>
    <w:p w14:paraId="025ECDD9" w14:textId="59A16B78" w:rsidR="008948EB" w:rsidRDefault="00AC004D" w:rsidP="006920CD">
      <w:pPr>
        <w:jc w:val="both"/>
      </w:pPr>
      <w:r w:rsidRPr="00AC004D">
        <w:t>2.1</w:t>
      </w:r>
      <w:r w:rsidRPr="00AC004D">
        <w:tab/>
        <w:t>Les négociations entre le Gouvernement du Qatar et l'UIT devraient être menées à bien d'ici à la session de 2026 du Conseil</w:t>
      </w:r>
      <w:r w:rsidR="008948EB">
        <w:t>.</w:t>
      </w:r>
    </w:p>
    <w:p w14:paraId="0A0BB50F" w14:textId="7551C554" w:rsidR="008948EB" w:rsidRDefault="008948EB" w:rsidP="006920CD">
      <w:pPr>
        <w:jc w:val="both"/>
      </w:pPr>
      <w:r>
        <w:t>2.2</w:t>
      </w:r>
      <w:r>
        <w:tab/>
      </w:r>
      <w:r w:rsidR="00AC004D" w:rsidRPr="00AC004D">
        <w:t xml:space="preserve">Le Président désigné de la PP-26, M. Ahmad Abdulla Muslemani, a pris une part active aux travaux préparatoires et a participé à des réunions avec le </w:t>
      </w:r>
      <w:r w:rsidR="002B2E57">
        <w:t>S</w:t>
      </w:r>
      <w:r w:rsidR="00AC004D" w:rsidRPr="00AC004D">
        <w:t>ecrétariat, à des réunions officielles de l'UIT et à des réunions préparatoires régionales</w:t>
      </w:r>
      <w:r>
        <w:t>.</w:t>
      </w:r>
    </w:p>
    <w:p w14:paraId="7E2DAEE7" w14:textId="57C4FD9E" w:rsidR="008948EB" w:rsidRDefault="008948EB" w:rsidP="006920CD">
      <w:pPr>
        <w:jc w:val="both"/>
      </w:pPr>
      <w:r>
        <w:t>2.3</w:t>
      </w:r>
      <w:r>
        <w:tab/>
      </w:r>
      <w:r w:rsidR="00AC004D" w:rsidRPr="00AC004D">
        <w:t xml:space="preserve">Une équipe de l'UIT a effectué une deuxième visite sur place du 4 au 6 novembre 2025 afin de rencontrer les interlocuteurs dans le pays hôte, de visiter les infrastructures, les hôtels et le centre de conférences, d'élaborer le plan de sécurité, les plans des locaux accueillant la </w:t>
      </w:r>
      <w:r w:rsidR="002B2E57">
        <w:t>C</w:t>
      </w:r>
      <w:r w:rsidR="00AC004D" w:rsidRPr="00AC004D">
        <w:t>onférence, le plan relatif aux protocoles et le plan de communication, ainsi</w:t>
      </w:r>
      <w:r w:rsidR="002B2E57">
        <w:t> </w:t>
      </w:r>
      <w:r w:rsidR="00AC004D" w:rsidRPr="00AC004D">
        <w:t>que de progresser dans l'organisation logistique</w:t>
      </w:r>
      <w:r>
        <w:t>.</w:t>
      </w:r>
    </w:p>
    <w:p w14:paraId="399BDC6E" w14:textId="3651101C" w:rsidR="008948EB" w:rsidRDefault="008948EB" w:rsidP="006920CD">
      <w:pPr>
        <w:jc w:val="both"/>
      </w:pPr>
      <w:r>
        <w:t>2.4</w:t>
      </w:r>
      <w:r>
        <w:tab/>
      </w:r>
      <w:r w:rsidR="00AC004D" w:rsidRPr="00AC004D">
        <w:t xml:space="preserve">Le </w:t>
      </w:r>
      <w:r w:rsidR="002B2E57">
        <w:t>S</w:t>
      </w:r>
      <w:r w:rsidR="00AC004D" w:rsidRPr="00AC004D">
        <w:t>ecrétariat de l'UIT et l'équipe du pays hôte chargée de préparer la PP-26 se réunissent tous les mois dans le cadre de réunions virtuelles afin d'échanger des informations, d'examiner tous les aspects de la préparation de la manifestation et de résoudre les questions urgentes. Outre les réunions mensuelles, des réunions bilatérales sont organisées régulièrement avec le pays hôte pour traiter des points précis se rapportant à l'organisation de la manifestation</w:t>
      </w:r>
      <w:r>
        <w:t>.</w:t>
      </w:r>
    </w:p>
    <w:p w14:paraId="2B6430B8" w14:textId="5F0A23D5" w:rsidR="008948EB" w:rsidRDefault="008948EB" w:rsidP="006920CD">
      <w:pPr>
        <w:jc w:val="both"/>
      </w:pPr>
      <w:r>
        <w:t>2.5</w:t>
      </w:r>
      <w:r>
        <w:tab/>
      </w:r>
      <w:r w:rsidR="00AC004D" w:rsidRPr="00AC004D">
        <w:t xml:space="preserve">En étroite coordination avec le pays hôte, le </w:t>
      </w:r>
      <w:r w:rsidR="002B2E57">
        <w:t>S</w:t>
      </w:r>
      <w:r w:rsidR="00AC004D" w:rsidRPr="00AC004D">
        <w:t>ecrétariat continue de suivre l'évolution de la situation dans la région et ses incidences potentielles sur la sécurité des participants, l'accessibilité et le bon déroulement de la Conférence. Le pays hôte reste pleinement déterminé à accueillir la PP-26 et continue de suivre de près l'évolution de la situation, en prenant toutes les mesures nécessaires pour assurer la pleine participation des délégations et pour favoriser le succès de l'organisation de la Conférence. Il s'adaptera en fonction des besoins</w:t>
      </w:r>
      <w:r w:rsidR="00AC004D">
        <w:t>.</w:t>
      </w:r>
    </w:p>
    <w:p w14:paraId="4B19E20C" w14:textId="5460377C" w:rsidR="008948EB" w:rsidRDefault="008948EB" w:rsidP="00B52E99">
      <w:pPr>
        <w:pStyle w:val="Heading1"/>
      </w:pPr>
      <w:r>
        <w:t>3</w:t>
      </w:r>
      <w:r>
        <w:tab/>
      </w:r>
      <w:r w:rsidR="00AC004D">
        <w:rPr>
          <w:bCs/>
        </w:rPr>
        <w:t>Invitation, appel à propositions et candidatures</w:t>
      </w:r>
    </w:p>
    <w:p w14:paraId="3B01D3D5" w14:textId="00C70F98" w:rsidR="008948EB" w:rsidRDefault="008948EB" w:rsidP="006920CD">
      <w:pPr>
        <w:jc w:val="both"/>
      </w:pPr>
      <w:r>
        <w:t>3.1</w:t>
      </w:r>
      <w:r>
        <w:tab/>
      </w:r>
      <w:r w:rsidR="00AC004D" w:rsidRPr="00AC004D">
        <w:t>Une invitation à la Conférence de plénipotentiaires de 2026 a été envoyée le</w:t>
      </w:r>
      <w:r w:rsidR="002B2E57">
        <w:t> </w:t>
      </w:r>
      <w:r w:rsidR="00AC004D" w:rsidRPr="00AC004D">
        <w:t>7</w:t>
      </w:r>
      <w:r w:rsidR="0057329D">
        <w:t> </w:t>
      </w:r>
      <w:r w:rsidR="00AC004D" w:rsidRPr="00AC004D">
        <w:t>novembre 2025, au nom du Gouvernement du Qatar (</w:t>
      </w:r>
      <w:hyperlink r:id="rId25">
        <w:r w:rsidR="0057329D" w:rsidRPr="58D7A980">
          <w:rPr>
            <w:rStyle w:val="Hyperlink"/>
            <w:rFonts w:asciiTheme="minorHAnsi" w:hAnsiTheme="minorHAnsi"/>
          </w:rPr>
          <w:t>CL-25/47</w:t>
        </w:r>
      </w:hyperlink>
      <w:r w:rsidR="00AC004D" w:rsidRPr="00AC004D">
        <w:t>)</w:t>
      </w:r>
      <w:r>
        <w:t>.</w:t>
      </w:r>
    </w:p>
    <w:p w14:paraId="4643CBB5" w14:textId="7BB5F7AA" w:rsidR="00AC004D" w:rsidRDefault="008948EB" w:rsidP="006920CD">
      <w:pPr>
        <w:jc w:val="both"/>
      </w:pPr>
      <w:r>
        <w:t>3.2</w:t>
      </w:r>
      <w:r>
        <w:tab/>
      </w:r>
      <w:r w:rsidR="00AC004D" w:rsidRPr="00AC004D">
        <w:t>Une invitation à la Conférence de plénipotentiaires de 2026 a aussi été envoyée par la Secrétaire</w:t>
      </w:r>
      <w:r w:rsidR="002B2E57">
        <w:t> </w:t>
      </w:r>
      <w:r w:rsidR="00AC004D" w:rsidRPr="00AC004D">
        <w:t>générale, le 7 novembre 2025, à l'État de Palestine, aux organisations ayant le statut d'observateur (</w:t>
      </w:r>
      <w:hyperlink r:id="rId26" w:history="1">
        <w:r w:rsidR="00AC004D" w:rsidRPr="00156A6C">
          <w:rPr>
            <w:rStyle w:val="Hyperlink"/>
            <w:rFonts w:eastAsia="Times New Roman" w:cs="Times New Roman"/>
            <w:szCs w:val="20"/>
          </w:rPr>
          <w:t>DM-25/1007</w:t>
        </w:r>
      </w:hyperlink>
      <w:r w:rsidR="00AC004D" w:rsidRPr="00AC004D">
        <w:t>) et aux Membres de Secteur de l'UIT (</w:t>
      </w:r>
      <w:hyperlink r:id="rId27" w:history="1">
        <w:r w:rsidR="00AC004D" w:rsidRPr="00156A6C">
          <w:rPr>
            <w:rStyle w:val="Hyperlink"/>
            <w:rFonts w:eastAsia="Times New Roman" w:cs="Times New Roman"/>
            <w:szCs w:val="20"/>
          </w:rPr>
          <w:t>DM-25/1006</w:t>
        </w:r>
      </w:hyperlink>
      <w:r w:rsidR="00AC004D" w:rsidRPr="00AC004D">
        <w:t>)</w:t>
      </w:r>
      <w:r w:rsidR="00AC004D">
        <w:t>.</w:t>
      </w:r>
    </w:p>
    <w:p w14:paraId="13739F82" w14:textId="733D0D4C" w:rsidR="00AC004D" w:rsidRDefault="00AC004D" w:rsidP="006920CD">
      <w:pPr>
        <w:jc w:val="both"/>
      </w:pPr>
      <w:r w:rsidRPr="00AC004D">
        <w:t>3.3</w:t>
      </w:r>
      <w:r w:rsidRPr="00AC004D">
        <w:tab/>
        <w:t xml:space="preserve">La lettre circulaire </w:t>
      </w:r>
      <w:hyperlink r:id="rId28" w:history="1">
        <w:r w:rsidRPr="00156A6C">
          <w:rPr>
            <w:rStyle w:val="Hyperlink"/>
            <w:rFonts w:eastAsia="Times New Roman" w:cs="Times New Roman"/>
            <w:szCs w:val="20"/>
          </w:rPr>
          <w:t>CL-25/48</w:t>
        </w:r>
      </w:hyperlink>
      <w:r w:rsidRPr="00AC004D">
        <w:t>, envoyée à tous les États Membres de l'UIT par la Secrétaire générale le 10 novembre 2025, concernait en particulier les propositions pour les travaux de la Conférence, les documents et les élections (appel à candidatures). Les propositions d'amendement de la Constitution et de la Convention soumises par les États</w:t>
      </w:r>
      <w:r w:rsidR="002B326C">
        <w:t> </w:t>
      </w:r>
      <w:r w:rsidRPr="00AC004D">
        <w:t>Membres devaient parvenir avant le 9 mars 2026, en application des dispositions du numéro 224 de la Constitution et du numéro 519 de la Convention. Les autres propositions pour les travaux de la Conférence doivent parvenir le 9 juillet 2026 au plus tard (numéro</w:t>
      </w:r>
      <w:r w:rsidR="002B2E57">
        <w:t> </w:t>
      </w:r>
      <w:r w:rsidRPr="00AC004D">
        <w:t xml:space="preserve">40 des Règles générales </w:t>
      </w:r>
      <w:r w:rsidRPr="00AC004D">
        <w:lastRenderedPageBreak/>
        <w:t>régissant les conférences, assemblées et réunions de l'Union (Règles</w:t>
      </w:r>
      <w:r w:rsidR="002B2E57">
        <w:t> </w:t>
      </w:r>
      <w:r w:rsidRPr="00AC004D">
        <w:t>générales)) et, conformément à la Résolution 165 (Rév. Dubaï, 2018) de la Conférence de plénipotentiaires, la date limite de soumission de toutes les contributions a été fixée au 19</w:t>
      </w:r>
      <w:r w:rsidR="002B326C">
        <w:t> </w:t>
      </w:r>
      <w:r w:rsidRPr="00AC004D">
        <w:t xml:space="preserve">octobre 2026. Les États Membres sont vivement encouragés à utiliser </w:t>
      </w:r>
      <w:hyperlink r:id="rId29" w:history="1">
        <w:r w:rsidRPr="00156A6C">
          <w:t>l'</w:t>
        </w:r>
        <w:r w:rsidRPr="00156A6C">
          <w:rPr>
            <w:rStyle w:val="Hyperlink"/>
            <w:rFonts w:eastAsia="Times New Roman" w:cs="Times New Roman"/>
            <w:szCs w:val="20"/>
          </w:rPr>
          <w:t>interface pour les propositions présentées à la Conférence (CPI)</w:t>
        </w:r>
      </w:hyperlink>
      <w:r w:rsidRPr="00AC004D">
        <w:t xml:space="preserve"> pour soumettre leurs propositions.</w:t>
      </w:r>
    </w:p>
    <w:p w14:paraId="2CEAB6F2" w14:textId="77777777" w:rsidR="00AC004D" w:rsidRDefault="00AC004D" w:rsidP="006920CD">
      <w:pPr>
        <w:jc w:val="both"/>
      </w:pPr>
      <w:r>
        <w:t>3.4</w:t>
      </w:r>
      <w:r>
        <w:tab/>
        <w:t>Tous les États Membres souhaitant soumettre des candidatures pour les élections ont été invités, conformément au numéro 170 des Règles générales, à les faire parvenir au plus tard le 12 octobre 2026 à 23 h 59 (heure de Genève).</w:t>
      </w:r>
    </w:p>
    <w:p w14:paraId="43793529" w14:textId="77777777" w:rsidR="00AC004D" w:rsidRDefault="00AC004D" w:rsidP="006920CD">
      <w:pPr>
        <w:jc w:val="both"/>
      </w:pPr>
      <w:r>
        <w:t>3.5</w:t>
      </w:r>
      <w:r>
        <w:tab/>
        <w:t>L'inscription se fera uniquement en ligne à partir de juillet 2026.</w:t>
      </w:r>
    </w:p>
    <w:p w14:paraId="40EF2946" w14:textId="63744506" w:rsidR="00AC004D" w:rsidRDefault="00AC004D" w:rsidP="006920CD">
      <w:pPr>
        <w:jc w:val="both"/>
      </w:pPr>
      <w:r>
        <w:t xml:space="preserve">3.6 </w:t>
      </w:r>
      <w:r>
        <w:tab/>
        <w:t>Une lettre circulaire sur les pouvoirs (</w:t>
      </w:r>
      <w:hyperlink r:id="rId30" w:history="1">
        <w:r w:rsidRPr="00156A6C">
          <w:rPr>
            <w:rStyle w:val="Hyperlink"/>
            <w:rFonts w:eastAsia="Times New Roman" w:cs="Times New Roman"/>
            <w:szCs w:val="20"/>
          </w:rPr>
          <w:t>CL-26/21</w:t>
        </w:r>
      </w:hyperlink>
      <w:r>
        <w:t>) a été envoyée et une lettre sur la participation des hautes personnalités sera envoyée prochainement.</w:t>
      </w:r>
    </w:p>
    <w:p w14:paraId="3FB6A493" w14:textId="77777777" w:rsidR="00AC004D" w:rsidRPr="00156A6C" w:rsidRDefault="00AC004D" w:rsidP="00156A6C">
      <w:pPr>
        <w:pStyle w:val="Heading1"/>
        <w:rPr>
          <w:bCs/>
        </w:rPr>
      </w:pPr>
      <w:r w:rsidRPr="00156A6C">
        <w:rPr>
          <w:bCs/>
        </w:rPr>
        <w:t>4</w:t>
      </w:r>
      <w:r w:rsidRPr="00156A6C">
        <w:rPr>
          <w:bCs/>
        </w:rPr>
        <w:tab/>
        <w:t>Proposition de structure</w:t>
      </w:r>
    </w:p>
    <w:p w14:paraId="5CD469C7" w14:textId="77777777" w:rsidR="00AC004D" w:rsidRDefault="00AC004D" w:rsidP="006920CD">
      <w:pPr>
        <w:jc w:val="both"/>
      </w:pPr>
      <w:r>
        <w:t>4.1</w:t>
      </w:r>
      <w:r>
        <w:tab/>
        <w:t>Outre les quatre commissions permanentes (Commission de direction, Commission de contrôle budgétaire, Commission des pouvoirs et Commission de rédaction), et conformément à la pratique établie, il est proposé d'instaurer deux commissions chargées des questions de fond (Politique et questions juridiques (Commission 5) et Administration et gestion (Commission 6)), ainsi qu'un Groupe de travail de la plénière (GT-PLEN).</w:t>
      </w:r>
    </w:p>
    <w:p w14:paraId="5BEAD0FB" w14:textId="77777777" w:rsidR="00AC004D" w:rsidRDefault="00AC004D" w:rsidP="006920CD">
      <w:pPr>
        <w:jc w:val="both"/>
      </w:pPr>
      <w:r>
        <w:t>4.2</w:t>
      </w:r>
      <w:r>
        <w:tab/>
        <w:t>La Commission 5 – Politique et questions juridiques devra: examiner les rapports et les propositions concernant les questions de politique de l'Union, y compris les rapports soumis par le Conseil sur les activités de l'Union; recommander des décisions appropriées concernant les activités du Secrétariat général et des trois Secteurs; examiner les propositions d'amendement de la Constitution, de la Convention, des Règles générales et du protocole facultatif; en tenant compte des rapports et des recommandations pertinentes de la Commission 6 et du Groupe de travail de la plénière, recommander à la plénière toutes les mesures appropriées; examiner toute autre question de nature juridique soulevée pendant la Conférence; et transmettre à la Commission 6 les questions ayant des incidences financières.</w:t>
      </w:r>
    </w:p>
    <w:p w14:paraId="5A601748" w14:textId="46EE5CF2" w:rsidR="00AC004D" w:rsidRDefault="00AC004D" w:rsidP="006920CD">
      <w:pPr>
        <w:jc w:val="both"/>
      </w:pPr>
      <w:r>
        <w:t>4.3</w:t>
      </w:r>
      <w:r>
        <w:tab/>
        <w:t xml:space="preserve">La Commission 6 – Administration et gestion devra: examiner le projet de </w:t>
      </w:r>
      <w:r w:rsidR="002B2E57">
        <w:t>p</w:t>
      </w:r>
      <w:r>
        <w:t xml:space="preserve">lan stratégique ainsi que les autres rapports et propositions relatifs au </w:t>
      </w:r>
      <w:r w:rsidR="002B2E57">
        <w:t>p</w:t>
      </w:r>
      <w:r>
        <w:t>lan stratégique; examiner les rapports et propositions pertinents relatifs à la gestion générale de l'Union, en</w:t>
      </w:r>
      <w:r w:rsidR="0014145C">
        <w:t> </w:t>
      </w:r>
      <w:r>
        <w:t xml:space="preserve">particulier ceux qui ont trait aux ressources humaines et financières et les parties pertinentes des rapports soumis par d'autres </w:t>
      </w:r>
      <w:r w:rsidR="0014145C">
        <w:t>c</w:t>
      </w:r>
      <w:r>
        <w:t xml:space="preserve">ommissions et </w:t>
      </w:r>
      <w:r w:rsidR="0014145C">
        <w:t>g</w:t>
      </w:r>
      <w:r>
        <w:t>roupes de travail; élaborer des projets de politique financière ainsi qu'un projet de plan financier pour la période 2028</w:t>
      </w:r>
      <w:r w:rsidR="002B326C">
        <w:noBreakHyphen/>
      </w:r>
      <w:r>
        <w:t>2031; recommander à la plénière toutes les décisions appropriées relatives à la gestion des activités de l'Union; et transmettre à la Commission 5 les questions appelant des amendements à la Constitution, à la Convention et aux Règles générales.</w:t>
      </w:r>
    </w:p>
    <w:p w14:paraId="336A06CA" w14:textId="281B7291" w:rsidR="00AC004D" w:rsidRDefault="00AC004D" w:rsidP="006920CD">
      <w:pPr>
        <w:jc w:val="both"/>
      </w:pPr>
      <w:r>
        <w:t>4.4</w:t>
      </w:r>
      <w:r>
        <w:tab/>
        <w:t xml:space="preserve">Le Groupe de travail de la plénière </w:t>
      </w:r>
      <w:proofErr w:type="gramStart"/>
      <w:r>
        <w:t>devra:</w:t>
      </w:r>
      <w:proofErr w:type="gramEnd"/>
      <w:r>
        <w:t xml:space="preserve"> examiner les rapports et les propositions et recommander des mesures appropriées concernant les questions de politiques publiques, y</w:t>
      </w:r>
      <w:r w:rsidR="002B326C">
        <w:t> </w:t>
      </w:r>
      <w:r>
        <w:t xml:space="preserve">compris celles relatives à l'Internet, et les autres questions d'ordre </w:t>
      </w:r>
      <w:proofErr w:type="gramStart"/>
      <w:r>
        <w:t>général;</w:t>
      </w:r>
      <w:proofErr w:type="gramEnd"/>
      <w:r>
        <w:t xml:space="preserve"> et transmettre à la Commission 5 les questions appelant des amendements à la Constitution, à la Convention et aux Règles générales, et à la Commission 6 les questions ayant des incidences financières.</w:t>
      </w:r>
    </w:p>
    <w:p w14:paraId="059340DD" w14:textId="77777777" w:rsidR="00AC004D" w:rsidRPr="00156A6C" w:rsidRDefault="00AC004D" w:rsidP="00156A6C">
      <w:pPr>
        <w:pStyle w:val="Heading1"/>
        <w:rPr>
          <w:bCs/>
        </w:rPr>
      </w:pPr>
      <w:r w:rsidRPr="00156A6C">
        <w:rPr>
          <w:bCs/>
        </w:rPr>
        <w:lastRenderedPageBreak/>
        <w:t>5</w:t>
      </w:r>
      <w:r w:rsidRPr="00156A6C">
        <w:rPr>
          <w:bCs/>
        </w:rPr>
        <w:tab/>
        <w:t>Tables rondes et déclarations de politique générale</w:t>
      </w:r>
    </w:p>
    <w:p w14:paraId="7D2C0AB7" w14:textId="2A26287C" w:rsidR="00AC004D" w:rsidRDefault="00AC004D" w:rsidP="006920CD">
      <w:pPr>
        <w:jc w:val="both"/>
      </w:pPr>
      <w:r>
        <w:t>5.1</w:t>
      </w:r>
      <w:r>
        <w:tab/>
        <w:t xml:space="preserve">Au cours de la première semaine de la Conférence, les Ministres des télécommunications et des TIC seront invités à prononcer des déclarations de politique générale en plénière. Ces déclarations offrent </w:t>
      </w:r>
      <w:proofErr w:type="gramStart"/>
      <w:r>
        <w:t>l'occasion:</w:t>
      </w:r>
      <w:proofErr w:type="gramEnd"/>
    </w:p>
    <w:p w14:paraId="1DA403AC" w14:textId="7416994A" w:rsidR="00AC004D" w:rsidRDefault="00AC004D" w:rsidP="006920CD">
      <w:pPr>
        <w:pStyle w:val="enumlev1"/>
        <w:jc w:val="both"/>
      </w:pPr>
      <w:r>
        <w:t>–</w:t>
      </w:r>
      <w:r>
        <w:tab/>
      </w:r>
      <w:r w:rsidR="004D379E">
        <w:t xml:space="preserve">de </w:t>
      </w:r>
      <w:r>
        <w:t>souligner les progrès accomplis au niveau national depuis la PP-</w:t>
      </w:r>
      <w:proofErr w:type="gramStart"/>
      <w:r>
        <w:t>22;</w:t>
      </w:r>
      <w:proofErr w:type="gramEnd"/>
    </w:p>
    <w:p w14:paraId="382D9442" w14:textId="40A1DCFC" w:rsidR="00AC004D" w:rsidRDefault="004D379E" w:rsidP="006920CD">
      <w:pPr>
        <w:pStyle w:val="enumlev1"/>
        <w:jc w:val="both"/>
      </w:pPr>
      <w:r>
        <w:t>–</w:t>
      </w:r>
      <w:r w:rsidR="00AC004D">
        <w:tab/>
      </w:r>
      <w:r>
        <w:t xml:space="preserve">de </w:t>
      </w:r>
      <w:r w:rsidR="00AC004D">
        <w:t xml:space="preserve">partager les stratégies et priorités nationales pour la prochaine phase du développement du </w:t>
      </w:r>
      <w:proofErr w:type="gramStart"/>
      <w:r w:rsidR="00AC004D">
        <w:t>numérique;</w:t>
      </w:r>
      <w:proofErr w:type="gramEnd"/>
    </w:p>
    <w:p w14:paraId="479D7959" w14:textId="394F3EF6" w:rsidR="00AC004D" w:rsidRDefault="004D379E" w:rsidP="006920CD">
      <w:pPr>
        <w:pStyle w:val="enumlev1"/>
        <w:jc w:val="both"/>
      </w:pPr>
      <w:r>
        <w:t>–</w:t>
      </w:r>
      <w:r w:rsidR="00AC004D">
        <w:tab/>
      </w:r>
      <w:r>
        <w:t xml:space="preserve">de </w:t>
      </w:r>
      <w:r w:rsidR="00AC004D">
        <w:t xml:space="preserve">recenser les possibilités et les défis qui se font jour dans le paysage numérique en </w:t>
      </w:r>
      <w:proofErr w:type="gramStart"/>
      <w:r w:rsidR="00AC004D">
        <w:t>évolution;</w:t>
      </w:r>
      <w:proofErr w:type="gramEnd"/>
    </w:p>
    <w:p w14:paraId="7F452F35" w14:textId="400360C5" w:rsidR="00AC004D" w:rsidRDefault="004D379E" w:rsidP="006920CD">
      <w:pPr>
        <w:pStyle w:val="enumlev1"/>
        <w:jc w:val="both"/>
      </w:pPr>
      <w:r>
        <w:t>–</w:t>
      </w:r>
      <w:r w:rsidR="00AC004D">
        <w:tab/>
      </w:r>
      <w:r>
        <w:t>d'</w:t>
      </w:r>
      <w:r w:rsidR="00AC004D">
        <w:t>offrir des perspectives sur la manière dont la coopération internationale, y compris par l'intermédiaire de l'UIT, peut aider au mieux les États Membres.</w:t>
      </w:r>
    </w:p>
    <w:p w14:paraId="1C310954" w14:textId="302F23E2" w:rsidR="00AC004D" w:rsidRDefault="00AC004D" w:rsidP="006920CD">
      <w:pPr>
        <w:jc w:val="both"/>
      </w:pPr>
      <w:r>
        <w:t xml:space="preserve">Pour favoriser un dialogue tourné vers l'avenir, les États Membres souhaiteront peut-être axer leurs interventions sur les deux buts stratégiques de </w:t>
      </w:r>
      <w:proofErr w:type="gramStart"/>
      <w:r>
        <w:t>l'Union:</w:t>
      </w:r>
      <w:proofErr w:type="gramEnd"/>
    </w:p>
    <w:p w14:paraId="203FA5C6" w14:textId="05D3E77F" w:rsidR="00AC004D" w:rsidRDefault="0055558A" w:rsidP="006920CD">
      <w:pPr>
        <w:ind w:left="567" w:hanging="567"/>
        <w:jc w:val="both"/>
      </w:pPr>
      <w:r>
        <w:t>–</w:t>
      </w:r>
      <w:r w:rsidR="00AC004D">
        <w:tab/>
        <w:t xml:space="preserve">But 1 – Connectivité </w:t>
      </w:r>
      <w:proofErr w:type="gramStart"/>
      <w:r w:rsidR="00AC004D">
        <w:t>universelle:</w:t>
      </w:r>
      <w:proofErr w:type="gramEnd"/>
      <w:r w:rsidR="00AC004D">
        <w:t xml:space="preserve"> favoriser et encourager l'accès universel, à un coût abordable, à des télécommunications/TIC sûres et de qualité.</w:t>
      </w:r>
    </w:p>
    <w:p w14:paraId="44C750A1" w14:textId="2D64A783" w:rsidR="00AC004D" w:rsidRDefault="0055558A" w:rsidP="006920CD">
      <w:pPr>
        <w:ind w:left="567" w:hanging="567"/>
        <w:jc w:val="both"/>
      </w:pPr>
      <w:r>
        <w:t>–</w:t>
      </w:r>
      <w:r w:rsidR="00AC004D">
        <w:tab/>
        <w:t xml:space="preserve">But 2 – Transformation numérique </w:t>
      </w:r>
      <w:proofErr w:type="gramStart"/>
      <w:r w:rsidR="00AC004D">
        <w:t>durable:</w:t>
      </w:r>
      <w:proofErr w:type="gramEnd"/>
      <w:r w:rsidR="00AC004D">
        <w:t xml:space="preserve"> encourager une utilisation équitable et inclusive des télécommunications/TIC pour mobiliser les individus et les sociétés en faveur du développement durable.</w:t>
      </w:r>
    </w:p>
    <w:p w14:paraId="2D6D1711" w14:textId="42D7F11A" w:rsidR="00AC004D" w:rsidRDefault="00AC004D" w:rsidP="006920CD">
      <w:pPr>
        <w:jc w:val="both"/>
      </w:pPr>
      <w:r>
        <w:t>Des lignes directrices sur les déclarations de politique générale seront envoyées aux États</w:t>
      </w:r>
      <w:r w:rsidR="00A92B8C">
        <w:t> </w:t>
      </w:r>
      <w:r>
        <w:t xml:space="preserve">Membres (voir le projet de lignes directrices dans le Document </w:t>
      </w:r>
      <w:hyperlink r:id="rId31" w:history="1">
        <w:r w:rsidRPr="00A92B8C">
          <w:rPr>
            <w:rStyle w:val="Hyperlink"/>
            <w:rFonts w:eastAsia="Times New Roman" w:cs="Times New Roman"/>
            <w:szCs w:val="20"/>
          </w:rPr>
          <w:t>C26/INF/13</w:t>
        </w:r>
      </w:hyperlink>
      <w:r>
        <w:t>). La durée des déclarations sera limitée à trois minutes pour les ministres et à deux minutes pour les autres chefs de délégation. Les déclarations dans leur intégralité seront postées sur le site</w:t>
      </w:r>
      <w:r w:rsidR="003B3F90">
        <w:t> </w:t>
      </w:r>
      <w:r>
        <w:t xml:space="preserve">web de la PP-26. Les orateurs prononceront leurs déclarations sur la tribune. </w:t>
      </w:r>
    </w:p>
    <w:p w14:paraId="4D1AB434" w14:textId="77777777" w:rsidR="00AC004D" w:rsidRDefault="00AC004D" w:rsidP="006920CD">
      <w:pPr>
        <w:jc w:val="both"/>
      </w:pPr>
      <w:r>
        <w:t>5.2</w:t>
      </w:r>
      <w:r>
        <w:tab/>
        <w:t xml:space="preserve">En vue de tirer parti de la participation de haut niveau à la PP, il est prévu d'organiser deux ou trois tables rondes ministérielles au cours de la première semaine. De plus amples renseignements seront disponibles en temps utile. </w:t>
      </w:r>
    </w:p>
    <w:p w14:paraId="147FFE3E" w14:textId="6526E706" w:rsidR="00AC004D" w:rsidRPr="00A92B8C" w:rsidRDefault="00AC004D" w:rsidP="00A92B8C">
      <w:pPr>
        <w:pStyle w:val="Heading1"/>
        <w:rPr>
          <w:bCs/>
        </w:rPr>
      </w:pPr>
      <w:r w:rsidRPr="00A92B8C">
        <w:rPr>
          <w:bCs/>
        </w:rPr>
        <w:t>6</w:t>
      </w:r>
      <w:r w:rsidRPr="00A92B8C">
        <w:rPr>
          <w:bCs/>
        </w:rPr>
        <w:tab/>
        <w:t>Programme de gestion du temps</w:t>
      </w:r>
    </w:p>
    <w:p w14:paraId="0D4951B7" w14:textId="58D65046" w:rsidR="00AC004D" w:rsidRDefault="00AC004D" w:rsidP="006920CD">
      <w:pPr>
        <w:jc w:val="both"/>
      </w:pPr>
      <w:r>
        <w:t>6.1</w:t>
      </w:r>
      <w:r>
        <w:tab/>
        <w:t>Le Secrétariat élabore actuellement un projet de programme de gestion du temps, qui tiendra compte des leçons tirées des PP précédentes, des consultations menées avec les secrétaires des commissions et des commentaires fournis en retour par les États Membres. Il</w:t>
      </w:r>
      <w:r w:rsidR="0040120B">
        <w:t> </w:t>
      </w:r>
      <w:r>
        <w:t>est prévu que les travaux des commissions chargées des questions de fond commencent le mardi matin de la première semaine. Au maximum deux séances sur les questions de fond se tiendront en parallèle. Sur la base du projet final de gestion du temps de la PP-22, des séances d'une heure et demie des commissions et du GT-PLEN seront programmées, et il est prévu que les groupes ad hoc puissent se réunir pendant les jours ouvrables. Toutes les réunions, y compris celles des groupes ad hoc et des groupes de rédaction, seront affichées sur les écrans placés à proximité du lieu de la Conférence et sur le site web de la PP-26.</w:t>
      </w:r>
    </w:p>
    <w:p w14:paraId="50D08E01" w14:textId="2EBE4DAA" w:rsidR="00AC004D" w:rsidRDefault="00AC004D" w:rsidP="006920CD">
      <w:pPr>
        <w:jc w:val="both"/>
      </w:pPr>
      <w:r>
        <w:t>Comme ce fut le cas lors des deux PP précédentes, il est proposé de fixer la date limite du choix définitif de la classe de contribution au mercredi 11 novembre 2026 à 23 h 59 (heure</w:t>
      </w:r>
      <w:r w:rsidR="00C85D75">
        <w:t> </w:t>
      </w:r>
      <w:r>
        <w:t>de Genève), et que le Secrétariat publie les classes de contribution choisies avant</w:t>
      </w:r>
      <w:r w:rsidR="00C85D75">
        <w:t> </w:t>
      </w:r>
      <w:r>
        <w:t>6</w:t>
      </w:r>
      <w:r w:rsidR="00C85D75">
        <w:t> </w:t>
      </w:r>
      <w:r>
        <w:t>heures le quatrième jour de la Conférence, avant le début des élections.</w:t>
      </w:r>
    </w:p>
    <w:p w14:paraId="6BE4A2DD" w14:textId="12DD9FC2" w:rsidR="00AC004D" w:rsidRDefault="00AC004D" w:rsidP="006920CD">
      <w:pPr>
        <w:jc w:val="both"/>
      </w:pPr>
      <w:r>
        <w:lastRenderedPageBreak/>
        <w:t xml:space="preserve">La réunion officielle des </w:t>
      </w:r>
      <w:r w:rsidR="0014145C">
        <w:t>c</w:t>
      </w:r>
      <w:r>
        <w:t>hefs de délégation se tiendra le lundi 9 novembre 2026 et sera suivie par la cérémonie d'ouverture, puis par la séance plénière inaugurale.</w:t>
      </w:r>
    </w:p>
    <w:p w14:paraId="3D48E4B5" w14:textId="1FB96C65" w:rsidR="00AC004D" w:rsidRDefault="00AC004D" w:rsidP="006920CD">
      <w:pPr>
        <w:jc w:val="both"/>
      </w:pPr>
      <w:r>
        <w:t>6.2</w:t>
      </w:r>
      <w:r>
        <w:tab/>
        <w:t>Le Mobile World Congress (MWC) Doha 2026 se tiendra au Centre d'expositions et de congrès de Doha (DECC) du 8 au 11 novembre 2026, un hasard de calendrier qui offre une occasion intéressante de renforcer les synergies entre les deux manifestations. Cela devrait faciliter une plus large participation de la communauté mondiale du secteur des TIC, favoriser les échanges de haut niveau entre décideurs et dirigeants du secteur et permettre aux participants de tirer parti d'un écosystème plus riche en discussions, expositions et possibilités de mise en relation.</w:t>
      </w:r>
    </w:p>
    <w:p w14:paraId="307AC74D" w14:textId="29B9B5F3" w:rsidR="00AC004D" w:rsidRDefault="00AC004D" w:rsidP="006920CD">
      <w:pPr>
        <w:jc w:val="both"/>
      </w:pPr>
      <w:r>
        <w:t>6.3</w:t>
      </w:r>
      <w:r>
        <w:tab/>
        <w:t>Un certain nombre de manifestations parallèles seront organisées par le pays hôte en marge de la PP-26, dans le strict respect du calendrier de la Conférence et de manière à garantir le bon déroulement de la Conférence et de ses travaux officiels, sans aucune ingérence, y compris une table ronde ministérielle le dimanche 8 novembre 2026 (après</w:t>
      </w:r>
      <w:r w:rsidR="003B3F90">
        <w:noBreakHyphen/>
      </w:r>
      <w:r>
        <w:t>midi). De plus amples renseignements seront disponibles en temps utile.</w:t>
      </w:r>
    </w:p>
    <w:p w14:paraId="713C9CC0" w14:textId="77777777" w:rsidR="00AC004D" w:rsidRPr="00A92B8C" w:rsidRDefault="00AC004D" w:rsidP="00A92B8C">
      <w:pPr>
        <w:pStyle w:val="Heading1"/>
        <w:rPr>
          <w:bCs/>
        </w:rPr>
      </w:pPr>
      <w:r w:rsidRPr="00A92B8C">
        <w:rPr>
          <w:bCs/>
        </w:rPr>
        <w:t>7</w:t>
      </w:r>
      <w:r w:rsidRPr="00A92B8C">
        <w:rPr>
          <w:bCs/>
        </w:rPr>
        <w:tab/>
        <w:t>Groupe de préparation de la Conférence de Doha</w:t>
      </w:r>
    </w:p>
    <w:p w14:paraId="3D567267" w14:textId="77777777" w:rsidR="00AC004D" w:rsidRDefault="00AC004D" w:rsidP="006920CD">
      <w:pPr>
        <w:jc w:val="both"/>
      </w:pPr>
      <w:r>
        <w:t>7.1</w:t>
      </w:r>
      <w:r>
        <w:tab/>
        <w:t>Un groupe préparatoire, le Groupe de préparation de la Conférence de Doha (DPG), a été établi pour coordonner les travaux préparatoires en interne. Il se compose de représentants du Secrétariat général et des Bureaux, y compris les Directeurs des Bureaux régionaux, et tient des réunions mensuelles.</w:t>
      </w:r>
    </w:p>
    <w:p w14:paraId="386FAE9D" w14:textId="77777777" w:rsidR="00AC004D" w:rsidRPr="00A92B8C" w:rsidRDefault="00AC004D" w:rsidP="00A92B8C">
      <w:pPr>
        <w:pStyle w:val="Heading1"/>
        <w:rPr>
          <w:bCs/>
        </w:rPr>
      </w:pPr>
      <w:r w:rsidRPr="00A92B8C">
        <w:rPr>
          <w:bCs/>
        </w:rPr>
        <w:t>8</w:t>
      </w:r>
      <w:r w:rsidRPr="00A92B8C">
        <w:rPr>
          <w:bCs/>
        </w:rPr>
        <w:tab/>
        <w:t xml:space="preserve">Appui aux travaux préparatoires régionaux </w:t>
      </w:r>
    </w:p>
    <w:p w14:paraId="2F8A84AB" w14:textId="2ADA297F" w:rsidR="00AC004D" w:rsidRDefault="00AC004D" w:rsidP="006920CD">
      <w:pPr>
        <w:jc w:val="both"/>
      </w:pPr>
      <w:r>
        <w:t>8.1</w:t>
      </w:r>
      <w:r>
        <w:tab/>
        <w:t>Conformément à la Résolution 58 (Rév. Busan, 2014) de la Conférence de plénipotentiaires, et de manière à renforcer les relations entre l'UIT et les organisations régionales de télécommunication, et comme ce fut le cas lors de la période précédant la</w:t>
      </w:r>
      <w:r w:rsidR="0014145C">
        <w:t> </w:t>
      </w:r>
      <w:r>
        <w:t>PP</w:t>
      </w:r>
      <w:r w:rsidR="00A92B8C">
        <w:noBreakHyphen/>
      </w:r>
      <w:r>
        <w:t xml:space="preserve">18 et la PP-22, le </w:t>
      </w:r>
      <w:r w:rsidR="0014145C">
        <w:t>S</w:t>
      </w:r>
      <w:r>
        <w:t xml:space="preserve">ecrétariat prend part aux travaux préparatoires régionaux, en fournissant des informations sur la Conférence et ses processus, ainsi que des formations spécifiques sur demande. Des présentations concernant le processus de la PP ont également été publiées sur le </w:t>
      </w:r>
      <w:hyperlink r:id="rId32" w:anchor="/fr" w:history="1">
        <w:r w:rsidRPr="00A92B8C">
          <w:rPr>
            <w:rStyle w:val="Hyperlink"/>
            <w:rFonts w:eastAsia="Times New Roman" w:cs="Times New Roman"/>
            <w:szCs w:val="20"/>
          </w:rPr>
          <w:t>site web</w:t>
        </w:r>
      </w:hyperlink>
      <w:r>
        <w:t>, tout comme le calendrier des réunions préparatoires régionales.</w:t>
      </w:r>
    </w:p>
    <w:p w14:paraId="70106078" w14:textId="7BDC2C16" w:rsidR="00AC004D" w:rsidRDefault="00AC004D" w:rsidP="006920CD">
      <w:pPr>
        <w:jc w:val="both"/>
      </w:pPr>
      <w:r>
        <w:t xml:space="preserve">8.2 </w:t>
      </w:r>
      <w:r>
        <w:tab/>
        <w:t>De plus, le Conseil, à sa session de 2024, a estimé qu'il convenait de continuer à organiser des réunions interrégionales informelles. La première réunion s'est tenue le</w:t>
      </w:r>
      <w:r w:rsidR="0014145C">
        <w:t> </w:t>
      </w:r>
      <w:r>
        <w:t>mardi</w:t>
      </w:r>
      <w:r w:rsidR="003B3F90">
        <w:t> </w:t>
      </w:r>
      <w:r>
        <w:t xml:space="preserve">13 janvier 2026, sous la présidence du Président désigné de la PP-26. Les réunions suivantes, qui se dérouleront toutes de manière hybride, se tiendront comme </w:t>
      </w:r>
      <w:proofErr w:type="gramStart"/>
      <w:r>
        <w:t>suit:</w:t>
      </w:r>
      <w:proofErr w:type="gramEnd"/>
    </w:p>
    <w:p w14:paraId="3F51DF51" w14:textId="77777777" w:rsidR="00AC004D" w:rsidRDefault="00AC004D" w:rsidP="006920CD">
      <w:pPr>
        <w:pStyle w:val="enumlev1"/>
        <w:jc w:val="both"/>
      </w:pPr>
      <w:r>
        <w:t>–</w:t>
      </w:r>
      <w:r>
        <w:tab/>
        <w:t xml:space="preserve">Deuxième </w:t>
      </w:r>
      <w:proofErr w:type="gramStart"/>
      <w:r>
        <w:t>réunion:</w:t>
      </w:r>
      <w:proofErr w:type="gramEnd"/>
      <w:r>
        <w:t xml:space="preserve"> le 30 avril 2026, de 13 heures à 14 h 30, pendant la session de 2026 du Conseil (28 avril – 8 mai 2026), à Genève.</w:t>
      </w:r>
    </w:p>
    <w:p w14:paraId="42F10CDA" w14:textId="50DB3683" w:rsidR="00AC004D" w:rsidRDefault="00AC004D" w:rsidP="006920CD">
      <w:pPr>
        <w:pStyle w:val="enumlev1"/>
        <w:jc w:val="both"/>
      </w:pPr>
      <w:r>
        <w:t>–</w:t>
      </w:r>
      <w:r>
        <w:tab/>
        <w:t xml:space="preserve">Troisième </w:t>
      </w:r>
      <w:proofErr w:type="gramStart"/>
      <w:r>
        <w:t>réunion:</w:t>
      </w:r>
      <w:proofErr w:type="gramEnd"/>
      <w:r>
        <w:t xml:space="preserve"> le 10 juin 2026, de 13 heures à 14 h 30 (heure de Nassau), pendant le Forum mondial des politiques de télécommunication et des technologies de l'information et de la communication de 2026 (FMPT-26) (9-11 juin 2026), Nassau.</w:t>
      </w:r>
    </w:p>
    <w:p w14:paraId="0B1B10AD" w14:textId="66975214" w:rsidR="00AC004D" w:rsidRDefault="00AC004D" w:rsidP="006920CD">
      <w:pPr>
        <w:pStyle w:val="enumlev1"/>
        <w:jc w:val="both"/>
      </w:pPr>
      <w:r>
        <w:t>–</w:t>
      </w:r>
      <w:r>
        <w:tab/>
        <w:t xml:space="preserve">Quatrième </w:t>
      </w:r>
      <w:proofErr w:type="gramStart"/>
      <w:r>
        <w:t>réunion:</w:t>
      </w:r>
      <w:proofErr w:type="gramEnd"/>
      <w:r>
        <w:t xml:space="preserve"> les 14 et 15 octobre 2026, à confirmer, après la date limite de soumission des candidatures (12 octobre 2026, à 23 h 59 (heure de Genève)), Arabie</w:t>
      </w:r>
      <w:r w:rsidR="003B3F90">
        <w:t> </w:t>
      </w:r>
      <w:r>
        <w:t>saoudite.</w:t>
      </w:r>
    </w:p>
    <w:p w14:paraId="581D9464" w14:textId="67C49F2D" w:rsidR="008948EB" w:rsidRPr="001F1628" w:rsidRDefault="008948EB" w:rsidP="00505538">
      <w:pPr>
        <w:spacing w:before="0"/>
        <w:jc w:val="center"/>
      </w:pPr>
      <w:r>
        <w:t>______________</w:t>
      </w:r>
    </w:p>
    <w:sectPr w:rsidR="008948EB" w:rsidRPr="001F1628" w:rsidSect="00D72F49">
      <w:headerReference w:type="even" r:id="rId33"/>
      <w:footerReference w:type="even" r:id="rId34"/>
      <w:footerReference w:type="default" r:id="rId35"/>
      <w:headerReference w:type="first" r:id="rId36"/>
      <w:footerReference w:type="first" r:id="rId3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5F62" w14:textId="77777777" w:rsidR="008D0C6D" w:rsidRDefault="008D0C6D">
      <w:r>
        <w:separator/>
      </w:r>
    </w:p>
  </w:endnote>
  <w:endnote w:type="continuationSeparator" w:id="0">
    <w:p w14:paraId="6A54BD7B" w14:textId="77777777" w:rsidR="008D0C6D" w:rsidRDefault="008D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2BC" w14:textId="4B1E9180" w:rsidR="00732045" w:rsidRPr="001F1628" w:rsidRDefault="008D0C6D">
    <w:pPr>
      <w:pStyle w:val="Footer"/>
      <w:rPr>
        <w:lang w:val="en-US"/>
      </w:rPr>
    </w:pPr>
    <w:r>
      <w:fldChar w:fldCharType="begin"/>
    </w:r>
    <w:r w:rsidRPr="001F1628">
      <w:rPr>
        <w:lang w:val="en-US"/>
      </w:rPr>
      <w:instrText xml:space="preserve"> FILENAME \p \* MERGEFORMAT </w:instrText>
    </w:r>
    <w:r>
      <w:fldChar w:fldCharType="separate"/>
    </w:r>
    <w:r w:rsidR="00D87ADA">
      <w:rPr>
        <w:lang w:val="en-US"/>
      </w:rPr>
      <w:t>P:\FRA\gDoc\SG\C26\2600698F.docx</w:t>
    </w:r>
    <w:r>
      <w:fldChar w:fldCharType="end"/>
    </w:r>
    <w:r w:rsidR="00732045" w:rsidRPr="001F1628">
      <w:rPr>
        <w:lang w:val="en-US"/>
      </w:rPr>
      <w:tab/>
    </w:r>
    <w:r w:rsidR="002F1B76">
      <w:fldChar w:fldCharType="begin"/>
    </w:r>
    <w:r w:rsidR="00732045">
      <w:instrText xml:space="preserve"> savedate \@ dd.MM.yy </w:instrText>
    </w:r>
    <w:r w:rsidR="002F1B76">
      <w:fldChar w:fldCharType="separate"/>
    </w:r>
    <w:r w:rsidR="00C66B62">
      <w:t>31.03.26</w:t>
    </w:r>
    <w:r w:rsidR="002F1B76">
      <w:fldChar w:fldCharType="end"/>
    </w:r>
    <w:r w:rsidR="00732045" w:rsidRPr="001F1628">
      <w:rPr>
        <w:lang w:val="en-US"/>
      </w:rPr>
      <w:tab/>
    </w:r>
    <w:r w:rsidR="002F1B76">
      <w:fldChar w:fldCharType="begin"/>
    </w:r>
    <w:r w:rsidR="00732045">
      <w:instrText xml:space="preserve"> printdate \@ dd.MM.yy </w:instrText>
    </w:r>
    <w:r w:rsidR="002F1B76">
      <w:fldChar w:fldCharType="separate"/>
    </w:r>
    <w:r w:rsidR="00D87AD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3FF04BA" w14:textId="77777777" w:rsidTr="00E31DCE">
      <w:trPr>
        <w:jc w:val="center"/>
      </w:trPr>
      <w:tc>
        <w:tcPr>
          <w:tcW w:w="1803" w:type="dxa"/>
          <w:vAlign w:val="center"/>
        </w:tcPr>
        <w:p w14:paraId="54502BF3" w14:textId="0EBEEB27" w:rsidR="00A51849" w:rsidRDefault="008D0C6D" w:rsidP="00A51849">
          <w:pPr>
            <w:pStyle w:val="Header"/>
            <w:jc w:val="left"/>
            <w:rPr>
              <w:noProof/>
            </w:rPr>
          </w:pPr>
          <w:r>
            <w:rPr>
              <w:noProof/>
            </w:rPr>
            <w:t>2600</w:t>
          </w:r>
          <w:r w:rsidR="002B326C">
            <w:rPr>
              <w:noProof/>
            </w:rPr>
            <w:t>698</w:t>
          </w:r>
        </w:p>
      </w:tc>
      <w:tc>
        <w:tcPr>
          <w:tcW w:w="8261" w:type="dxa"/>
        </w:tcPr>
        <w:p w14:paraId="22B2E4C4" w14:textId="1E8848B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C004D">
            <w:rPr>
              <w:bCs/>
            </w:rPr>
            <w:t>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9651F06"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F96A9D8" w14:textId="77777777" w:rsidTr="00E31DCE">
      <w:trPr>
        <w:jc w:val="center"/>
      </w:trPr>
      <w:tc>
        <w:tcPr>
          <w:tcW w:w="1803" w:type="dxa"/>
          <w:vAlign w:val="center"/>
        </w:tcPr>
        <w:p w14:paraId="62321992"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370BED2D" w14:textId="3803188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C004D">
            <w:rPr>
              <w:bCs/>
            </w:rPr>
            <w:t>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1FE9CC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EE60" w14:textId="77777777" w:rsidR="008D0C6D" w:rsidRDefault="008D0C6D">
      <w:r>
        <w:t>____________________</w:t>
      </w:r>
    </w:p>
  </w:footnote>
  <w:footnote w:type="continuationSeparator" w:id="0">
    <w:p w14:paraId="644F34E2" w14:textId="77777777" w:rsidR="008D0C6D" w:rsidRDefault="008D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D4D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22BB48"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4E4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35E9A"/>
    <w:multiLevelType w:val="multilevel"/>
    <w:tmpl w:val="1C7AFD2C"/>
    <w:lvl w:ilvl="0">
      <w:numFmt w:val="bullet"/>
      <w:lvlText w:val="-"/>
      <w:lvlJc w:val="left"/>
      <w:pPr>
        <w:ind w:left="1080" w:hanging="360"/>
      </w:pPr>
      <w:rPr>
        <w:rFonts w:ascii="Calibri" w:eastAsia="MS Mincho"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0797670E"/>
    <w:multiLevelType w:val="multilevel"/>
    <w:tmpl w:val="BBB486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0FA26BC0"/>
    <w:multiLevelType w:val="multilevel"/>
    <w:tmpl w:val="E87EC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110352C"/>
    <w:multiLevelType w:val="multilevel"/>
    <w:tmpl w:val="2E68D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CAF24CE"/>
    <w:multiLevelType w:val="multilevel"/>
    <w:tmpl w:val="49FEE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1D445D8B"/>
    <w:multiLevelType w:val="multilevel"/>
    <w:tmpl w:val="B7A4A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6D74A0D"/>
    <w:multiLevelType w:val="multilevel"/>
    <w:tmpl w:val="50FC4C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8BA3325"/>
    <w:multiLevelType w:val="multilevel"/>
    <w:tmpl w:val="AEF8E5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7B3882"/>
    <w:multiLevelType w:val="multilevel"/>
    <w:tmpl w:val="281AF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C23660D"/>
    <w:multiLevelType w:val="multilevel"/>
    <w:tmpl w:val="9232F9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F542F9B"/>
    <w:multiLevelType w:val="multilevel"/>
    <w:tmpl w:val="FCE20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6C52B06"/>
    <w:multiLevelType w:val="multilevel"/>
    <w:tmpl w:val="96EED012"/>
    <w:lvl w:ilvl="0">
      <w:numFmt w:val="bullet"/>
      <w:lvlText w:val=""/>
      <w:lvlJc w:val="left"/>
      <w:pPr>
        <w:ind w:left="768" w:hanging="360"/>
      </w:pPr>
      <w:rPr>
        <w:rFonts w:ascii="Symbol" w:hAnsi="Symbol"/>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2" w15:restartNumberingAfterBreak="0">
    <w:nsid w:val="4FB46BD2"/>
    <w:multiLevelType w:val="multilevel"/>
    <w:tmpl w:val="43A22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671743F"/>
    <w:multiLevelType w:val="multilevel"/>
    <w:tmpl w:val="E3B66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D6F2930"/>
    <w:multiLevelType w:val="multilevel"/>
    <w:tmpl w:val="98AC7E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D6A386E"/>
    <w:multiLevelType w:val="multilevel"/>
    <w:tmpl w:val="0C043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6F3E684C"/>
    <w:multiLevelType w:val="multilevel"/>
    <w:tmpl w:val="D3B2E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244701F"/>
    <w:multiLevelType w:val="multilevel"/>
    <w:tmpl w:val="6C209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73E85C3C"/>
    <w:multiLevelType w:val="multilevel"/>
    <w:tmpl w:val="84A6676C"/>
    <w:lvl w:ilvl="0">
      <w:start w:val="1"/>
      <w:numFmt w:val="lowerRoman"/>
      <w:lvlText w:val="%1."/>
      <w:lvlJc w:val="left"/>
      <w:pPr>
        <w:ind w:left="1290" w:hanging="720"/>
      </w:pPr>
      <w:rPr>
        <w:rFonts w:ascii="Calibri" w:eastAsia="Times New Roman" w:hAnsi="Calibri" w:cs="Times New Roman"/>
        <w:b/>
        <w:bCs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9" w15:restartNumberingAfterBreak="0">
    <w:nsid w:val="76D05636"/>
    <w:multiLevelType w:val="multilevel"/>
    <w:tmpl w:val="5B181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813453415">
    <w:abstractNumId w:val="9"/>
  </w:num>
  <w:num w:numId="2" w16cid:durableId="382948927">
    <w:abstractNumId w:val="7"/>
  </w:num>
  <w:num w:numId="3" w16cid:durableId="1244878506">
    <w:abstractNumId w:val="6"/>
  </w:num>
  <w:num w:numId="4" w16cid:durableId="41829185">
    <w:abstractNumId w:val="5"/>
  </w:num>
  <w:num w:numId="5" w16cid:durableId="632295030">
    <w:abstractNumId w:val="4"/>
  </w:num>
  <w:num w:numId="6" w16cid:durableId="65300861">
    <w:abstractNumId w:val="8"/>
  </w:num>
  <w:num w:numId="7" w16cid:durableId="1421099298">
    <w:abstractNumId w:val="3"/>
  </w:num>
  <w:num w:numId="8" w16cid:durableId="1396202955">
    <w:abstractNumId w:val="2"/>
  </w:num>
  <w:num w:numId="9" w16cid:durableId="553009848">
    <w:abstractNumId w:val="1"/>
  </w:num>
  <w:num w:numId="10" w16cid:durableId="427968874">
    <w:abstractNumId w:val="0"/>
  </w:num>
  <w:num w:numId="11" w16cid:durableId="683089083">
    <w:abstractNumId w:val="8"/>
  </w:num>
  <w:num w:numId="12" w16cid:durableId="204297561">
    <w:abstractNumId w:val="3"/>
  </w:num>
  <w:num w:numId="13" w16cid:durableId="1489007892">
    <w:abstractNumId w:val="2"/>
  </w:num>
  <w:num w:numId="14" w16cid:durableId="173420313">
    <w:abstractNumId w:val="1"/>
  </w:num>
  <w:num w:numId="15" w16cid:durableId="697901082">
    <w:abstractNumId w:val="0"/>
  </w:num>
  <w:num w:numId="16" w16cid:durableId="2058505060">
    <w:abstractNumId w:val="28"/>
  </w:num>
  <w:num w:numId="17" w16cid:durableId="315569370">
    <w:abstractNumId w:val="25"/>
  </w:num>
  <w:num w:numId="18" w16cid:durableId="1073507075">
    <w:abstractNumId w:val="24"/>
  </w:num>
  <w:num w:numId="19" w16cid:durableId="441996239">
    <w:abstractNumId w:val="19"/>
  </w:num>
  <w:num w:numId="20" w16cid:durableId="1686635365">
    <w:abstractNumId w:val="26"/>
  </w:num>
  <w:num w:numId="21" w16cid:durableId="310446216">
    <w:abstractNumId w:val="16"/>
  </w:num>
  <w:num w:numId="22" w16cid:durableId="501356582">
    <w:abstractNumId w:val="11"/>
  </w:num>
  <w:num w:numId="23" w16cid:durableId="2115325735">
    <w:abstractNumId w:val="18"/>
  </w:num>
  <w:num w:numId="24" w16cid:durableId="1416170113">
    <w:abstractNumId w:val="29"/>
  </w:num>
  <w:num w:numId="25" w16cid:durableId="2068718992">
    <w:abstractNumId w:val="13"/>
  </w:num>
  <w:num w:numId="26" w16cid:durableId="1739405023">
    <w:abstractNumId w:val="27"/>
  </w:num>
  <w:num w:numId="27" w16cid:durableId="746071605">
    <w:abstractNumId w:val="20"/>
  </w:num>
  <w:num w:numId="28" w16cid:durableId="529882955">
    <w:abstractNumId w:val="14"/>
  </w:num>
  <w:num w:numId="29" w16cid:durableId="1226405846">
    <w:abstractNumId w:val="17"/>
  </w:num>
  <w:num w:numId="30" w16cid:durableId="1669823626">
    <w:abstractNumId w:val="15"/>
  </w:num>
  <w:num w:numId="31" w16cid:durableId="625967014">
    <w:abstractNumId w:val="23"/>
  </w:num>
  <w:num w:numId="32" w16cid:durableId="1764295836">
    <w:abstractNumId w:val="12"/>
  </w:num>
  <w:num w:numId="33" w16cid:durableId="1388458713">
    <w:abstractNumId w:val="22"/>
  </w:num>
  <w:num w:numId="34" w16cid:durableId="1256789283">
    <w:abstractNumId w:val="21"/>
  </w:num>
  <w:num w:numId="35" w16cid:durableId="210838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6D"/>
    <w:rsid w:val="00015F90"/>
    <w:rsid w:val="00023ED1"/>
    <w:rsid w:val="000468A8"/>
    <w:rsid w:val="00076A2C"/>
    <w:rsid w:val="000A1CCC"/>
    <w:rsid w:val="000D0D0A"/>
    <w:rsid w:val="000D2510"/>
    <w:rsid w:val="000E68D5"/>
    <w:rsid w:val="00103163"/>
    <w:rsid w:val="00106B19"/>
    <w:rsid w:val="001133EF"/>
    <w:rsid w:val="00115D93"/>
    <w:rsid w:val="001247A8"/>
    <w:rsid w:val="00130FED"/>
    <w:rsid w:val="001342E0"/>
    <w:rsid w:val="001370B2"/>
    <w:rsid w:val="001378C0"/>
    <w:rsid w:val="0014145C"/>
    <w:rsid w:val="00156A6C"/>
    <w:rsid w:val="0016011B"/>
    <w:rsid w:val="001658F9"/>
    <w:rsid w:val="0018694A"/>
    <w:rsid w:val="0019129B"/>
    <w:rsid w:val="001A06DE"/>
    <w:rsid w:val="001A3287"/>
    <w:rsid w:val="001A6508"/>
    <w:rsid w:val="001D4C31"/>
    <w:rsid w:val="001E4D21"/>
    <w:rsid w:val="001E53B8"/>
    <w:rsid w:val="001F1628"/>
    <w:rsid w:val="001F6F64"/>
    <w:rsid w:val="00207CD1"/>
    <w:rsid w:val="00226657"/>
    <w:rsid w:val="00237F7B"/>
    <w:rsid w:val="002477A2"/>
    <w:rsid w:val="00263A51"/>
    <w:rsid w:val="00267E02"/>
    <w:rsid w:val="00271321"/>
    <w:rsid w:val="00277DEA"/>
    <w:rsid w:val="00280AE6"/>
    <w:rsid w:val="002A042D"/>
    <w:rsid w:val="002A5D44"/>
    <w:rsid w:val="002B2E57"/>
    <w:rsid w:val="002B326C"/>
    <w:rsid w:val="002C3F32"/>
    <w:rsid w:val="002C4E3D"/>
    <w:rsid w:val="002D2336"/>
    <w:rsid w:val="002D53B0"/>
    <w:rsid w:val="002E0BC4"/>
    <w:rsid w:val="002F1B76"/>
    <w:rsid w:val="002F48E2"/>
    <w:rsid w:val="0033568E"/>
    <w:rsid w:val="0034270A"/>
    <w:rsid w:val="00355FF5"/>
    <w:rsid w:val="00361350"/>
    <w:rsid w:val="00363952"/>
    <w:rsid w:val="0037395A"/>
    <w:rsid w:val="003812AD"/>
    <w:rsid w:val="003B3F90"/>
    <w:rsid w:val="003C3FAE"/>
    <w:rsid w:val="003F7B0C"/>
    <w:rsid w:val="0040120B"/>
    <w:rsid w:val="004038CB"/>
    <w:rsid w:val="0040546F"/>
    <w:rsid w:val="004154AD"/>
    <w:rsid w:val="004177BD"/>
    <w:rsid w:val="0042404A"/>
    <w:rsid w:val="0044618F"/>
    <w:rsid w:val="00465C35"/>
    <w:rsid w:val="0046769A"/>
    <w:rsid w:val="00475FB3"/>
    <w:rsid w:val="004800A9"/>
    <w:rsid w:val="004C37A9"/>
    <w:rsid w:val="004D1D50"/>
    <w:rsid w:val="004D379E"/>
    <w:rsid w:val="004E1734"/>
    <w:rsid w:val="004F259E"/>
    <w:rsid w:val="004F633A"/>
    <w:rsid w:val="00501813"/>
    <w:rsid w:val="00504C7F"/>
    <w:rsid w:val="00505538"/>
    <w:rsid w:val="00511F1D"/>
    <w:rsid w:val="00520F36"/>
    <w:rsid w:val="00524E8D"/>
    <w:rsid w:val="00534E13"/>
    <w:rsid w:val="00540615"/>
    <w:rsid w:val="00540A6D"/>
    <w:rsid w:val="00553536"/>
    <w:rsid w:val="0055558A"/>
    <w:rsid w:val="0056057E"/>
    <w:rsid w:val="00566679"/>
    <w:rsid w:val="00571EEA"/>
    <w:rsid w:val="0057329D"/>
    <w:rsid w:val="00575417"/>
    <w:rsid w:val="005768E1"/>
    <w:rsid w:val="00596B1C"/>
    <w:rsid w:val="005B1938"/>
    <w:rsid w:val="005C3890"/>
    <w:rsid w:val="005F7BFE"/>
    <w:rsid w:val="00600017"/>
    <w:rsid w:val="00602682"/>
    <w:rsid w:val="006235CA"/>
    <w:rsid w:val="0062366E"/>
    <w:rsid w:val="006643AB"/>
    <w:rsid w:val="006920CD"/>
    <w:rsid w:val="006A11AE"/>
    <w:rsid w:val="006A3DDE"/>
    <w:rsid w:val="006B224B"/>
    <w:rsid w:val="006D7361"/>
    <w:rsid w:val="006E679C"/>
    <w:rsid w:val="006F0A53"/>
    <w:rsid w:val="0071402E"/>
    <w:rsid w:val="007210CD"/>
    <w:rsid w:val="00732045"/>
    <w:rsid w:val="0073275D"/>
    <w:rsid w:val="007369DB"/>
    <w:rsid w:val="0077110E"/>
    <w:rsid w:val="007956C2"/>
    <w:rsid w:val="00796BDB"/>
    <w:rsid w:val="007A0B90"/>
    <w:rsid w:val="007A187E"/>
    <w:rsid w:val="007C72C2"/>
    <w:rsid w:val="007D4436"/>
    <w:rsid w:val="007F257A"/>
    <w:rsid w:val="007F3665"/>
    <w:rsid w:val="007F613C"/>
    <w:rsid w:val="007F7FAA"/>
    <w:rsid w:val="00800037"/>
    <w:rsid w:val="00801087"/>
    <w:rsid w:val="00804E1A"/>
    <w:rsid w:val="0082299A"/>
    <w:rsid w:val="0083391C"/>
    <w:rsid w:val="0084546D"/>
    <w:rsid w:val="00861D73"/>
    <w:rsid w:val="00872981"/>
    <w:rsid w:val="00882919"/>
    <w:rsid w:val="008948EB"/>
    <w:rsid w:val="008952AF"/>
    <w:rsid w:val="00897553"/>
    <w:rsid w:val="008A4E87"/>
    <w:rsid w:val="008D0C6D"/>
    <w:rsid w:val="008D76E6"/>
    <w:rsid w:val="0092392D"/>
    <w:rsid w:val="00924017"/>
    <w:rsid w:val="0093234A"/>
    <w:rsid w:val="00942378"/>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1719"/>
    <w:rsid w:val="00A23A51"/>
    <w:rsid w:val="00A24607"/>
    <w:rsid w:val="00A25CD3"/>
    <w:rsid w:val="00A51849"/>
    <w:rsid w:val="00A709FE"/>
    <w:rsid w:val="00A73C60"/>
    <w:rsid w:val="00A82767"/>
    <w:rsid w:val="00A92B8C"/>
    <w:rsid w:val="00AA332F"/>
    <w:rsid w:val="00AA3ACA"/>
    <w:rsid w:val="00AA7BBB"/>
    <w:rsid w:val="00AB64A8"/>
    <w:rsid w:val="00AC004D"/>
    <w:rsid w:val="00AC0266"/>
    <w:rsid w:val="00AC0F1D"/>
    <w:rsid w:val="00AD0637"/>
    <w:rsid w:val="00AD24EC"/>
    <w:rsid w:val="00AF0F8F"/>
    <w:rsid w:val="00B22514"/>
    <w:rsid w:val="00B27B00"/>
    <w:rsid w:val="00B309F9"/>
    <w:rsid w:val="00B32B60"/>
    <w:rsid w:val="00B4639A"/>
    <w:rsid w:val="00B51005"/>
    <w:rsid w:val="00B52E99"/>
    <w:rsid w:val="00B561CD"/>
    <w:rsid w:val="00B61619"/>
    <w:rsid w:val="00BB38C1"/>
    <w:rsid w:val="00BB4545"/>
    <w:rsid w:val="00BC378E"/>
    <w:rsid w:val="00BD4C93"/>
    <w:rsid w:val="00BD5873"/>
    <w:rsid w:val="00BF00AF"/>
    <w:rsid w:val="00BF4B60"/>
    <w:rsid w:val="00C049D7"/>
    <w:rsid w:val="00C04BE3"/>
    <w:rsid w:val="00C25D29"/>
    <w:rsid w:val="00C2625E"/>
    <w:rsid w:val="00C27A7C"/>
    <w:rsid w:val="00C42437"/>
    <w:rsid w:val="00C46281"/>
    <w:rsid w:val="00C66B62"/>
    <w:rsid w:val="00C85D75"/>
    <w:rsid w:val="00C95D98"/>
    <w:rsid w:val="00CA08ED"/>
    <w:rsid w:val="00CC6EAA"/>
    <w:rsid w:val="00CE5172"/>
    <w:rsid w:val="00CF0534"/>
    <w:rsid w:val="00CF183B"/>
    <w:rsid w:val="00D05490"/>
    <w:rsid w:val="00D14834"/>
    <w:rsid w:val="00D211F8"/>
    <w:rsid w:val="00D27886"/>
    <w:rsid w:val="00D375CD"/>
    <w:rsid w:val="00D37B53"/>
    <w:rsid w:val="00D553A2"/>
    <w:rsid w:val="00D72F49"/>
    <w:rsid w:val="00D774D3"/>
    <w:rsid w:val="00D87ADA"/>
    <w:rsid w:val="00D904E8"/>
    <w:rsid w:val="00D9548E"/>
    <w:rsid w:val="00DA08C3"/>
    <w:rsid w:val="00DA173A"/>
    <w:rsid w:val="00DB5A3E"/>
    <w:rsid w:val="00DC22AA"/>
    <w:rsid w:val="00DC50EF"/>
    <w:rsid w:val="00DD1A99"/>
    <w:rsid w:val="00DE2C09"/>
    <w:rsid w:val="00DE62C6"/>
    <w:rsid w:val="00DE7AEA"/>
    <w:rsid w:val="00DF74DD"/>
    <w:rsid w:val="00E25AD0"/>
    <w:rsid w:val="00E4428F"/>
    <w:rsid w:val="00E4448E"/>
    <w:rsid w:val="00E45EDC"/>
    <w:rsid w:val="00E47427"/>
    <w:rsid w:val="00E649A2"/>
    <w:rsid w:val="00E90647"/>
    <w:rsid w:val="00E93668"/>
    <w:rsid w:val="00E95434"/>
    <w:rsid w:val="00E95647"/>
    <w:rsid w:val="00E971EE"/>
    <w:rsid w:val="00EA1115"/>
    <w:rsid w:val="00EB6350"/>
    <w:rsid w:val="00ED34C2"/>
    <w:rsid w:val="00ED799B"/>
    <w:rsid w:val="00EE06FE"/>
    <w:rsid w:val="00EE73BA"/>
    <w:rsid w:val="00F0536D"/>
    <w:rsid w:val="00F07EB0"/>
    <w:rsid w:val="00F15B57"/>
    <w:rsid w:val="00F35EF4"/>
    <w:rsid w:val="00F37A73"/>
    <w:rsid w:val="00F37FE5"/>
    <w:rsid w:val="00F427DB"/>
    <w:rsid w:val="00F46018"/>
    <w:rsid w:val="00F767ED"/>
    <w:rsid w:val="00F806E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CB8F"/>
  <w15:docId w15:val="{73EDBD4B-934A-4ED2-B7C2-45E4D072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rsid w:val="008D0C6D"/>
    <w:rPr>
      <w:sz w:val="16"/>
      <w:szCs w:val="16"/>
    </w:rPr>
  </w:style>
  <w:style w:type="paragraph" w:styleId="CommentText">
    <w:name w:val="annotation text"/>
    <w:basedOn w:val="Normal"/>
    <w:link w:val="CommentTextChar"/>
    <w:rsid w:val="008D0C6D"/>
    <w:pPr>
      <w:tabs>
        <w:tab w:val="clear" w:pos="567"/>
        <w:tab w:val="clear" w:pos="1134"/>
        <w:tab w:val="clear" w:pos="1701"/>
        <w:tab w:val="clear" w:pos="2268"/>
        <w:tab w:val="clear" w:pos="2835"/>
      </w:tabs>
      <w:suppressAutoHyphens/>
      <w:overflowPunct/>
      <w:autoSpaceDE/>
      <w:adjustRightInd/>
      <w:jc w:val="both"/>
      <w:textAlignment w:val="auto"/>
    </w:pPr>
    <w:rPr>
      <w:rFonts w:eastAsia="SimSun"/>
      <w:sz w:val="20"/>
      <w:szCs w:val="22"/>
      <w:lang w:val="en-US" w:eastAsia="fr-FR"/>
    </w:rPr>
  </w:style>
  <w:style w:type="character" w:customStyle="1" w:styleId="CommentTextChar">
    <w:name w:val="Comment Text Char"/>
    <w:basedOn w:val="DefaultParagraphFont"/>
    <w:link w:val="CommentText"/>
    <w:rsid w:val="008D0C6D"/>
    <w:rPr>
      <w:rFonts w:ascii="Calibri" w:eastAsia="SimSun" w:hAnsi="Calibri"/>
      <w:szCs w:val="22"/>
      <w:lang w:eastAsia="fr-FR"/>
    </w:rPr>
  </w:style>
  <w:style w:type="paragraph" w:styleId="CommentSubject">
    <w:name w:val="annotation subject"/>
    <w:basedOn w:val="CommentText"/>
    <w:next w:val="CommentText"/>
    <w:link w:val="CommentSubjectChar"/>
    <w:semiHidden/>
    <w:unhideWhenUsed/>
    <w:rsid w:val="00015F90"/>
    <w:pPr>
      <w:tabs>
        <w:tab w:val="left" w:pos="567"/>
        <w:tab w:val="left" w:pos="1134"/>
        <w:tab w:val="left" w:pos="1701"/>
        <w:tab w:val="left" w:pos="2268"/>
        <w:tab w:val="left" w:pos="2835"/>
      </w:tabs>
      <w:suppressAutoHyphens w:val="0"/>
      <w:overflowPunct w:val="0"/>
      <w:autoSpaceDE w:val="0"/>
      <w:adjustRightInd w:val="0"/>
      <w:jc w:val="left"/>
      <w:textAlignment w:val="baseline"/>
    </w:pPr>
    <w:rPr>
      <w:rFonts w:eastAsia="Times New Roman"/>
      <w:b/>
      <w:bCs/>
      <w:szCs w:val="20"/>
      <w:lang w:val="fr-FR" w:eastAsia="en-US"/>
    </w:rPr>
  </w:style>
  <w:style w:type="character" w:customStyle="1" w:styleId="CommentSubjectChar">
    <w:name w:val="Comment Subject Char"/>
    <w:basedOn w:val="CommentTextChar"/>
    <w:link w:val="CommentSubject"/>
    <w:semiHidden/>
    <w:rsid w:val="00015F90"/>
    <w:rPr>
      <w:rFonts w:ascii="Calibri" w:eastAsia="SimSun" w:hAnsi="Calibri"/>
      <w:b/>
      <w:bCs/>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23ADD-C-0004/fr" TargetMode="External"/><Relationship Id="rId18" Type="http://schemas.openxmlformats.org/officeDocument/2006/relationships/hyperlink" Target="https://www.itu.int/md/S24-CL-INF-0013/fr" TargetMode="External"/><Relationship Id="rId26" Type="http://schemas.openxmlformats.org/officeDocument/2006/relationships/hyperlink" Target="https://www.itu.int/md/S25-DM-CIR-1007/fr" TargetMode="External"/><Relationship Id="rId39" Type="http://schemas.openxmlformats.org/officeDocument/2006/relationships/theme" Target="theme/theme1.xml"/><Relationship Id="rId21" Type="http://schemas.openxmlformats.org/officeDocument/2006/relationships/hyperlink" Target="https://www.itu.int/md/S25-CL-C-0004/f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3-CL-C-0107/fr" TargetMode="External"/><Relationship Id="rId17" Type="http://schemas.openxmlformats.org/officeDocument/2006/relationships/hyperlink" Target="https://www.itu.int/md/S24-CL-C-0086/fr" TargetMode="External"/><Relationship Id="rId25" Type="http://schemas.openxmlformats.org/officeDocument/2006/relationships/hyperlink" Target="https://www.itu.int/md/S25-SG-CIR-0047/fr"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4-CL-C-0004/fr" TargetMode="External"/><Relationship Id="rId20" Type="http://schemas.openxmlformats.org/officeDocument/2006/relationships/hyperlink" Target="https://www.itu.int/md/S24-SG-CIR-0011/fr" TargetMode="External"/><Relationship Id="rId29" Type="http://schemas.openxmlformats.org/officeDocument/2006/relationships/hyperlink" Target="https://www.itu.int/net4/proposals/CPI/PP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84/fr" TargetMode="External"/><Relationship Id="rId24" Type="http://schemas.openxmlformats.org/officeDocument/2006/relationships/hyperlink" Target="https://www.itu.int/md/S25-CL-C-0004/fr" TargetMode="External"/><Relationship Id="rId32" Type="http://schemas.openxmlformats.org/officeDocument/2006/relationships/hyperlink" Target="https://pp.itu.int/2026/en/about/pp-preparatory/"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3-SG-CIR-0053/fr" TargetMode="External"/><Relationship Id="rId23" Type="http://schemas.openxmlformats.org/officeDocument/2006/relationships/hyperlink" Target="https://www.itu.int/md/S25-SG-CIR-0048/fr" TargetMode="External"/><Relationship Id="rId28" Type="http://schemas.openxmlformats.org/officeDocument/2006/relationships/hyperlink" Target="https://www.itu.int/md/S25-SG-CIR-0048/fr" TargetMode="External"/><Relationship Id="rId36" Type="http://schemas.openxmlformats.org/officeDocument/2006/relationships/header" Target="header2.xml"/><Relationship Id="rId10" Type="http://schemas.openxmlformats.org/officeDocument/2006/relationships/hyperlink" Target="https://www.itu.int/md/S23-CL-C-0004/fr" TargetMode="External"/><Relationship Id="rId19" Type="http://schemas.openxmlformats.org/officeDocument/2006/relationships/hyperlink" Target="https://www.itu.int/md/S24-CL-C-0113/fr" TargetMode="External"/><Relationship Id="rId31" Type="http://schemas.openxmlformats.org/officeDocument/2006/relationships/hyperlink" Target="https://www.itu.int/md/meetingdoc.asp?lang=fr&amp;parent=" TargetMode="External"/><Relationship Id="rId4" Type="http://schemas.openxmlformats.org/officeDocument/2006/relationships/settings" Target="settings.xml"/><Relationship Id="rId9" Type="http://schemas.openxmlformats.org/officeDocument/2006/relationships/hyperlink" Target="https://www.itu.int/md/S23-CL-C-0004/fr" TargetMode="External"/><Relationship Id="rId14" Type="http://schemas.openxmlformats.org/officeDocument/2006/relationships/hyperlink" Target="https://www.itu.int/md/S23-SG-CIR-0044/fr" TargetMode="External"/><Relationship Id="rId22" Type="http://schemas.openxmlformats.org/officeDocument/2006/relationships/hyperlink" Target="https://www.itu.int/md/S25-SG-CIR-0047/fr" TargetMode="External"/><Relationship Id="rId27" Type="http://schemas.openxmlformats.org/officeDocument/2006/relationships/hyperlink" Target="https://www.itu.int/md/S25-DM-CIR-1006/fr" TargetMode="External"/><Relationship Id="rId30" Type="http://schemas.openxmlformats.org/officeDocument/2006/relationships/hyperlink" Target="https://www.itu.int/md/S26-SG-CIR-0021/fr" TargetMode="External"/><Relationship Id="rId35" Type="http://schemas.openxmlformats.org/officeDocument/2006/relationships/footer" Target="footer2.xml"/><Relationship Id="rId8" Type="http://schemas.openxmlformats.org/officeDocument/2006/relationships/hyperlink" Target="https://www.itu.int/pub/S-CONF-PLEN-2022/fr"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8910-D50A-4AE5-8311-B97F04B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2147</Words>
  <Characters>13127</Characters>
  <Application>Microsoft Office Word</Application>
  <DocSecurity>0</DocSecurity>
  <Lines>230</Lines>
  <Paragraphs>97</Paragraphs>
  <ScaleCrop>false</ScaleCrop>
  <HeadingPairs>
    <vt:vector size="2" baseType="variant">
      <vt:variant>
        <vt:lpstr>Title</vt:lpstr>
      </vt:variant>
      <vt:variant>
        <vt:i4>1</vt:i4>
      </vt:variant>
    </vt:vector>
  </HeadingPairs>
  <TitlesOfParts>
    <vt:vector size="1" baseType="lpstr">
      <vt:lpstr>Travaux préparatoires en vue de la Conférence de plénipotentiaires de 2026</vt:lpstr>
    </vt:vector>
  </TitlesOfParts>
  <Manager>Secrétariat général - Pool</Manager>
  <Company>Union internationale des télécommunications (UIT)</Company>
  <LinksUpToDate>false</LinksUpToDate>
  <CharactersWithSpaces>15177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préparatoires en vue de la Conférence de plénipotentiaires de 2026</dc:title>
  <dc:subject>Conseil 2026 de l'UIT</dc:subject>
  <cp:keywords>C26; C2026; Council 2026; PP26</cp:keywords>
  <dc:description/>
  <cp:lastPrinted>2000-07-18T08:55:00Z</cp:lastPrinted>
  <dcterms:created xsi:type="dcterms:W3CDTF">2026-04-07T11:19:00Z</dcterms:created>
  <dcterms:modified xsi:type="dcterms:W3CDTF">2026-04-07T11:27:00Z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