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6CA61803" w14:textId="77777777" w:rsidTr="00F363FE">
        <w:tc>
          <w:tcPr>
            <w:tcW w:w="6512" w:type="dxa"/>
          </w:tcPr>
          <w:p w14:paraId="5CBCAEB9" w14:textId="40421F66" w:rsidR="007B0AA0" w:rsidRPr="007B0AA0" w:rsidRDefault="007B0AA0" w:rsidP="00F363FE">
            <w:pPr>
              <w:spacing w:before="60" w:after="60" w:line="260" w:lineRule="exact"/>
              <w:rPr>
                <w:b/>
                <w:bCs/>
                <w:rtl/>
              </w:rPr>
            </w:pPr>
            <w:r w:rsidRPr="007B0AA0">
              <w:rPr>
                <w:rFonts w:hint="cs"/>
                <w:b/>
                <w:bCs/>
                <w:rtl/>
                <w:lang w:bidi="ar-EG"/>
              </w:rPr>
              <w:t>بند جدول الأعمال:</w:t>
            </w:r>
            <w:r w:rsidR="00EA798B">
              <w:rPr>
                <w:rFonts w:hint="cs"/>
                <w:b/>
                <w:bCs/>
                <w:rtl/>
              </w:rPr>
              <w:t xml:space="preserve"> </w:t>
            </w:r>
            <w:r w:rsidR="00EA798B">
              <w:rPr>
                <w:b/>
              </w:rPr>
              <w:t>PL-3</w:t>
            </w:r>
          </w:p>
        </w:tc>
        <w:tc>
          <w:tcPr>
            <w:tcW w:w="3117" w:type="dxa"/>
          </w:tcPr>
          <w:p w14:paraId="4D87C53A" w14:textId="09BED6DD"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EA798B">
              <w:rPr>
                <w:b/>
                <w:bCs/>
                <w:lang w:bidi="ar-EG"/>
              </w:rPr>
              <w:t>4</w:t>
            </w:r>
            <w:r w:rsidRPr="007B0AA0">
              <w:rPr>
                <w:b/>
                <w:bCs/>
                <w:lang w:bidi="ar-EG"/>
              </w:rPr>
              <w:t>-A</w:t>
            </w:r>
          </w:p>
        </w:tc>
      </w:tr>
      <w:tr w:rsidR="007B0AA0" w14:paraId="7CCA4458" w14:textId="77777777" w:rsidTr="00F363FE">
        <w:tc>
          <w:tcPr>
            <w:tcW w:w="6512" w:type="dxa"/>
          </w:tcPr>
          <w:p w14:paraId="3AF4120B" w14:textId="77777777" w:rsidR="007B0AA0" w:rsidRPr="007B0AA0" w:rsidRDefault="007B0AA0" w:rsidP="00F363FE">
            <w:pPr>
              <w:spacing w:before="60" w:after="60" w:line="260" w:lineRule="exact"/>
              <w:rPr>
                <w:b/>
                <w:bCs/>
                <w:rtl/>
                <w:lang w:bidi="ar-EG"/>
              </w:rPr>
            </w:pPr>
          </w:p>
        </w:tc>
        <w:tc>
          <w:tcPr>
            <w:tcW w:w="3117" w:type="dxa"/>
          </w:tcPr>
          <w:p w14:paraId="4064F9A7" w14:textId="4E1E4401" w:rsidR="007B0AA0" w:rsidRPr="00EA798B" w:rsidRDefault="00EA798B" w:rsidP="00F363FE">
            <w:pPr>
              <w:spacing w:before="60" w:after="60" w:line="260" w:lineRule="exact"/>
              <w:rPr>
                <w:b/>
                <w:bCs/>
                <w:lang w:val="en-GB"/>
              </w:rPr>
            </w:pPr>
            <w:r>
              <w:rPr>
                <w:b/>
                <w:bCs/>
                <w:lang w:bidi="ar-EG"/>
              </w:rPr>
              <w:t>27</w:t>
            </w:r>
            <w:r>
              <w:rPr>
                <w:rFonts w:hint="cs"/>
                <w:b/>
                <w:bCs/>
                <w:rtl/>
              </w:rPr>
              <w:t xml:space="preserve"> مارس </w:t>
            </w:r>
            <w:r>
              <w:rPr>
                <w:b/>
                <w:bCs/>
                <w:lang w:val="en-GB"/>
              </w:rPr>
              <w:t>2026</w:t>
            </w:r>
          </w:p>
        </w:tc>
      </w:tr>
      <w:tr w:rsidR="007B0AA0" w14:paraId="77D398A6" w14:textId="77777777" w:rsidTr="00F363FE">
        <w:tc>
          <w:tcPr>
            <w:tcW w:w="6512" w:type="dxa"/>
          </w:tcPr>
          <w:p w14:paraId="76ACEB83" w14:textId="77777777" w:rsidR="007B0AA0" w:rsidRPr="007B0AA0" w:rsidRDefault="007B0AA0" w:rsidP="00F363FE">
            <w:pPr>
              <w:spacing w:before="60" w:after="60" w:line="260" w:lineRule="exact"/>
              <w:rPr>
                <w:b/>
                <w:bCs/>
                <w:rtl/>
                <w:lang w:bidi="ar-EG"/>
              </w:rPr>
            </w:pPr>
          </w:p>
        </w:tc>
        <w:tc>
          <w:tcPr>
            <w:tcW w:w="3117" w:type="dxa"/>
          </w:tcPr>
          <w:p w14:paraId="62D3F10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35F64625" w14:textId="77777777" w:rsidTr="00F363FE">
        <w:tc>
          <w:tcPr>
            <w:tcW w:w="6512" w:type="dxa"/>
          </w:tcPr>
          <w:p w14:paraId="0B940E18" w14:textId="77777777" w:rsidR="007B0AA0" w:rsidRDefault="007B0AA0" w:rsidP="00F363FE">
            <w:pPr>
              <w:spacing w:before="60" w:after="60" w:line="260" w:lineRule="exact"/>
              <w:rPr>
                <w:lang w:bidi="ar-EG"/>
              </w:rPr>
            </w:pPr>
          </w:p>
        </w:tc>
        <w:tc>
          <w:tcPr>
            <w:tcW w:w="3117" w:type="dxa"/>
          </w:tcPr>
          <w:p w14:paraId="49ED76E0" w14:textId="77777777" w:rsidR="007B0AA0" w:rsidRDefault="007B0AA0" w:rsidP="00F363FE">
            <w:pPr>
              <w:spacing w:before="60" w:after="60" w:line="260" w:lineRule="exact"/>
              <w:rPr>
                <w:rtl/>
                <w:lang w:bidi="ar-EG"/>
              </w:rPr>
            </w:pPr>
          </w:p>
        </w:tc>
      </w:tr>
      <w:tr w:rsidR="007B0AA0" w14:paraId="1203AE8B" w14:textId="77777777" w:rsidTr="00EE7446">
        <w:tc>
          <w:tcPr>
            <w:tcW w:w="9629" w:type="dxa"/>
            <w:gridSpan w:val="2"/>
          </w:tcPr>
          <w:p w14:paraId="43EDB9F4" w14:textId="77777777" w:rsidR="007B0AA0" w:rsidRDefault="001D64C7" w:rsidP="007B0AA0">
            <w:pPr>
              <w:pStyle w:val="Source"/>
              <w:jc w:val="left"/>
              <w:rPr>
                <w:lang w:bidi="ar-EG"/>
              </w:rPr>
            </w:pPr>
            <w:r>
              <w:rPr>
                <w:rFonts w:hint="cs"/>
                <w:rtl/>
                <w:lang w:bidi="ar-EG"/>
              </w:rPr>
              <w:t>تقرير من الأمينة العامة</w:t>
            </w:r>
          </w:p>
        </w:tc>
      </w:tr>
      <w:tr w:rsidR="007B0AA0" w14:paraId="2078B779" w14:textId="77777777" w:rsidTr="007B0AA0">
        <w:tc>
          <w:tcPr>
            <w:tcW w:w="9629" w:type="dxa"/>
            <w:gridSpan w:val="2"/>
            <w:tcBorders>
              <w:bottom w:val="single" w:sz="4" w:space="0" w:color="auto"/>
            </w:tcBorders>
          </w:tcPr>
          <w:p w14:paraId="324BC95D" w14:textId="1B105173" w:rsidR="007B0AA0" w:rsidRPr="005546CF" w:rsidRDefault="00EA798B" w:rsidP="007B0AA0">
            <w:pPr>
              <w:pStyle w:val="Subtitle0"/>
              <w:rPr>
                <w:sz w:val="32"/>
                <w:szCs w:val="32"/>
              </w:rPr>
            </w:pPr>
            <w:r w:rsidRPr="00EA798B">
              <w:rPr>
                <w:sz w:val="32"/>
                <w:szCs w:val="32"/>
                <w:rtl/>
              </w:rPr>
              <w:t>الأعمال التحضيرية لمؤتمر المندوبين المفوضين لعام 2026</w:t>
            </w:r>
          </w:p>
        </w:tc>
      </w:tr>
      <w:tr w:rsidR="007B0AA0" w14:paraId="0C3E9DA2" w14:textId="77777777" w:rsidTr="007B0AA0">
        <w:tc>
          <w:tcPr>
            <w:tcW w:w="9629" w:type="dxa"/>
            <w:gridSpan w:val="2"/>
            <w:tcBorders>
              <w:top w:val="single" w:sz="4" w:space="0" w:color="auto"/>
              <w:bottom w:val="single" w:sz="4" w:space="0" w:color="auto"/>
            </w:tcBorders>
          </w:tcPr>
          <w:p w14:paraId="522369C2" w14:textId="77777777" w:rsidR="007B0AA0" w:rsidRPr="007B0AA0" w:rsidRDefault="007B0AA0" w:rsidP="007B0AA0">
            <w:pPr>
              <w:rPr>
                <w:b/>
                <w:bCs/>
                <w:rtl/>
              </w:rPr>
            </w:pPr>
            <w:r w:rsidRPr="00494119">
              <w:rPr>
                <w:rFonts w:hint="cs"/>
                <w:b/>
                <w:bCs/>
                <w:rtl/>
              </w:rPr>
              <w:t>الغرض</w:t>
            </w:r>
          </w:p>
          <w:p w14:paraId="339D1849" w14:textId="01DCA32C" w:rsidR="007B0AA0" w:rsidRPr="00890788" w:rsidRDefault="00EA798B" w:rsidP="007B0AA0">
            <w:pPr>
              <w:rPr>
                <w:spacing w:val="-2"/>
                <w:rtl/>
              </w:rPr>
            </w:pPr>
            <w:r w:rsidRPr="00890788">
              <w:rPr>
                <w:spacing w:val="-2"/>
                <w:rtl/>
              </w:rPr>
              <w:t xml:space="preserve">الغرض من هذه الوثيقة إحاطة المجلس علماً بحالة الأعمال التحضيرية لمؤتمر المندوبين المفوضين المقبل </w:t>
            </w:r>
            <w:r w:rsidRPr="00890788">
              <w:rPr>
                <w:spacing w:val="-2"/>
              </w:rPr>
              <w:t>PP-26</w:t>
            </w:r>
            <w:r w:rsidR="00890788">
              <w:rPr>
                <w:spacing w:val="-2"/>
              </w:rPr>
              <w:t>)</w:t>
            </w:r>
            <w:r w:rsidRPr="00890788">
              <w:rPr>
                <w:spacing w:val="-2"/>
                <w:rtl/>
              </w:rPr>
              <w:t>).</w:t>
            </w:r>
          </w:p>
          <w:p w14:paraId="2CB97612" w14:textId="77777777" w:rsidR="007B0AA0" w:rsidRPr="007B0AA0" w:rsidRDefault="007B0AA0" w:rsidP="007B0AA0">
            <w:pPr>
              <w:rPr>
                <w:b/>
                <w:bCs/>
                <w:rtl/>
              </w:rPr>
            </w:pPr>
            <w:r w:rsidRPr="007B0AA0">
              <w:rPr>
                <w:rFonts w:hint="cs"/>
                <w:b/>
                <w:bCs/>
                <w:rtl/>
              </w:rPr>
              <w:t>الإجراء المطلوب من المجلس</w:t>
            </w:r>
          </w:p>
          <w:p w14:paraId="61F36A4D" w14:textId="086C79EC" w:rsidR="007B0AA0" w:rsidRDefault="00EA798B" w:rsidP="007B0AA0">
            <w:pPr>
              <w:rPr>
                <w:rtl/>
              </w:rPr>
            </w:pPr>
            <w:r w:rsidRPr="00EA798B">
              <w:rPr>
                <w:rtl/>
              </w:rPr>
              <w:t>ي</w:t>
            </w:r>
            <w:r w:rsidR="00890788">
              <w:rPr>
                <w:rFonts w:hint="cs"/>
                <w:rtl/>
              </w:rPr>
              <w:t>ُ</w:t>
            </w:r>
            <w:r w:rsidRPr="00EA798B">
              <w:rPr>
                <w:rtl/>
              </w:rPr>
              <w:t xml:space="preserve">دعى المجلس إلى </w:t>
            </w:r>
            <w:r w:rsidRPr="00890788">
              <w:rPr>
                <w:b/>
                <w:bCs/>
                <w:rtl/>
              </w:rPr>
              <w:t>الإحاطة علماً</w:t>
            </w:r>
            <w:r w:rsidRPr="00EA798B">
              <w:rPr>
                <w:rtl/>
              </w:rPr>
              <w:t xml:space="preserve"> بالحالة الراهنة للأعمال التحضيرية لمؤتمر المندوبين المفوضين لعام 2026.</w:t>
            </w:r>
          </w:p>
          <w:p w14:paraId="5241FD0A"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48954625" w14:textId="73E80A6C" w:rsidR="007B0AA0" w:rsidRDefault="00EA798B" w:rsidP="007B0AA0">
            <w:pPr>
              <w:rPr>
                <w:rtl/>
              </w:rPr>
            </w:pPr>
            <w:r w:rsidRPr="00067BD4">
              <w:rPr>
                <w:rtl/>
              </w:rPr>
              <w:t>منصات عقد الاجتماعات.</w:t>
            </w:r>
          </w:p>
          <w:p w14:paraId="21B0C74B" w14:textId="77777777" w:rsidR="007B0AA0" w:rsidRDefault="007B0AA0" w:rsidP="00B97F32">
            <w:pPr>
              <w:rPr>
                <w:b/>
                <w:bCs/>
              </w:rPr>
            </w:pPr>
            <w:r w:rsidRPr="007B0AA0">
              <w:rPr>
                <w:rFonts w:hint="cs"/>
                <w:b/>
                <w:bCs/>
                <w:rtl/>
              </w:rPr>
              <w:t>الآثار المالية</w:t>
            </w:r>
          </w:p>
          <w:p w14:paraId="15DA5786" w14:textId="54C1A756" w:rsidR="006F363C" w:rsidRPr="005546CF" w:rsidRDefault="00EA798B" w:rsidP="007B0AA0">
            <w:pPr>
              <w:rPr>
                <w:rtl/>
              </w:rPr>
            </w:pPr>
            <w:r w:rsidRPr="00EA798B">
              <w:rPr>
                <w:rtl/>
              </w:rPr>
              <w:t xml:space="preserve">ضمن الميزانية المخصَّصة لفترة السنتين </w:t>
            </w:r>
            <w:r w:rsidR="00890788">
              <w:rPr>
                <w:rFonts w:hint="cs"/>
                <w:rtl/>
              </w:rPr>
              <w:t>2024</w:t>
            </w:r>
            <w:r w:rsidRPr="00EA798B">
              <w:rPr>
                <w:rtl/>
              </w:rPr>
              <w:t>-</w:t>
            </w:r>
            <w:r w:rsidR="00890788">
              <w:rPr>
                <w:rFonts w:hint="cs"/>
                <w:rtl/>
              </w:rPr>
              <w:t>2025</w:t>
            </w:r>
            <w:r w:rsidRPr="00EA798B">
              <w:rPr>
                <w:rtl/>
              </w:rPr>
              <w:t xml:space="preserve"> والسنتين 2026-2027.</w:t>
            </w:r>
          </w:p>
          <w:p w14:paraId="745C69E5"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577B91" w14:textId="77777777" w:rsidR="007B0AA0" w:rsidRPr="007B0AA0" w:rsidRDefault="007B0AA0" w:rsidP="007B0AA0">
            <w:pPr>
              <w:rPr>
                <w:b/>
                <w:bCs/>
                <w:rtl/>
              </w:rPr>
            </w:pPr>
            <w:r w:rsidRPr="007B0AA0">
              <w:rPr>
                <w:rFonts w:hint="cs"/>
                <w:b/>
                <w:bCs/>
                <w:rtl/>
              </w:rPr>
              <w:t>المراجع</w:t>
            </w:r>
          </w:p>
          <w:p w14:paraId="6F2C2970" w14:textId="1BB09252" w:rsidR="00890788" w:rsidRPr="00142306" w:rsidRDefault="00EA798B" w:rsidP="00142306">
            <w:pPr>
              <w:rPr>
                <w:rtl/>
              </w:rPr>
            </w:pPr>
            <w:hyperlink r:id="rId8" w:history="1">
              <w:r w:rsidRPr="00890788">
                <w:rPr>
                  <w:rStyle w:val="Hyperlink"/>
                  <w:i/>
                  <w:iCs/>
                  <w:noProof w:val="0"/>
                  <w:rtl/>
                  <w:lang w:val="en-US" w:eastAsia="zh-CN"/>
                </w:rPr>
                <w:t>الرقم 2 من الاتفاقية</w:t>
              </w:r>
            </w:hyperlink>
            <w:r w:rsidRPr="00EA798B">
              <w:rPr>
                <w:i/>
                <w:iCs/>
                <w:rtl/>
              </w:rPr>
              <w:t xml:space="preserve">، </w:t>
            </w:r>
            <w:hyperlink r:id="rId9" w:history="1">
              <w:r w:rsidRPr="00890788">
                <w:rPr>
                  <w:rStyle w:val="Hyperlink"/>
                  <w:i/>
                  <w:iCs/>
                  <w:noProof w:val="0"/>
                  <w:rtl/>
                  <w:lang w:val="en-US" w:eastAsia="zh-CN"/>
                </w:rPr>
                <w:t>القرار 77 (المراجَع في بوخارست، 2022)</w:t>
              </w:r>
            </w:hyperlink>
            <w:r w:rsidRPr="00EA798B">
              <w:rPr>
                <w:i/>
                <w:iCs/>
                <w:rtl/>
              </w:rPr>
              <w:t xml:space="preserve"> لمؤتمر المندوبين المفوضين؛ المقـرر </w:t>
            </w:r>
            <w:hyperlink r:id="rId10" w:history="1">
              <w:r w:rsidRPr="00890788">
                <w:rPr>
                  <w:rStyle w:val="Hyperlink"/>
                  <w:i/>
                  <w:iCs/>
                  <w:noProof w:val="0"/>
                  <w:rtl/>
                  <w:lang w:val="en-US" w:eastAsia="zh-CN"/>
                </w:rPr>
                <w:t>636 (</w:t>
              </w:r>
              <w:r w:rsidR="00067BD4">
                <w:rPr>
                  <w:rStyle w:val="Hyperlink"/>
                  <w:rFonts w:hint="cs"/>
                  <w:i/>
                  <w:iCs/>
                  <w:noProof w:val="0"/>
                  <w:rtl/>
                  <w:lang w:val="en-US" w:eastAsia="zh-CN"/>
                </w:rPr>
                <w:t>د</w:t>
              </w:r>
              <w:r w:rsidR="00067BD4">
                <w:rPr>
                  <w:rStyle w:val="Hyperlink"/>
                  <w:rFonts w:hint="cs"/>
                  <w:i/>
                  <w:iCs/>
                  <w:rtl/>
                </w:rPr>
                <w:t>ورة المجلس لعام 2023</w:t>
              </w:r>
              <w:r w:rsidR="00067BD4">
                <w:rPr>
                  <w:rStyle w:val="Hyperlink"/>
                  <w:rFonts w:hint="cs"/>
                  <w:i/>
                  <w:iCs/>
                  <w:noProof w:val="0"/>
                  <w:rtl/>
                  <w:lang w:val="en-US" w:eastAsia="zh-CN"/>
                </w:rPr>
                <w:t>)</w:t>
              </w:r>
            </w:hyperlink>
            <w:r w:rsidR="00067BD4" w:rsidRPr="00EA798B">
              <w:rPr>
                <w:i/>
                <w:iCs/>
                <w:rtl/>
              </w:rPr>
              <w:t xml:space="preserve"> </w:t>
            </w:r>
            <w:r w:rsidRPr="00EA798B">
              <w:rPr>
                <w:i/>
                <w:iCs/>
                <w:rtl/>
              </w:rPr>
              <w:t xml:space="preserve">؛ الوثائق </w:t>
            </w:r>
            <w:hyperlink r:id="rId11" w:history="1">
              <w:r w:rsidR="00142306" w:rsidRPr="00390CE6">
                <w:rPr>
                  <w:rStyle w:val="Hyperlink"/>
                  <w:i/>
                  <w:iCs/>
                </w:rPr>
                <w:t>C23/4</w:t>
              </w:r>
            </w:hyperlink>
            <w:r w:rsidR="00142306">
              <w:rPr>
                <w:rFonts w:hint="cs"/>
                <w:rtl/>
              </w:rPr>
              <w:t xml:space="preserve"> </w:t>
            </w:r>
            <w:r w:rsidR="00142306" w:rsidRPr="00390CE6">
              <w:rPr>
                <w:i/>
                <w:iCs/>
                <w:rtl/>
              </w:rPr>
              <w:t>و</w:t>
            </w:r>
            <w:hyperlink r:id="rId12" w:history="1">
              <w:r w:rsidR="00142306" w:rsidRPr="00390CE6">
                <w:rPr>
                  <w:rStyle w:val="Hyperlink"/>
                  <w:i/>
                  <w:iCs/>
                </w:rPr>
                <w:t>C23/84</w:t>
              </w:r>
            </w:hyperlink>
            <w:r w:rsidR="00142306">
              <w:rPr>
                <w:rFonts w:hint="cs"/>
                <w:rtl/>
              </w:rPr>
              <w:t xml:space="preserve"> </w:t>
            </w:r>
            <w:r w:rsidR="00142306" w:rsidRPr="00390CE6">
              <w:rPr>
                <w:i/>
                <w:iCs/>
                <w:rtl/>
              </w:rPr>
              <w:t>و</w:t>
            </w:r>
            <w:hyperlink r:id="rId13" w:history="1">
              <w:r w:rsidR="00142306" w:rsidRPr="00390CE6">
                <w:rPr>
                  <w:rStyle w:val="Hyperlink"/>
                  <w:i/>
                  <w:iCs/>
                </w:rPr>
                <w:t>C23/107</w:t>
              </w:r>
            </w:hyperlink>
            <w:r w:rsidR="00142306">
              <w:rPr>
                <w:rFonts w:hint="cs"/>
                <w:rtl/>
              </w:rPr>
              <w:t xml:space="preserve"> </w:t>
            </w:r>
            <w:r w:rsidR="00142306" w:rsidRPr="00390CE6">
              <w:rPr>
                <w:i/>
                <w:iCs/>
                <w:rtl/>
              </w:rPr>
              <w:t>و</w:t>
            </w:r>
            <w:hyperlink r:id="rId14" w:history="1">
              <w:r w:rsidR="00142306" w:rsidRPr="00390CE6">
                <w:rPr>
                  <w:rStyle w:val="Hyperlink"/>
                  <w:i/>
                  <w:iCs/>
                </w:rPr>
                <w:t>C23-ADD/4</w:t>
              </w:r>
            </w:hyperlink>
            <w:r w:rsidR="00142306">
              <w:rPr>
                <w:rFonts w:hint="cs"/>
                <w:rtl/>
              </w:rPr>
              <w:t xml:space="preserve"> </w:t>
            </w:r>
            <w:r w:rsidR="00142306" w:rsidRPr="00390CE6">
              <w:rPr>
                <w:i/>
                <w:iCs/>
                <w:rtl/>
              </w:rPr>
              <w:t>و</w:t>
            </w:r>
            <w:hyperlink r:id="rId15" w:history="1">
              <w:r w:rsidR="00142306" w:rsidRPr="00390CE6">
                <w:rPr>
                  <w:rStyle w:val="Hyperlink"/>
                  <w:i/>
                  <w:iCs/>
                </w:rPr>
                <w:t>CL-23/44</w:t>
              </w:r>
            </w:hyperlink>
            <w:r w:rsidR="00142306">
              <w:rPr>
                <w:rFonts w:hint="cs"/>
                <w:rtl/>
              </w:rPr>
              <w:t xml:space="preserve"> </w:t>
            </w:r>
            <w:r w:rsidR="00142306" w:rsidRPr="00390CE6">
              <w:rPr>
                <w:i/>
                <w:iCs/>
                <w:rtl/>
              </w:rPr>
              <w:t>و</w:t>
            </w:r>
            <w:hyperlink r:id="rId16" w:history="1">
              <w:r w:rsidR="00142306" w:rsidRPr="00390CE6">
                <w:rPr>
                  <w:rStyle w:val="Hyperlink"/>
                  <w:i/>
                  <w:iCs/>
                </w:rPr>
                <w:t>CL-23/53</w:t>
              </w:r>
            </w:hyperlink>
            <w:r w:rsidR="00142306">
              <w:rPr>
                <w:rFonts w:hint="cs"/>
                <w:rtl/>
              </w:rPr>
              <w:t xml:space="preserve"> </w:t>
            </w:r>
            <w:r w:rsidR="00142306" w:rsidRPr="00390CE6">
              <w:rPr>
                <w:i/>
                <w:iCs/>
                <w:rtl/>
              </w:rPr>
              <w:t>و</w:t>
            </w:r>
            <w:hyperlink r:id="rId17" w:history="1">
              <w:r w:rsidR="00142306" w:rsidRPr="00390CE6">
                <w:rPr>
                  <w:rStyle w:val="Hyperlink"/>
                  <w:i/>
                  <w:iCs/>
                </w:rPr>
                <w:t>C24/4</w:t>
              </w:r>
            </w:hyperlink>
            <w:r w:rsidR="00142306">
              <w:rPr>
                <w:rFonts w:hint="cs"/>
                <w:rtl/>
              </w:rPr>
              <w:t xml:space="preserve"> </w:t>
            </w:r>
            <w:r w:rsidR="00142306" w:rsidRPr="00390CE6">
              <w:rPr>
                <w:i/>
                <w:iCs/>
                <w:rtl/>
              </w:rPr>
              <w:t>و</w:t>
            </w:r>
            <w:hyperlink r:id="rId18" w:history="1">
              <w:r w:rsidR="00142306" w:rsidRPr="00390CE6">
                <w:rPr>
                  <w:rStyle w:val="Hyperlink"/>
                  <w:i/>
                  <w:iCs/>
                </w:rPr>
                <w:t>C24/86</w:t>
              </w:r>
            </w:hyperlink>
            <w:r w:rsidR="00142306">
              <w:rPr>
                <w:rFonts w:hint="cs"/>
                <w:rtl/>
              </w:rPr>
              <w:t xml:space="preserve"> </w:t>
            </w:r>
            <w:r w:rsidR="00142306" w:rsidRPr="00390CE6">
              <w:rPr>
                <w:i/>
                <w:iCs/>
                <w:rtl/>
              </w:rPr>
              <w:t>و</w:t>
            </w:r>
            <w:hyperlink r:id="rId19" w:history="1">
              <w:r w:rsidR="00142306" w:rsidRPr="00390CE6">
                <w:rPr>
                  <w:rStyle w:val="Hyperlink"/>
                  <w:i/>
                  <w:iCs/>
                </w:rPr>
                <w:t>C24/INF/13</w:t>
              </w:r>
            </w:hyperlink>
            <w:r w:rsidR="00142306">
              <w:rPr>
                <w:rFonts w:hint="cs"/>
                <w:rtl/>
              </w:rPr>
              <w:t xml:space="preserve"> </w:t>
            </w:r>
            <w:r w:rsidR="00142306" w:rsidRPr="00390CE6">
              <w:rPr>
                <w:i/>
                <w:iCs/>
                <w:rtl/>
              </w:rPr>
              <w:t>و</w:t>
            </w:r>
            <w:hyperlink r:id="rId20" w:history="1">
              <w:r w:rsidR="00142306" w:rsidRPr="00390CE6">
                <w:rPr>
                  <w:rStyle w:val="Hyperlink"/>
                  <w:i/>
                  <w:iCs/>
                </w:rPr>
                <w:t>C24/113</w:t>
              </w:r>
            </w:hyperlink>
            <w:r w:rsidR="00142306">
              <w:rPr>
                <w:rFonts w:hint="cs"/>
                <w:rtl/>
              </w:rPr>
              <w:t xml:space="preserve"> </w:t>
            </w:r>
            <w:r w:rsidR="00142306" w:rsidRPr="00390CE6">
              <w:rPr>
                <w:i/>
                <w:iCs/>
                <w:rtl/>
              </w:rPr>
              <w:t>و</w:t>
            </w:r>
            <w:hyperlink r:id="rId21" w:history="1">
              <w:r w:rsidR="00142306" w:rsidRPr="00390CE6">
                <w:rPr>
                  <w:rStyle w:val="Hyperlink"/>
                  <w:i/>
                  <w:iCs/>
                </w:rPr>
                <w:t>CL-24/11</w:t>
              </w:r>
            </w:hyperlink>
            <w:r w:rsidR="00142306">
              <w:rPr>
                <w:rFonts w:hint="cs"/>
                <w:rtl/>
              </w:rPr>
              <w:t xml:space="preserve"> </w:t>
            </w:r>
            <w:r w:rsidR="00142306" w:rsidRPr="00390CE6">
              <w:rPr>
                <w:i/>
                <w:iCs/>
                <w:rtl/>
              </w:rPr>
              <w:t>و</w:t>
            </w:r>
            <w:hyperlink r:id="rId22" w:history="1">
              <w:r w:rsidR="00142306" w:rsidRPr="00390CE6">
                <w:rPr>
                  <w:rStyle w:val="Hyperlink"/>
                  <w:i/>
                  <w:iCs/>
                </w:rPr>
                <w:t>C25/4</w:t>
              </w:r>
            </w:hyperlink>
            <w:r w:rsidR="00142306">
              <w:rPr>
                <w:rFonts w:hint="cs"/>
                <w:rtl/>
              </w:rPr>
              <w:t xml:space="preserve"> </w:t>
            </w:r>
            <w:r w:rsidR="00142306" w:rsidRPr="00390CE6">
              <w:rPr>
                <w:i/>
                <w:iCs/>
                <w:rtl/>
              </w:rPr>
              <w:t>و</w:t>
            </w:r>
            <w:hyperlink r:id="rId23" w:history="1">
              <w:r w:rsidR="00142306" w:rsidRPr="00390CE6">
                <w:rPr>
                  <w:rStyle w:val="Hyperlink"/>
                  <w:i/>
                  <w:iCs/>
                </w:rPr>
                <w:t>CL-25/47</w:t>
              </w:r>
            </w:hyperlink>
            <w:r w:rsidR="00142306">
              <w:rPr>
                <w:rFonts w:hint="cs"/>
                <w:rtl/>
              </w:rPr>
              <w:t xml:space="preserve"> </w:t>
            </w:r>
            <w:r w:rsidR="00142306" w:rsidRPr="00390CE6">
              <w:rPr>
                <w:i/>
                <w:iCs/>
                <w:rtl/>
              </w:rPr>
              <w:t>و</w:t>
            </w:r>
            <w:hyperlink r:id="rId24" w:history="1">
              <w:r w:rsidR="00142306" w:rsidRPr="00390CE6">
                <w:rPr>
                  <w:rStyle w:val="Hyperlink"/>
                  <w:i/>
                  <w:iCs/>
                </w:rPr>
                <w:t>CL-25/48</w:t>
              </w:r>
            </w:hyperlink>
          </w:p>
        </w:tc>
      </w:tr>
    </w:tbl>
    <w:p w14:paraId="593211B6" w14:textId="77777777" w:rsidR="00E61BE8" w:rsidRDefault="00E61BE8" w:rsidP="00E61BE8">
      <w:pPr>
        <w:rPr>
          <w:rtl/>
          <w:lang w:bidi="ar-EG"/>
        </w:rPr>
      </w:pPr>
    </w:p>
    <w:p w14:paraId="70DE665B" w14:textId="77777777" w:rsidR="00F50E3F" w:rsidRDefault="00F50E3F" w:rsidP="0043260A">
      <w:pPr>
        <w:rPr>
          <w:rtl/>
          <w:lang w:bidi="ar-EG"/>
        </w:rPr>
      </w:pPr>
      <w:r>
        <w:rPr>
          <w:rtl/>
          <w:lang w:bidi="ar-EG"/>
        </w:rPr>
        <w:br w:type="page"/>
      </w:r>
    </w:p>
    <w:p w14:paraId="53EDE678" w14:textId="77777777" w:rsidR="00EA798B" w:rsidRDefault="00EA798B" w:rsidP="00142306">
      <w:pPr>
        <w:pStyle w:val="Heading1"/>
        <w:rPr>
          <w:rtl/>
          <w:lang w:bidi="ar-EG"/>
        </w:rPr>
      </w:pPr>
      <w:r>
        <w:rPr>
          <w:rtl/>
          <w:lang w:bidi="ar-EG"/>
        </w:rPr>
        <w:lastRenderedPageBreak/>
        <w:t>1</w:t>
      </w:r>
      <w:r>
        <w:rPr>
          <w:rtl/>
          <w:lang w:bidi="ar-EG"/>
        </w:rPr>
        <w:tab/>
        <w:t>مقدمة</w:t>
      </w:r>
    </w:p>
    <w:p w14:paraId="68AF678D" w14:textId="32596ECA" w:rsidR="00EA798B" w:rsidRDefault="00EA798B" w:rsidP="00EA798B">
      <w:pPr>
        <w:rPr>
          <w:rtl/>
          <w:lang w:bidi="ar-EG"/>
        </w:rPr>
      </w:pPr>
      <w:r>
        <w:rPr>
          <w:rtl/>
          <w:lang w:bidi="ar-EG"/>
        </w:rPr>
        <w:t>1-1</w:t>
      </w:r>
      <w:r>
        <w:rPr>
          <w:rtl/>
          <w:lang w:bidi="ar-EG"/>
        </w:rPr>
        <w:tab/>
        <w:t>تقدم هذه الوثيقة معلومات محدثة عن حالة الأعمال التحضيرية لمؤتمر المندوبين المفوضين لعام</w:t>
      </w:r>
      <w:r w:rsidR="00067BD4">
        <w:rPr>
          <w:rFonts w:hint="cs"/>
          <w:rtl/>
          <w:lang w:bidi="ar-EG"/>
        </w:rPr>
        <w:t> </w:t>
      </w:r>
      <w:r>
        <w:rPr>
          <w:rtl/>
          <w:lang w:bidi="ar-EG"/>
        </w:rPr>
        <w:t>2026</w:t>
      </w:r>
      <w:r w:rsidR="00067BD4">
        <w:rPr>
          <w:rFonts w:hint="cs"/>
          <w:rtl/>
          <w:lang w:bidi="ar-EG"/>
        </w:rPr>
        <w:t> </w:t>
      </w:r>
      <w:r>
        <w:rPr>
          <w:rtl/>
          <w:lang w:bidi="ar-EG"/>
        </w:rPr>
        <w:t>(</w:t>
      </w:r>
      <w:r>
        <w:rPr>
          <w:lang w:bidi="ar-EG"/>
        </w:rPr>
        <w:t>PP-26</w:t>
      </w:r>
      <w:r>
        <w:rPr>
          <w:rtl/>
          <w:lang w:bidi="ar-EG"/>
        </w:rPr>
        <w:t xml:space="preserve">) منذ تقديم الوثيقة إلى المجلس في دورته لعام 2025 (الوثيقة </w:t>
      </w:r>
      <w:hyperlink r:id="rId25" w:history="1">
        <w:r w:rsidRPr="00142306">
          <w:rPr>
            <w:rStyle w:val="Hyperlink"/>
            <w:noProof w:val="0"/>
            <w:lang w:val="en-US" w:eastAsia="zh-CN" w:bidi="ar-EG"/>
          </w:rPr>
          <w:t>C25/4</w:t>
        </w:r>
      </w:hyperlink>
      <w:r>
        <w:rPr>
          <w:rtl/>
          <w:lang w:bidi="ar-EG"/>
        </w:rPr>
        <w:t>).</w:t>
      </w:r>
    </w:p>
    <w:p w14:paraId="2C2483E2" w14:textId="77777777" w:rsidR="00EA798B" w:rsidRDefault="00EA798B" w:rsidP="00142306">
      <w:pPr>
        <w:pStyle w:val="Heading1"/>
        <w:rPr>
          <w:rtl/>
          <w:lang w:bidi="ar-EG"/>
        </w:rPr>
      </w:pPr>
      <w:r>
        <w:rPr>
          <w:rtl/>
          <w:lang w:bidi="ar-EG"/>
        </w:rPr>
        <w:t>2</w:t>
      </w:r>
      <w:r>
        <w:rPr>
          <w:rtl/>
          <w:lang w:bidi="ar-EG"/>
        </w:rPr>
        <w:tab/>
        <w:t>اتفاق البلد المضيف والتنسيق مع البلد المضيف</w:t>
      </w:r>
    </w:p>
    <w:p w14:paraId="0FE45204" w14:textId="0E7058A0" w:rsidR="00EA798B" w:rsidRDefault="00142306" w:rsidP="00EA798B">
      <w:pPr>
        <w:rPr>
          <w:rtl/>
          <w:lang w:bidi="ar-EG"/>
        </w:rPr>
      </w:pPr>
      <w:r>
        <w:rPr>
          <w:lang w:bidi="ar-EG"/>
        </w:rPr>
        <w:t>1.2</w:t>
      </w:r>
      <w:r w:rsidR="00EA798B">
        <w:rPr>
          <w:rtl/>
          <w:lang w:bidi="ar-EG"/>
        </w:rPr>
        <w:tab/>
        <w:t>من المتوقع أن تختتم المفاوضات بين حكومة قطر والاتحاد بنجاح بحلول دورة المجلس لعام 2026.</w:t>
      </w:r>
    </w:p>
    <w:p w14:paraId="452B1FEC" w14:textId="75482042" w:rsidR="00EA798B" w:rsidRPr="00142306" w:rsidRDefault="00F3337D" w:rsidP="00F3337D">
      <w:pPr>
        <w:rPr>
          <w:rtl/>
        </w:rPr>
      </w:pPr>
      <w:r>
        <w:t>2.2</w:t>
      </w:r>
      <w:r w:rsidR="00142306">
        <w:tab/>
      </w:r>
      <w:r w:rsidR="00EA798B" w:rsidRPr="00142306">
        <w:rPr>
          <w:rtl/>
        </w:rPr>
        <w:t>شارك الرئيس المعين لمؤتمر المندوبين المفوضين لعام 2026، المهندس أحمد عبد الله مسلماني بنشاط في الأعمال التحضيرية وشارك في الاجتماعات مع الأمانة، وفي الاجتماعات الرسمية للاتحاد، وفي الاجتماعات التحضيرية الإقليمية.</w:t>
      </w:r>
    </w:p>
    <w:p w14:paraId="22746A9E" w14:textId="0C7FD026" w:rsidR="00EA798B" w:rsidRDefault="00142306" w:rsidP="00EA798B">
      <w:pPr>
        <w:rPr>
          <w:rtl/>
          <w:lang w:bidi="ar-EG"/>
        </w:rPr>
      </w:pPr>
      <w:r>
        <w:rPr>
          <w:lang w:bidi="ar-EG"/>
        </w:rPr>
        <w:t>3.2</w:t>
      </w:r>
      <w:r w:rsidR="00EA798B">
        <w:rPr>
          <w:rtl/>
          <w:lang w:bidi="ar-EG"/>
        </w:rPr>
        <w:tab/>
        <w:t xml:space="preserve">وأجرى الاتحاد زيارة ثانية للموقع في الفترة </w:t>
      </w:r>
      <w:r w:rsidR="00067BD4">
        <w:rPr>
          <w:rFonts w:hint="cs"/>
          <w:rtl/>
          <w:lang w:bidi="ar-EG"/>
        </w:rPr>
        <w:t xml:space="preserve">من </w:t>
      </w:r>
      <w:r w:rsidR="00EA798B">
        <w:rPr>
          <w:rtl/>
          <w:lang w:bidi="ar-EG"/>
        </w:rPr>
        <w:t>4</w:t>
      </w:r>
      <w:r w:rsidR="00067BD4">
        <w:rPr>
          <w:rFonts w:hint="cs"/>
          <w:rtl/>
          <w:lang w:bidi="ar-EG"/>
        </w:rPr>
        <w:t xml:space="preserve"> إلى </w:t>
      </w:r>
      <w:r w:rsidR="00EA798B">
        <w:rPr>
          <w:rtl/>
          <w:lang w:bidi="ar-EG"/>
        </w:rPr>
        <w:t>6 نوفمبر 2025 للقاء نظرائه من البلد المضيف، وفحص البنية التحتية والفنادق ومركز المؤتمرات، وإعداد الخطة الأمنية للحدث، ومخططات طوابق المؤتمر، وخطة البروتوكول، وخطة الاتصالات، والمضي قدماً في تنظيم الخدمات اللوجستية.</w:t>
      </w:r>
    </w:p>
    <w:p w14:paraId="672AE69E" w14:textId="08068D9D" w:rsidR="00EA798B" w:rsidRDefault="00142306" w:rsidP="00142306">
      <w:pPr>
        <w:rPr>
          <w:rtl/>
          <w:lang w:bidi="ar-EG"/>
        </w:rPr>
      </w:pPr>
      <w:r>
        <w:rPr>
          <w:lang w:bidi="ar-EG"/>
        </w:rPr>
        <w:t>4.2</w:t>
      </w:r>
      <w:r w:rsidR="00EA798B">
        <w:rPr>
          <w:rtl/>
          <w:lang w:bidi="ar-EG"/>
        </w:rPr>
        <w:tab/>
        <w:t xml:space="preserve">كما </w:t>
      </w:r>
      <w:r w:rsidR="00EA798B" w:rsidRPr="00142306">
        <w:rPr>
          <w:rtl/>
          <w:lang w:bidi="ar-EG"/>
        </w:rPr>
        <w:t>أن</w:t>
      </w:r>
      <w:r w:rsidR="00EA798B">
        <w:rPr>
          <w:rtl/>
          <w:lang w:bidi="ar-EG"/>
        </w:rPr>
        <w:t xml:space="preserve"> أمانة الاتحاد وفريق البلد المضيف، المسؤول عن التحضير لمؤتمر المندوبين المفوضين لعام 2026، ما زالا يعقدان اجتماعات افتراضية شهرية لتبادل المعلومات ومناقشة جميع عناصر التحضير للحدث ومعالجة المسائل الملحة. ولا تزال تُعقد بانتظام، إضافةً إلى الاجتماعات الشهرية، اجتماعات ثنائية مع البلد المضيف لمناقشة جوانب محددة من عملية التنظيم لعقد الحدث.</w:t>
      </w:r>
    </w:p>
    <w:p w14:paraId="73DE3694" w14:textId="28767A17" w:rsidR="00EA798B" w:rsidRDefault="00142306" w:rsidP="00EA798B">
      <w:pPr>
        <w:rPr>
          <w:rtl/>
          <w:lang w:bidi="ar-EG"/>
        </w:rPr>
      </w:pPr>
      <w:r>
        <w:rPr>
          <w:lang w:bidi="ar-EG"/>
        </w:rPr>
        <w:t>5.2</w:t>
      </w:r>
      <w:r w:rsidR="00EA798B">
        <w:rPr>
          <w:rtl/>
          <w:lang w:bidi="ar-EG"/>
        </w:rPr>
        <w:tab/>
        <w:t>وتواصل الأمانة، بالتنسيق الوثيق مع البلد المضيف، رصد تطور الحالة في المنطقة وآثاره المحتملة على سلامة المشاركين وإمكانية النفاذ و</w:t>
      </w:r>
      <w:r w:rsidR="00067BD4">
        <w:rPr>
          <w:rFonts w:hint="cs"/>
          <w:rtl/>
          <w:lang w:bidi="ar-EG"/>
        </w:rPr>
        <w:t xml:space="preserve">سلاسة </w:t>
      </w:r>
      <w:r w:rsidR="00EA798B">
        <w:rPr>
          <w:rtl/>
          <w:lang w:bidi="ar-EG"/>
        </w:rPr>
        <w:t>سير أعمال المؤتمر. ولا يزال البلد المضيف ملتزماً التزاماً كاملاً باستضافة مؤتمر المندوبين المفوضين لعام 2026 ويواصل رصد التطورات عن كثب واتخاذ جميع التدابير اللازمة لضمان المشاركة الكاملة للوفود ودعم التنظيم الناجح للمؤتمر وسيتكيف حسب الحاجة.</w:t>
      </w:r>
    </w:p>
    <w:p w14:paraId="2EE0BD49" w14:textId="77777777" w:rsidR="00EA798B" w:rsidRDefault="00EA798B" w:rsidP="00142306">
      <w:pPr>
        <w:pStyle w:val="Heading1"/>
        <w:rPr>
          <w:rtl/>
          <w:lang w:bidi="ar-EG"/>
        </w:rPr>
      </w:pPr>
      <w:r>
        <w:rPr>
          <w:rtl/>
          <w:lang w:bidi="ar-EG"/>
        </w:rPr>
        <w:t>3</w:t>
      </w:r>
      <w:r>
        <w:rPr>
          <w:rtl/>
          <w:lang w:bidi="ar-EG"/>
        </w:rPr>
        <w:tab/>
        <w:t>الدعوات الخطية والدعوة إلى تقديم مقترحات وترشيحات</w:t>
      </w:r>
    </w:p>
    <w:p w14:paraId="7ECA542F" w14:textId="71C5B3B5" w:rsidR="00EA798B" w:rsidRPr="00142306" w:rsidRDefault="00142306" w:rsidP="00EA798B">
      <w:pPr>
        <w:rPr>
          <w:spacing w:val="4"/>
          <w:rtl/>
          <w:lang w:bidi="ar-EG"/>
        </w:rPr>
      </w:pPr>
      <w:r w:rsidRPr="00142306">
        <w:rPr>
          <w:spacing w:val="4"/>
          <w:lang w:bidi="ar-EG"/>
        </w:rPr>
        <w:t>1.3</w:t>
      </w:r>
      <w:r w:rsidR="00EA798B" w:rsidRPr="00142306">
        <w:rPr>
          <w:spacing w:val="4"/>
          <w:rtl/>
          <w:lang w:bidi="ar-EG"/>
        </w:rPr>
        <w:tab/>
        <w:t>وجهت الدعوات نيابة عن حكومة قطر في 7 نوفمبر 2025 إلى مؤتمر المندوبين المفوضين لعام 2026 (</w:t>
      </w:r>
      <w:hyperlink r:id="rId26" w:history="1">
        <w:r w:rsidR="00EA798B" w:rsidRPr="00142306">
          <w:rPr>
            <w:rStyle w:val="Hyperlink"/>
            <w:noProof w:val="0"/>
            <w:spacing w:val="4"/>
            <w:lang w:val="en-US" w:eastAsia="zh-CN" w:bidi="ar-EG"/>
          </w:rPr>
          <w:t>CL-25/47</w:t>
        </w:r>
      </w:hyperlink>
      <w:r w:rsidR="00EA798B" w:rsidRPr="00142306">
        <w:rPr>
          <w:spacing w:val="4"/>
          <w:rtl/>
          <w:lang w:bidi="ar-EG"/>
        </w:rPr>
        <w:t>).</w:t>
      </w:r>
    </w:p>
    <w:p w14:paraId="330C97E5" w14:textId="1E77D00A" w:rsidR="00EA798B" w:rsidRPr="00460E59" w:rsidRDefault="00142306" w:rsidP="00EA798B">
      <w:pPr>
        <w:rPr>
          <w:spacing w:val="-4"/>
          <w:rtl/>
          <w:lang w:bidi="ar-EG"/>
        </w:rPr>
      </w:pPr>
      <w:r w:rsidRPr="00460E59">
        <w:rPr>
          <w:spacing w:val="-4"/>
          <w:lang w:bidi="ar-EG"/>
        </w:rPr>
        <w:t>2.3</w:t>
      </w:r>
      <w:r w:rsidR="00EA798B" w:rsidRPr="00460E59">
        <w:rPr>
          <w:spacing w:val="-4"/>
          <w:rtl/>
          <w:lang w:bidi="ar-EG"/>
        </w:rPr>
        <w:tab/>
        <w:t>وأرسلت الأمينة العامة أيضاً في 7 نوفمبر 2025 دعوات إلى دولة فلسطين والمنظمات المراقبة (</w:t>
      </w:r>
      <w:hyperlink r:id="rId27" w:history="1">
        <w:r w:rsidR="00EA798B" w:rsidRPr="00460E59">
          <w:rPr>
            <w:rStyle w:val="Hyperlink"/>
            <w:noProof w:val="0"/>
            <w:spacing w:val="-4"/>
            <w:lang w:val="en-US" w:eastAsia="zh-CN" w:bidi="ar-EG"/>
          </w:rPr>
          <w:t>DM-25/1007</w:t>
        </w:r>
      </w:hyperlink>
      <w:r w:rsidR="00EA798B" w:rsidRPr="00460E59">
        <w:rPr>
          <w:spacing w:val="-4"/>
          <w:rtl/>
          <w:lang w:bidi="ar-EG"/>
        </w:rPr>
        <w:t>) وأعضاء قطاعات الاتحاد (</w:t>
      </w:r>
      <w:hyperlink r:id="rId28" w:history="1">
        <w:r w:rsidR="00EA798B" w:rsidRPr="00460E59">
          <w:rPr>
            <w:rStyle w:val="Hyperlink"/>
            <w:noProof w:val="0"/>
            <w:spacing w:val="-4"/>
            <w:lang w:val="en-US" w:eastAsia="zh-CN" w:bidi="ar-EG"/>
          </w:rPr>
          <w:t>DM-25/1006</w:t>
        </w:r>
      </w:hyperlink>
      <w:r w:rsidR="00EA798B" w:rsidRPr="00460E59">
        <w:rPr>
          <w:spacing w:val="-4"/>
          <w:rtl/>
          <w:lang w:bidi="ar-EG"/>
        </w:rPr>
        <w:t>) لحضور مؤتمر المندوبين المفوضين لعام 2026.</w:t>
      </w:r>
    </w:p>
    <w:p w14:paraId="052BF9BF" w14:textId="07C88ECF" w:rsidR="00EA798B" w:rsidRDefault="00142306" w:rsidP="00EA798B">
      <w:pPr>
        <w:rPr>
          <w:rtl/>
          <w:lang w:bidi="ar-EG"/>
        </w:rPr>
      </w:pPr>
      <w:r>
        <w:rPr>
          <w:lang w:bidi="ar-EG"/>
        </w:rPr>
        <w:t>3.3</w:t>
      </w:r>
      <w:r w:rsidR="00EA798B">
        <w:rPr>
          <w:rtl/>
          <w:lang w:bidi="ar-EG"/>
        </w:rPr>
        <w:tab/>
        <w:t xml:space="preserve">أرسلت الأمينة العامة في 10 نوفمبر 2025 الرسالة المعممة </w:t>
      </w:r>
      <w:hyperlink r:id="rId29" w:history="1">
        <w:r w:rsidR="00EA798B" w:rsidRPr="00460E59">
          <w:rPr>
            <w:rStyle w:val="Hyperlink"/>
            <w:noProof w:val="0"/>
            <w:lang w:val="en-US" w:eastAsia="zh-CN" w:bidi="ar-EG"/>
          </w:rPr>
          <w:t>CL-25/48</w:t>
        </w:r>
      </w:hyperlink>
      <w:r w:rsidR="00EA798B">
        <w:rPr>
          <w:rtl/>
          <w:lang w:bidi="ar-EG"/>
        </w:rPr>
        <w:t xml:space="preserve"> إلى جميع الدول الأعضاء في الاتحاد، </w:t>
      </w:r>
      <w:r w:rsidR="00F3337D" w:rsidRPr="0024705C">
        <w:rPr>
          <w:rFonts w:hint="cs"/>
          <w:rtl/>
          <w:lang w:bidi="ar-EG"/>
        </w:rPr>
        <w:t>مشيرةً</w:t>
      </w:r>
      <w:r w:rsidR="00F3337D">
        <w:rPr>
          <w:rFonts w:hint="cs"/>
          <w:rtl/>
          <w:lang w:bidi="ar-EG"/>
        </w:rPr>
        <w:t xml:space="preserve"> </w:t>
      </w:r>
      <w:r w:rsidR="00EA798B">
        <w:rPr>
          <w:rtl/>
          <w:lang w:bidi="ar-EG"/>
        </w:rPr>
        <w:t xml:space="preserve">فيها على وجه الخصوص إلى المقترحات المتعلقة بأعمال المؤتمر والوثائق والانتخابات (دعوة إلى تقديم ترشيحات). وطلب من الدول الأعضاء تقديم مقترحات لتعديل الدستور والاتفاقية بحلول 9 مارس 2026 وفقاً للرقم 224 من الدستور والرقم 519 من الاتفاقية. وطلب </w:t>
      </w:r>
      <w:r w:rsidR="00067BD4">
        <w:rPr>
          <w:rFonts w:hint="cs"/>
          <w:rtl/>
          <w:lang w:bidi="ar-EG"/>
        </w:rPr>
        <w:t xml:space="preserve">تقديم </w:t>
      </w:r>
      <w:r w:rsidR="00EA798B">
        <w:rPr>
          <w:rtl/>
          <w:lang w:bidi="ar-EG"/>
        </w:rPr>
        <w:t>مقترحات أخرى بشأن أعمال المؤتمر في موعد أقصاه 9 يوليو 2026 (الرقم 40 من القواعد العامة لمؤتمرات الاتحاد وجمعياته واجتماعاته (القواعد العامة))، وتماشياً مع القرار 165 (المرا</w:t>
      </w:r>
      <w:r w:rsidR="00460E59">
        <w:rPr>
          <w:rFonts w:hint="cs"/>
          <w:rtl/>
          <w:lang w:bidi="ar-EG"/>
        </w:rPr>
        <w:t>جَ</w:t>
      </w:r>
      <w:r w:rsidR="00EA798B">
        <w:rPr>
          <w:rtl/>
          <w:lang w:bidi="ar-EG"/>
        </w:rPr>
        <w:t xml:space="preserve">ع في دبي، 2018)، </w:t>
      </w:r>
      <w:r w:rsidR="00067BD4">
        <w:rPr>
          <w:rFonts w:hint="cs"/>
          <w:rtl/>
          <w:lang w:bidi="ar-EG"/>
        </w:rPr>
        <w:t xml:space="preserve">حُدد </w:t>
      </w:r>
      <w:r w:rsidR="00EA798B">
        <w:rPr>
          <w:rtl/>
          <w:lang w:bidi="ar-EG"/>
        </w:rPr>
        <w:t xml:space="preserve">موعد نهائي صارم لتقديم جميع المساهمات في 19 أكتوبر 2026. تُشجع الدول الأعضاء بشدة على استخدام </w:t>
      </w:r>
      <w:hyperlink r:id="rId30" w:history="1">
        <w:r w:rsidR="00EA798B" w:rsidRPr="00460E59">
          <w:rPr>
            <w:rStyle w:val="Hyperlink"/>
            <w:noProof w:val="0"/>
            <w:rtl/>
            <w:lang w:val="en-US" w:eastAsia="zh-CN" w:bidi="ar-EG"/>
          </w:rPr>
          <w:t>واجهة مقترحات المؤتمر (</w:t>
        </w:r>
        <w:r w:rsidR="00EA798B" w:rsidRPr="00460E59">
          <w:rPr>
            <w:rStyle w:val="Hyperlink"/>
            <w:noProof w:val="0"/>
            <w:lang w:val="en-US" w:eastAsia="zh-CN" w:bidi="ar-EG"/>
          </w:rPr>
          <w:t>CPI</w:t>
        </w:r>
        <w:r w:rsidR="00EA798B" w:rsidRPr="00460E59">
          <w:rPr>
            <w:rStyle w:val="Hyperlink"/>
            <w:noProof w:val="0"/>
            <w:rtl/>
            <w:lang w:val="en-US" w:eastAsia="zh-CN" w:bidi="ar-EG"/>
          </w:rPr>
          <w:t>)</w:t>
        </w:r>
      </w:hyperlink>
      <w:r w:rsidR="00EA798B">
        <w:rPr>
          <w:rtl/>
          <w:lang w:bidi="ar-EG"/>
        </w:rPr>
        <w:t xml:space="preserve"> ل</w:t>
      </w:r>
      <w:r w:rsidR="00067BD4">
        <w:rPr>
          <w:rFonts w:hint="cs"/>
          <w:rtl/>
          <w:lang w:bidi="ar-EG"/>
        </w:rPr>
        <w:t xml:space="preserve">تقديم </w:t>
      </w:r>
      <w:r w:rsidR="00EA798B">
        <w:rPr>
          <w:rtl/>
          <w:lang w:bidi="ar-EG"/>
        </w:rPr>
        <w:t>المقترحات.</w:t>
      </w:r>
    </w:p>
    <w:p w14:paraId="0318C7CB" w14:textId="31451AC5" w:rsidR="00EA798B" w:rsidRPr="00460E59" w:rsidRDefault="00142306" w:rsidP="00EA798B">
      <w:pPr>
        <w:rPr>
          <w:spacing w:val="-4"/>
          <w:rtl/>
          <w:lang w:bidi="ar-EG"/>
        </w:rPr>
      </w:pPr>
      <w:r w:rsidRPr="00460E59">
        <w:rPr>
          <w:spacing w:val="-4"/>
          <w:lang w:bidi="ar-EG"/>
        </w:rPr>
        <w:t>4.3</w:t>
      </w:r>
      <w:r w:rsidR="00EA798B" w:rsidRPr="00460E59">
        <w:rPr>
          <w:spacing w:val="-4"/>
          <w:rtl/>
          <w:lang w:bidi="ar-EG"/>
        </w:rPr>
        <w:tab/>
        <w:t xml:space="preserve">ويرجى من جميع الدول الأعضاء الراغبة في تقديم ترشيحات للانتخابات أن تقدمها في موعد أقصاه الساعة </w:t>
      </w:r>
      <w:r w:rsidR="00460E59">
        <w:rPr>
          <w:rFonts w:hint="cs"/>
          <w:spacing w:val="-4"/>
          <w:rtl/>
          <w:lang w:bidi="ar-EG"/>
        </w:rPr>
        <w:t>23:59</w:t>
      </w:r>
      <w:r w:rsidR="00EA798B" w:rsidRPr="00460E59">
        <w:rPr>
          <w:spacing w:val="-4"/>
          <w:rtl/>
          <w:lang w:bidi="ar-EG"/>
        </w:rPr>
        <w:t xml:space="preserve"> (بتوقيت جنيف) من يوم 12 أكتوبر 2026، وفقاً للرقم 170 من القواعد العامة.</w:t>
      </w:r>
    </w:p>
    <w:p w14:paraId="68B55B16" w14:textId="5CB75122" w:rsidR="00EA798B" w:rsidRDefault="00142306" w:rsidP="00EA798B">
      <w:pPr>
        <w:rPr>
          <w:rtl/>
          <w:lang w:bidi="ar-EG"/>
        </w:rPr>
      </w:pPr>
      <w:r>
        <w:rPr>
          <w:lang w:bidi="ar-EG"/>
        </w:rPr>
        <w:t>5.3</w:t>
      </w:r>
      <w:r w:rsidR="00EA798B">
        <w:rPr>
          <w:rtl/>
          <w:lang w:bidi="ar-EG"/>
        </w:rPr>
        <w:tab/>
        <w:t xml:space="preserve">ويبدأ التسجيل في يوليو 2026 </w:t>
      </w:r>
      <w:r w:rsidR="00067BD4">
        <w:rPr>
          <w:rFonts w:hint="cs"/>
          <w:rtl/>
          <w:lang w:bidi="ar-EG"/>
        </w:rPr>
        <w:t>وسيجري</w:t>
      </w:r>
      <w:r w:rsidR="00EA798B">
        <w:rPr>
          <w:rtl/>
          <w:lang w:bidi="ar-EG"/>
        </w:rPr>
        <w:t xml:space="preserve"> عبر الإنترنت حصرياً.</w:t>
      </w:r>
    </w:p>
    <w:p w14:paraId="10743882" w14:textId="6B9D4972" w:rsidR="00EA798B" w:rsidRDefault="00142306" w:rsidP="00EA798B">
      <w:pPr>
        <w:rPr>
          <w:rtl/>
          <w:lang w:bidi="ar-EG"/>
        </w:rPr>
      </w:pPr>
      <w:r>
        <w:rPr>
          <w:lang w:bidi="ar-EG"/>
        </w:rPr>
        <w:t>6.3</w:t>
      </w:r>
      <w:r w:rsidR="00EA798B">
        <w:rPr>
          <w:rtl/>
          <w:lang w:bidi="ar-EG"/>
        </w:rPr>
        <w:tab/>
        <w:t>وقد أرسلت رسالة معممة بشأن أوراق الاعتماد (</w:t>
      </w:r>
      <w:hyperlink r:id="rId31" w:history="1">
        <w:r w:rsidR="00EA798B" w:rsidRPr="00460E59">
          <w:rPr>
            <w:rStyle w:val="Hyperlink"/>
            <w:noProof w:val="0"/>
            <w:lang w:val="en-US" w:eastAsia="zh-CN" w:bidi="ar-EG"/>
          </w:rPr>
          <w:t>CL-26/21</w:t>
        </w:r>
      </w:hyperlink>
      <w:r w:rsidR="00EA798B">
        <w:rPr>
          <w:rtl/>
          <w:lang w:bidi="ar-EG"/>
        </w:rPr>
        <w:t>)، وسترسل قريباً رسالة بشأن مشاركة الشخصيات البارزة.</w:t>
      </w:r>
    </w:p>
    <w:p w14:paraId="55A891B7" w14:textId="7CF01B0B" w:rsidR="00EA798B" w:rsidRDefault="00EA798B" w:rsidP="00142306">
      <w:pPr>
        <w:pStyle w:val="Heading1"/>
        <w:rPr>
          <w:rtl/>
          <w:lang w:bidi="ar-EG"/>
        </w:rPr>
      </w:pPr>
      <w:r>
        <w:rPr>
          <w:rtl/>
          <w:lang w:bidi="ar-EG"/>
        </w:rPr>
        <w:lastRenderedPageBreak/>
        <w:t>4</w:t>
      </w:r>
      <w:r>
        <w:rPr>
          <w:rtl/>
          <w:lang w:bidi="ar-EG"/>
        </w:rPr>
        <w:tab/>
        <w:t>الهيكل الم</w:t>
      </w:r>
      <w:r w:rsidR="00460E59">
        <w:rPr>
          <w:rFonts w:hint="cs"/>
          <w:rtl/>
          <w:lang w:bidi="ar-EG"/>
        </w:rPr>
        <w:t>ق</w:t>
      </w:r>
      <w:r>
        <w:rPr>
          <w:rtl/>
          <w:lang w:bidi="ar-EG"/>
        </w:rPr>
        <w:t>ترح</w:t>
      </w:r>
    </w:p>
    <w:p w14:paraId="3EEB060D" w14:textId="5BE71EBD" w:rsidR="00EA798B" w:rsidRDefault="00142306" w:rsidP="00EA798B">
      <w:pPr>
        <w:rPr>
          <w:rtl/>
          <w:lang w:bidi="ar-EG"/>
        </w:rPr>
      </w:pPr>
      <w:r>
        <w:rPr>
          <w:lang w:bidi="ar-EG"/>
        </w:rPr>
        <w:t>1.4</w:t>
      </w:r>
      <w:r w:rsidR="00EA798B">
        <w:rPr>
          <w:rtl/>
          <w:lang w:bidi="ar-EG"/>
        </w:rPr>
        <w:tab/>
        <w:t>بالإضافة إلى اللجان الدائمة الأربع (لجنة التوجيه ولجنة مراقبة الميزانية ولجنة أوراق الاعتماد ولجنة الصياغة) ووفقاً للممارسات السابقة، يقترح إنشاء لجنتين موضوعيتين (لجنة مسائل السياسة العامة والمسائل القانونية (اللجنة</w:t>
      </w:r>
      <w:r w:rsidR="00460E59">
        <w:rPr>
          <w:rFonts w:hint="cs"/>
          <w:rtl/>
          <w:lang w:bidi="ar-EG"/>
        </w:rPr>
        <w:t> </w:t>
      </w:r>
      <w:r w:rsidR="00EA798B">
        <w:rPr>
          <w:rtl/>
          <w:lang w:bidi="ar-EG"/>
        </w:rPr>
        <w:t>5) ولجنة الإدارة والتنظيم (اللجنة</w:t>
      </w:r>
      <w:r w:rsidR="00460E59">
        <w:rPr>
          <w:rFonts w:hint="cs"/>
          <w:rtl/>
          <w:lang w:bidi="ar-EG"/>
        </w:rPr>
        <w:t> </w:t>
      </w:r>
      <w:r w:rsidR="00EA798B">
        <w:rPr>
          <w:rtl/>
          <w:lang w:bidi="ar-EG"/>
        </w:rPr>
        <w:t>6)) وفريق عمل تابع للجلسة العامة (</w:t>
      </w:r>
      <w:r w:rsidR="00EA798B">
        <w:rPr>
          <w:lang w:bidi="ar-EG"/>
        </w:rPr>
        <w:t>WG-PL</w:t>
      </w:r>
      <w:r w:rsidR="00EA798B">
        <w:rPr>
          <w:rtl/>
          <w:lang w:bidi="ar-EG"/>
        </w:rPr>
        <w:t>).</w:t>
      </w:r>
    </w:p>
    <w:p w14:paraId="59540221" w14:textId="07198941" w:rsidR="00EA798B" w:rsidRDefault="00142306" w:rsidP="00EA798B">
      <w:pPr>
        <w:rPr>
          <w:rtl/>
          <w:lang w:bidi="ar-EG"/>
        </w:rPr>
      </w:pPr>
      <w:r>
        <w:rPr>
          <w:lang w:bidi="ar-EG"/>
        </w:rPr>
        <w:t>2.4</w:t>
      </w:r>
      <w:r w:rsidR="00EA798B">
        <w:rPr>
          <w:rtl/>
          <w:lang w:bidi="ar-EG"/>
        </w:rPr>
        <w:tab/>
        <w:t xml:space="preserve">وتنظر اللجنة 5 المعنية بمسائل السياسة العامة والمسائل القانونية في التقارير والمقترحات المتصلة بمسائل السياسة العامة للاتحاد، بما في ذلك التقارير المقدمة من المجلس عن أنشطة الاتحاد؛ وتوصي بالقرارات المناسبة فيما يتعلق بأنشطة الأمانة العامة والقطاعات الثلاثة؛ وتدرس المقترحات المقدمة لتعديل الدستور والاتفاقية والقواعد العامة والبروتوكول الاختياري؛ وتوصي </w:t>
      </w:r>
      <w:r w:rsidR="00067BD4">
        <w:rPr>
          <w:rFonts w:hint="cs"/>
          <w:rtl/>
          <w:lang w:bidi="ar-EG"/>
        </w:rPr>
        <w:t>ا</w:t>
      </w:r>
      <w:r w:rsidR="00EA798B">
        <w:rPr>
          <w:rtl/>
          <w:lang w:bidi="ar-EG"/>
        </w:rPr>
        <w:t>لجلسة العامة بجميع الإجراءات المناسبة، مع الأخذ في الاعتبار التقارير والتوصيات ذات الصلة الصادرة عن اللجنة 6 وفريق العمل التابع للجلسة العامة؛ وتنظر في أي مسائل أخرى ذات طابع قانوني تثار أثناء المؤتمر؛ وتحيل إلى اللجنة 6 المسائل التي تترتب عليها آثار مالية.</w:t>
      </w:r>
    </w:p>
    <w:p w14:paraId="06E28AED" w14:textId="69D1117F" w:rsidR="00EA798B" w:rsidRDefault="00142306" w:rsidP="00EA798B">
      <w:pPr>
        <w:rPr>
          <w:rtl/>
          <w:lang w:bidi="ar-EG"/>
        </w:rPr>
      </w:pPr>
      <w:r>
        <w:rPr>
          <w:lang w:bidi="ar-EG"/>
        </w:rPr>
        <w:t>3.4</w:t>
      </w:r>
      <w:r w:rsidR="00EA798B">
        <w:rPr>
          <w:rtl/>
          <w:lang w:bidi="ar-EG"/>
        </w:rPr>
        <w:tab/>
        <w:t>تنظر اللجنة 6 المعنية بالإدارة والتنظيم في مشروع الخطة الاستراتيجية والتقارير والمقترحات الأخرى المتصلة بالخطة الاستراتيجية؛ وتدرس التقارير والمقترحات ذات الصلة المتعلقة بالإدارة العامة للاتحاد، ولا</w:t>
      </w:r>
      <w:r w:rsidR="00460E59">
        <w:rPr>
          <w:rFonts w:hint="cs"/>
          <w:rtl/>
          <w:lang w:bidi="ar-EG"/>
        </w:rPr>
        <w:t> </w:t>
      </w:r>
      <w:r w:rsidR="00EA798B">
        <w:rPr>
          <w:rtl/>
          <w:lang w:bidi="ar-EG"/>
        </w:rPr>
        <w:t>سيما تلك المتعلقة بالموارد المالية والبشرية والأجزاء ذات الصلة من التقارير المقدمة من اللجان وأفرقة العمل الأخرى؛ وتعد مشروع</w:t>
      </w:r>
      <w:r w:rsidR="0057013A">
        <w:rPr>
          <w:rFonts w:hint="cs"/>
          <w:rtl/>
          <w:lang w:bidi="ar-EG"/>
        </w:rPr>
        <w:t>اً</w:t>
      </w:r>
      <w:r w:rsidR="00EA798B">
        <w:rPr>
          <w:rtl/>
          <w:lang w:bidi="ar-EG"/>
        </w:rPr>
        <w:t xml:space="preserve"> للسياسات المالية ومشروع</w:t>
      </w:r>
      <w:r w:rsidR="0057013A">
        <w:rPr>
          <w:rFonts w:hint="cs"/>
          <w:rtl/>
          <w:lang w:bidi="ar-EG"/>
        </w:rPr>
        <w:t>اً</w:t>
      </w:r>
      <w:r w:rsidR="00EA798B">
        <w:rPr>
          <w:rtl/>
          <w:lang w:bidi="ar-EG"/>
        </w:rPr>
        <w:t xml:space="preserve"> للخطة المالية للفترة </w:t>
      </w:r>
      <w:r w:rsidR="00460E59">
        <w:rPr>
          <w:rFonts w:hint="cs"/>
          <w:rtl/>
          <w:lang w:bidi="ar-EG"/>
        </w:rPr>
        <w:t>2028</w:t>
      </w:r>
      <w:r w:rsidR="00EA798B">
        <w:rPr>
          <w:rtl/>
          <w:lang w:bidi="ar-EG"/>
        </w:rPr>
        <w:t>-</w:t>
      </w:r>
      <w:r w:rsidR="00460E59">
        <w:rPr>
          <w:rFonts w:hint="cs"/>
          <w:rtl/>
          <w:lang w:bidi="ar-EG"/>
        </w:rPr>
        <w:t>2031</w:t>
      </w:r>
      <w:r w:rsidR="00EA798B">
        <w:rPr>
          <w:rtl/>
          <w:lang w:bidi="ar-EG"/>
        </w:rPr>
        <w:t>؛ وتوصي الجلسة العامة بجميع القرارات المناسبة المتعلقة بإدارة أنشطة الاتحاد؛ وتحيل المسائل التي تتطلب تعديلات على الدستور والاتفاقية والقواعد العامة إلى اللجنة</w:t>
      </w:r>
      <w:r w:rsidR="00460E59">
        <w:rPr>
          <w:rFonts w:hint="cs"/>
          <w:rtl/>
          <w:lang w:bidi="ar-EG"/>
        </w:rPr>
        <w:t> </w:t>
      </w:r>
      <w:r w:rsidR="00EA798B">
        <w:rPr>
          <w:rtl/>
          <w:lang w:bidi="ar-EG"/>
        </w:rPr>
        <w:t>5.</w:t>
      </w:r>
    </w:p>
    <w:p w14:paraId="3BF85EE5" w14:textId="19140632" w:rsidR="00EA798B" w:rsidRDefault="00142306" w:rsidP="00EA798B">
      <w:pPr>
        <w:rPr>
          <w:rtl/>
          <w:lang w:bidi="ar-EG"/>
        </w:rPr>
      </w:pPr>
      <w:r>
        <w:rPr>
          <w:lang w:bidi="ar-EG"/>
        </w:rPr>
        <w:t>4.4</w:t>
      </w:r>
      <w:r w:rsidR="00EA798B">
        <w:rPr>
          <w:rtl/>
          <w:lang w:bidi="ar-EG"/>
        </w:rPr>
        <w:tab/>
        <w:t>يقوم فريق العمل التابع للجلسة العامة بما يلي: النظر في التقارير والمقترحات والتوصية بالإجراءات المناسبة فيما يتعلق بالمسائل المتصلة بالسياسات العامة، بما في ذلك الإنترنت، والمسائل العامة الأخرى؛ وإحالة المسائل التي تتطلب تعديلات على الدستور والاتفاقية والقواعد العامة إلى اللجنة 5، وتحيل إلى اللجنة 6 المسائل التي تترتب عليها آثار مالية.</w:t>
      </w:r>
    </w:p>
    <w:p w14:paraId="425D44E4" w14:textId="77777777" w:rsidR="00EA798B" w:rsidRDefault="00EA798B" w:rsidP="00142306">
      <w:pPr>
        <w:pStyle w:val="Heading1"/>
        <w:rPr>
          <w:rtl/>
          <w:lang w:bidi="ar-EG"/>
        </w:rPr>
      </w:pPr>
      <w:r>
        <w:rPr>
          <w:rtl/>
          <w:lang w:bidi="ar-EG"/>
        </w:rPr>
        <w:t>5</w:t>
      </w:r>
      <w:r>
        <w:rPr>
          <w:rtl/>
          <w:lang w:bidi="ar-EG"/>
        </w:rPr>
        <w:tab/>
        <w:t>اجتماعات المائدة المستديرة وبيانات السياسة العامة</w:t>
      </w:r>
    </w:p>
    <w:p w14:paraId="0F28C688" w14:textId="54C19CE0" w:rsidR="00EA798B" w:rsidRDefault="00142306" w:rsidP="00EA798B">
      <w:pPr>
        <w:rPr>
          <w:rtl/>
          <w:lang w:bidi="ar-EG"/>
        </w:rPr>
      </w:pPr>
      <w:r>
        <w:rPr>
          <w:lang w:bidi="ar-EG"/>
        </w:rPr>
        <w:t>1.5</w:t>
      </w:r>
      <w:r w:rsidR="00EA798B">
        <w:rPr>
          <w:rtl/>
          <w:lang w:bidi="ar-EG"/>
        </w:rPr>
        <w:tab/>
        <w:t>وخلال الأسبوع الأول من المؤتمر، سيدعى الوزراء المسؤولون عن الاتصالات وتكنولوجيا المعلومات والاتصالات إلى الإدلاء ببيانات السياسة العامة في الجلسة العامة. وتتيح هذه البيانات فرصة للقيام بما يلي:</w:t>
      </w:r>
    </w:p>
    <w:p w14:paraId="2A5511DF" w14:textId="33446FBB" w:rsidR="00EA798B" w:rsidRDefault="003D4CEC" w:rsidP="00142306">
      <w:pPr>
        <w:pStyle w:val="enumlev1"/>
        <w:rPr>
          <w:rtl/>
        </w:rPr>
      </w:pPr>
      <w:r>
        <w:rPr>
          <w:rFonts w:hint="cs"/>
          <w:rtl/>
        </w:rPr>
        <w:t>-</w:t>
      </w:r>
      <w:r w:rsidR="00EA798B">
        <w:rPr>
          <w:rtl/>
        </w:rPr>
        <w:tab/>
        <w:t>تسليط الضوء على التقدم والإنجازات الوطنية منذ مؤتمر المندوبين المفوضين لعام 2022؛</w:t>
      </w:r>
    </w:p>
    <w:p w14:paraId="1C9B4FE9" w14:textId="1FC91EC1" w:rsidR="00EA798B" w:rsidRDefault="003D4CEC" w:rsidP="00142306">
      <w:pPr>
        <w:pStyle w:val="enumlev1"/>
        <w:rPr>
          <w:rtl/>
        </w:rPr>
      </w:pPr>
      <w:r>
        <w:rPr>
          <w:rFonts w:hint="cs"/>
          <w:rtl/>
        </w:rPr>
        <w:t>-</w:t>
      </w:r>
      <w:r w:rsidR="00EA798B">
        <w:rPr>
          <w:rtl/>
        </w:rPr>
        <w:tab/>
        <w:t>تبادل الاستراتيجيات والأولويات الوطنية للمرحلة المقبلة من التنمية الرقمية؛</w:t>
      </w:r>
    </w:p>
    <w:p w14:paraId="0D556475" w14:textId="5950DA1A" w:rsidR="00EA798B" w:rsidRDefault="003D4CEC" w:rsidP="00142306">
      <w:pPr>
        <w:pStyle w:val="enumlev1"/>
        <w:rPr>
          <w:rtl/>
        </w:rPr>
      </w:pPr>
      <w:r>
        <w:rPr>
          <w:rFonts w:hint="cs"/>
          <w:rtl/>
        </w:rPr>
        <w:t>-</w:t>
      </w:r>
      <w:r w:rsidR="00EA798B">
        <w:rPr>
          <w:rtl/>
        </w:rPr>
        <w:tab/>
        <w:t>تحديد الفرص والتحديات الناشئة في المشهد الرقمي المتطور؛</w:t>
      </w:r>
    </w:p>
    <w:p w14:paraId="1FFB8292" w14:textId="0C7AAD23" w:rsidR="00EA798B" w:rsidRDefault="003D4CEC" w:rsidP="00142306">
      <w:pPr>
        <w:pStyle w:val="enumlev1"/>
        <w:rPr>
          <w:rtl/>
        </w:rPr>
      </w:pPr>
      <w:r>
        <w:rPr>
          <w:rFonts w:hint="cs"/>
          <w:rtl/>
        </w:rPr>
        <w:t>-</w:t>
      </w:r>
      <w:r w:rsidR="00EA798B">
        <w:rPr>
          <w:rtl/>
        </w:rPr>
        <w:tab/>
        <w:t>تقديم وجهات نظر بشأن أفضل السبل التي يمكن من خلالها للتعاون الدولي، بما في ذلك من خلال الاتحاد، أن يدعم الدول الأعضاء على أفضل وجه.</w:t>
      </w:r>
    </w:p>
    <w:p w14:paraId="0ECCD902" w14:textId="717064F3" w:rsidR="00EA798B" w:rsidRDefault="00EA798B" w:rsidP="00EA798B">
      <w:pPr>
        <w:rPr>
          <w:rtl/>
          <w:lang w:bidi="ar-EG"/>
        </w:rPr>
      </w:pPr>
      <w:r>
        <w:rPr>
          <w:rtl/>
          <w:lang w:bidi="ar-EG"/>
        </w:rPr>
        <w:t>ودعماً لإجراء حوار استشرافي، قد ترغب الدول الأعضاء في تأطير مداخلاتها حول الهدفين الاستراتيجيين للاتحاد:</w:t>
      </w:r>
    </w:p>
    <w:p w14:paraId="63ADDD84" w14:textId="652D740F" w:rsidR="00EA798B" w:rsidRDefault="00EA798B" w:rsidP="003D4CEC">
      <w:pPr>
        <w:pStyle w:val="enumlev1"/>
        <w:rPr>
          <w:rtl/>
        </w:rPr>
      </w:pPr>
      <w:r>
        <w:rPr>
          <w:rtl/>
        </w:rPr>
        <w:tab/>
        <w:t>الغاية 1: التوصيلية الشاملة: تمكين وتعزيز النفاذ الشامل إلى الاتصالات/تكنولوجيا المعلومات والاتصالات الآمنة وذات الجودة العالية والميسورة التكلفة.</w:t>
      </w:r>
    </w:p>
    <w:p w14:paraId="20180F36" w14:textId="2CC7FAD2" w:rsidR="00EA798B" w:rsidRDefault="00EA798B" w:rsidP="003D4CEC">
      <w:pPr>
        <w:pStyle w:val="enumlev1"/>
        <w:rPr>
          <w:rtl/>
        </w:rPr>
      </w:pPr>
      <w:r>
        <w:rPr>
          <w:rtl/>
        </w:rPr>
        <w:tab/>
        <w:t>الغاية 2</w:t>
      </w:r>
      <w:r w:rsidR="003D4CEC">
        <w:rPr>
          <w:rFonts w:hint="cs"/>
          <w:rtl/>
          <w:lang w:bidi="ar-SA"/>
        </w:rPr>
        <w:t>:</w:t>
      </w:r>
      <w:r>
        <w:rPr>
          <w:rtl/>
        </w:rPr>
        <w:t xml:space="preserve"> التحول الرقمي المستدام: تعزيز الاستعمال المنصف والشامل للاتصالات/تكنولوجيا المعلومات والاتصالات لتمكين الأشخاص والمجتمعات من أجل تحقيق التنمية المستدامة.</w:t>
      </w:r>
    </w:p>
    <w:p w14:paraId="560C4091" w14:textId="408B1726" w:rsidR="00EA798B" w:rsidRDefault="00EA798B" w:rsidP="00EA798B">
      <w:pPr>
        <w:rPr>
          <w:rtl/>
          <w:lang w:bidi="ar-EG"/>
        </w:rPr>
      </w:pPr>
      <w:r>
        <w:rPr>
          <w:rtl/>
          <w:lang w:bidi="ar-EG"/>
        </w:rPr>
        <w:t>سترسل المبادئ التوجيهية بشأن بيانات السياسة العامة إلى الدول الأعضاء (انظر مشروع المبادئ التوجيهية في الوثيقة</w:t>
      </w:r>
      <w:r w:rsidR="0057013A">
        <w:rPr>
          <w:rFonts w:hint="cs"/>
          <w:rtl/>
          <w:lang w:bidi="ar-EG"/>
        </w:rPr>
        <w:t> </w:t>
      </w:r>
      <w:hyperlink r:id="rId32" w:history="1">
        <w:r w:rsidRPr="003D4CEC">
          <w:rPr>
            <w:rStyle w:val="Hyperlink"/>
            <w:noProof w:val="0"/>
            <w:lang w:val="en-US" w:eastAsia="zh-CN" w:bidi="ar-EG"/>
          </w:rPr>
          <w:t>C26/INF/13</w:t>
        </w:r>
      </w:hyperlink>
      <w:r>
        <w:rPr>
          <w:rtl/>
          <w:lang w:bidi="ar-EG"/>
        </w:rPr>
        <w:t>). وستقتصر البيانات على ثلاث دقائق للوزراء ودقيقتين لرؤساء الوفود الآخرين. وستُنشر الخطابات الكاملة في الموقع الإلكتروني للمؤتمر</w:t>
      </w:r>
      <w:r w:rsidR="0057013A">
        <w:rPr>
          <w:rFonts w:hint="cs"/>
          <w:rtl/>
          <w:lang w:bidi="ar-EG"/>
        </w:rPr>
        <w:t xml:space="preserve"> </w:t>
      </w:r>
      <w:r w:rsidR="0057013A">
        <w:rPr>
          <w:lang w:bidi="ar-EG"/>
        </w:rPr>
        <w:t>PP-26</w:t>
      </w:r>
      <w:r>
        <w:rPr>
          <w:rtl/>
          <w:lang w:bidi="ar-EG"/>
        </w:rPr>
        <w:t>. وسيلقي المتحدثون كلماتهم من المنصة.</w:t>
      </w:r>
    </w:p>
    <w:p w14:paraId="2F15CC20" w14:textId="3660E8E0" w:rsidR="00EA798B" w:rsidRDefault="003D4CEC" w:rsidP="00EA798B">
      <w:pPr>
        <w:rPr>
          <w:rtl/>
          <w:lang w:bidi="ar-EG"/>
        </w:rPr>
      </w:pPr>
      <w:r>
        <w:rPr>
          <w:rFonts w:hint="cs"/>
          <w:rtl/>
          <w:lang w:bidi="ar-EG"/>
        </w:rPr>
        <w:t>2.5</w:t>
      </w:r>
      <w:r w:rsidR="00EA798B">
        <w:rPr>
          <w:rtl/>
          <w:lang w:bidi="ar-EG"/>
        </w:rPr>
        <w:tab/>
        <w:t>وبغية تعزيز المشاركة رفيعة المستوى في مؤتمر المندوبين المفوضين، يجري التخطيط لعقد مناقشتين أو</w:t>
      </w:r>
      <w:r>
        <w:rPr>
          <w:rFonts w:hint="cs"/>
          <w:rtl/>
          <w:lang w:bidi="ar-EG"/>
        </w:rPr>
        <w:t> </w:t>
      </w:r>
      <w:r w:rsidR="00EA798B">
        <w:rPr>
          <w:rtl/>
          <w:lang w:bidi="ar-EG"/>
        </w:rPr>
        <w:t>ثلاث مناقشات موائد مستديرة وزارية خلال الأسبوع الأول. وسيُتاح مزيد من المعلومات في الوقت المناسب.</w:t>
      </w:r>
    </w:p>
    <w:p w14:paraId="7244AC1B" w14:textId="31C26701" w:rsidR="00EA798B" w:rsidRDefault="00EA798B" w:rsidP="00142306">
      <w:pPr>
        <w:pStyle w:val="Heading1"/>
        <w:rPr>
          <w:rtl/>
          <w:lang w:bidi="ar-EG"/>
        </w:rPr>
      </w:pPr>
      <w:r>
        <w:rPr>
          <w:rtl/>
          <w:lang w:bidi="ar-EG"/>
        </w:rPr>
        <w:t>6</w:t>
      </w:r>
      <w:r>
        <w:rPr>
          <w:rtl/>
          <w:lang w:bidi="ar-EG"/>
        </w:rPr>
        <w:tab/>
        <w:t>خطة إدارة الوقت</w:t>
      </w:r>
    </w:p>
    <w:p w14:paraId="4F8B88C2" w14:textId="3B955744" w:rsidR="00EA798B" w:rsidRDefault="00142306" w:rsidP="00EA798B">
      <w:pPr>
        <w:rPr>
          <w:rtl/>
          <w:lang w:bidi="ar-EG"/>
        </w:rPr>
      </w:pPr>
      <w:r>
        <w:rPr>
          <w:lang w:bidi="ar-EG"/>
        </w:rPr>
        <w:t>1.6</w:t>
      </w:r>
      <w:r w:rsidR="00EA798B">
        <w:rPr>
          <w:rtl/>
          <w:lang w:bidi="ar-EG"/>
        </w:rPr>
        <w:tab/>
        <w:t>تعكف الأمانة على إعداد مشروع خطة لإدارة الوقت، سيأخذ في الاعتبار الخبرة المكتسبة من مؤتمرات المندوبين المفوضين السابقة، والمشاورات مع أمانات اللجان، والتعليقات الواردة من الدول الأعضاء. ومن المتوقع أن تبدأ أعمال اللجان الموضوعية صباح يوم الثلاثاء من الأسبوع الأول. ولن يعقد أكثر من اجتماعين موضوعيين بالتوازي. باستخدام مشروع إدارة الوقت النهائي لمؤتمر المندوبين المفوضين لعام 2022 كأساس، سيتم جدولة جلسات مدتها ساعة ونصف للجان وفريق العمل التابع للجلسة العامة، ومن المتوقع أن يتاح وقت خلال أيام العمل لاجتماع الأفرقة المخصصة. وستعرض تفاصيل جميع الاجتماعات، بما في ذلك الأفرقة المخصصة وأفرقة الصياغة، على الشاشات الموجودة في مكان الاجتماع وستنشر في الموقع الإلكتروني للمؤتمر</w:t>
      </w:r>
      <w:r w:rsidR="0057013A">
        <w:rPr>
          <w:rFonts w:hint="cs"/>
          <w:rtl/>
          <w:lang w:bidi="ar-EG"/>
        </w:rPr>
        <w:t xml:space="preserve"> </w:t>
      </w:r>
      <w:r w:rsidR="0057013A">
        <w:rPr>
          <w:lang w:bidi="ar-EG"/>
        </w:rPr>
        <w:t>PP-26</w:t>
      </w:r>
      <w:r w:rsidR="00EA798B">
        <w:rPr>
          <w:rtl/>
          <w:lang w:bidi="ar-EG"/>
        </w:rPr>
        <w:t>.</w:t>
      </w:r>
    </w:p>
    <w:p w14:paraId="370A6B8B" w14:textId="014D6E4C" w:rsidR="00EA798B" w:rsidRDefault="00EA798B" w:rsidP="00EA798B">
      <w:pPr>
        <w:rPr>
          <w:rtl/>
          <w:lang w:bidi="ar-EG"/>
        </w:rPr>
      </w:pPr>
      <w:r>
        <w:rPr>
          <w:rtl/>
          <w:lang w:bidi="ar-EG"/>
        </w:rPr>
        <w:t xml:space="preserve">وكما جرى في </w:t>
      </w:r>
      <w:r w:rsidR="0057013A">
        <w:rPr>
          <w:rFonts w:hint="cs"/>
          <w:rtl/>
          <w:lang w:bidi="ar-EG"/>
        </w:rPr>
        <w:t>مؤتمري</w:t>
      </w:r>
      <w:r>
        <w:rPr>
          <w:rtl/>
          <w:lang w:bidi="ar-EG"/>
        </w:rPr>
        <w:t xml:space="preserve"> المندوبين المفوضين السابقين، يقترح تحديد الموعد النهائي للاختيار النهائي لفئة المساهمة في الساعة </w:t>
      </w:r>
      <w:r w:rsidR="003D4CEC">
        <w:rPr>
          <w:rFonts w:hint="cs"/>
          <w:rtl/>
          <w:lang w:bidi="ar-EG"/>
        </w:rPr>
        <w:t>23:59</w:t>
      </w:r>
      <w:r>
        <w:rPr>
          <w:rtl/>
          <w:lang w:bidi="ar-EG"/>
        </w:rPr>
        <w:t xml:space="preserve"> (بتوقيت جنيف) يوم الأربعاء 11 نوفمبر 2026، وأن تنشر الأمانة فئة المساهمة المختارة هذه قبل الساعة </w:t>
      </w:r>
      <w:r w:rsidR="003D4CEC">
        <w:rPr>
          <w:rFonts w:hint="cs"/>
          <w:rtl/>
          <w:lang w:bidi="ar-EG"/>
        </w:rPr>
        <w:t>06:00</w:t>
      </w:r>
      <w:r>
        <w:rPr>
          <w:rtl/>
          <w:lang w:bidi="ar-EG"/>
        </w:rPr>
        <w:t xml:space="preserve"> من اليوم الرابع للمؤتمر قبل بدء الانتخابات.</w:t>
      </w:r>
    </w:p>
    <w:p w14:paraId="25CC9102" w14:textId="77777777" w:rsidR="00EA798B" w:rsidRDefault="00EA798B" w:rsidP="00EA798B">
      <w:pPr>
        <w:rPr>
          <w:rtl/>
          <w:lang w:bidi="ar-EG"/>
        </w:rPr>
      </w:pPr>
      <w:r>
        <w:rPr>
          <w:rtl/>
          <w:lang w:bidi="ar-EG"/>
        </w:rPr>
        <w:t>وسيعقد الاجتماع الرسمي لرؤساء الوفود يوم الإثنين 9 نوفمبر 2026، ويليه حفل الافتتاح والجلسة العامة الافتتاحية.</w:t>
      </w:r>
    </w:p>
    <w:p w14:paraId="33E3C794" w14:textId="24F78453" w:rsidR="00EA798B" w:rsidRDefault="00142306" w:rsidP="00EA798B">
      <w:pPr>
        <w:rPr>
          <w:rtl/>
          <w:lang w:bidi="ar-EG"/>
        </w:rPr>
      </w:pPr>
      <w:r>
        <w:rPr>
          <w:lang w:bidi="ar-EG"/>
        </w:rPr>
        <w:t>2.6</w:t>
      </w:r>
      <w:r w:rsidR="00EA798B">
        <w:rPr>
          <w:rtl/>
          <w:lang w:bidi="ar-EG"/>
        </w:rPr>
        <w:tab/>
        <w:t>سيعقد المؤتمر العالمي للاتصالات المتنقلة (</w:t>
      </w:r>
      <w:r w:rsidR="00EA798B">
        <w:rPr>
          <w:lang w:bidi="ar-EG"/>
        </w:rPr>
        <w:t>MWC</w:t>
      </w:r>
      <w:r w:rsidR="00EA798B">
        <w:rPr>
          <w:rtl/>
          <w:lang w:bidi="ar-EG"/>
        </w:rPr>
        <w:t>) في الدوحة 2026 في مركز الدوحة للمعارض والمؤتمرات</w:t>
      </w:r>
      <w:r w:rsidR="0057013A">
        <w:rPr>
          <w:rFonts w:hint="cs"/>
          <w:rtl/>
          <w:lang w:bidi="ar-EG"/>
        </w:rPr>
        <w:t> </w:t>
      </w:r>
      <w:r w:rsidR="00EA798B">
        <w:rPr>
          <w:rtl/>
          <w:lang w:bidi="ar-EG"/>
        </w:rPr>
        <w:t>(</w:t>
      </w:r>
      <w:r w:rsidR="00EA798B">
        <w:rPr>
          <w:lang w:bidi="ar-EG"/>
        </w:rPr>
        <w:t>DECC</w:t>
      </w:r>
      <w:r w:rsidR="00EA798B">
        <w:rPr>
          <w:rtl/>
          <w:lang w:bidi="ar-EG"/>
        </w:rPr>
        <w:t xml:space="preserve">) في الفترة من 8 إلى 11 نوفمبر 2026 - وهو جدول زمني متزامن يتيح فرصة ثمينة لتعزيز أوجه التآزر بين الحدثين. ومن المتوقع أن ييسر ذلك مشاركة أوسع من المجتمع العالمي لتكنولوجيا المعلومات والاتصالات، ويعزز التبادلات رفيعة المستوى بين </w:t>
      </w:r>
      <w:r w:rsidR="0057013A">
        <w:rPr>
          <w:rFonts w:hint="cs"/>
          <w:rtl/>
          <w:lang w:bidi="ar-EG"/>
        </w:rPr>
        <w:t>واضعي</w:t>
      </w:r>
      <w:r w:rsidR="00EA798B">
        <w:rPr>
          <w:rtl/>
          <w:lang w:bidi="ar-EG"/>
        </w:rPr>
        <w:t xml:space="preserve"> السياسات وقادة الصناعة، ويمك</w:t>
      </w:r>
      <w:r w:rsidR="0057013A">
        <w:rPr>
          <w:rFonts w:hint="cs"/>
          <w:rtl/>
          <w:lang w:bidi="ar-EG"/>
        </w:rPr>
        <w:t>ِّ</w:t>
      </w:r>
      <w:r w:rsidR="00EA798B">
        <w:rPr>
          <w:rtl/>
          <w:lang w:bidi="ar-EG"/>
        </w:rPr>
        <w:t>ن المشاركين من الاستفادة من نظام إيكولوجي أكثر ثراء من المناقشات والمعارض وفرص التواصل.</w:t>
      </w:r>
    </w:p>
    <w:p w14:paraId="446C480A" w14:textId="47EFB19A" w:rsidR="00EA798B" w:rsidRPr="003D4CEC" w:rsidRDefault="00142306" w:rsidP="003D4CEC">
      <w:pPr>
        <w:rPr>
          <w:rtl/>
          <w:lang w:bidi="ar-EG"/>
        </w:rPr>
      </w:pPr>
      <w:r w:rsidRPr="003D4CEC">
        <w:t>3.6</w:t>
      </w:r>
      <w:r w:rsidR="00EA798B" w:rsidRPr="003D4CEC">
        <w:rPr>
          <w:rtl/>
          <w:lang w:bidi="ar-EG"/>
        </w:rPr>
        <w:tab/>
      </w:r>
      <w:r w:rsidR="003D4CEC">
        <w:rPr>
          <w:rFonts w:hint="cs"/>
          <w:rtl/>
          <w:lang w:bidi="ar-EG"/>
        </w:rPr>
        <w:t xml:space="preserve">وسينظم </w:t>
      </w:r>
      <w:r w:rsidR="00EA798B" w:rsidRPr="003D4CEC">
        <w:rPr>
          <w:rtl/>
          <w:lang w:bidi="ar-EG"/>
        </w:rPr>
        <w:t>البلد المضيف عدداً من الأحداث الجانبية على هامش مؤتمر المندوبين المفوضين لعام 2026، بما يتماشى تماماً مع الجدول الزمني للمؤتمر وبطريقة تضمن حسن سير أعمال المؤتمر وإجراءاته الرسمية، دون أي تداخل، بما في ذلك مائدة مستديرة وزارية بعد ظهر يوم الأحد 8 نوفمبر 2026. وسيُتاح مزيد من المعلومات في الوقت المناسب.</w:t>
      </w:r>
    </w:p>
    <w:p w14:paraId="09148838" w14:textId="77777777" w:rsidR="00EA798B" w:rsidRDefault="00EA798B" w:rsidP="00142306">
      <w:pPr>
        <w:pStyle w:val="Heading1"/>
        <w:rPr>
          <w:rtl/>
          <w:lang w:bidi="ar-EG"/>
        </w:rPr>
      </w:pPr>
      <w:r>
        <w:rPr>
          <w:rtl/>
          <w:lang w:bidi="ar-EG"/>
        </w:rPr>
        <w:t>7</w:t>
      </w:r>
      <w:r>
        <w:rPr>
          <w:rtl/>
          <w:lang w:bidi="ar-EG"/>
        </w:rPr>
        <w:tab/>
        <w:t>فريق الدوحة التحضيري</w:t>
      </w:r>
    </w:p>
    <w:p w14:paraId="73BA84FD" w14:textId="3FC4A23C" w:rsidR="00EA798B" w:rsidRDefault="00142306" w:rsidP="00EA798B">
      <w:pPr>
        <w:rPr>
          <w:rtl/>
          <w:lang w:bidi="ar-EG"/>
        </w:rPr>
      </w:pPr>
      <w:r>
        <w:rPr>
          <w:lang w:bidi="ar-EG"/>
        </w:rPr>
        <w:t>1.7</w:t>
      </w:r>
      <w:r w:rsidR="00EA798B">
        <w:rPr>
          <w:rtl/>
          <w:lang w:bidi="ar-EG"/>
        </w:rPr>
        <w:tab/>
        <w:t>أنشئ فريق الدوحة التحضيري (</w:t>
      </w:r>
      <w:r w:rsidR="00EA798B">
        <w:rPr>
          <w:lang w:bidi="ar-EG"/>
        </w:rPr>
        <w:t>DPG</w:t>
      </w:r>
      <w:r w:rsidR="00EA798B">
        <w:rPr>
          <w:rtl/>
          <w:lang w:bidi="ar-EG"/>
        </w:rPr>
        <w:t>) لتنسيق الأعمال التحضيرية داخلياً. ويتألف هذا الفريق من ممثلين عن الأمانة العامة والمكاتب، بما في ذلك المديرون الإقليميون، ويجتمع على أساس منتظم.</w:t>
      </w:r>
    </w:p>
    <w:p w14:paraId="558CC409" w14:textId="09FEF214" w:rsidR="00EA798B" w:rsidRDefault="00EA798B" w:rsidP="00142306">
      <w:pPr>
        <w:pStyle w:val="Heading1"/>
        <w:rPr>
          <w:rtl/>
          <w:lang w:bidi="ar-EG"/>
        </w:rPr>
      </w:pPr>
      <w:r>
        <w:rPr>
          <w:rtl/>
          <w:lang w:bidi="ar-EG"/>
        </w:rPr>
        <w:t>8</w:t>
      </w:r>
      <w:r>
        <w:rPr>
          <w:rtl/>
          <w:lang w:bidi="ar-EG"/>
        </w:rPr>
        <w:tab/>
        <w:t>دعم الأعمال التحضيرية الإقليمية</w:t>
      </w:r>
    </w:p>
    <w:p w14:paraId="14497D4A" w14:textId="5F8D537F" w:rsidR="00EA798B" w:rsidRDefault="00142306" w:rsidP="00EA798B">
      <w:pPr>
        <w:rPr>
          <w:rtl/>
          <w:lang w:bidi="ar-EG"/>
        </w:rPr>
      </w:pPr>
      <w:r>
        <w:rPr>
          <w:lang w:bidi="ar-EG"/>
        </w:rPr>
        <w:t>1.8</w:t>
      </w:r>
      <w:r w:rsidR="00EA798B">
        <w:rPr>
          <w:rtl/>
          <w:lang w:bidi="ar-EG"/>
        </w:rPr>
        <w:tab/>
        <w:t>وتماشياً مع القرار 58 (المراج</w:t>
      </w:r>
      <w:r w:rsidR="00F3337D">
        <w:rPr>
          <w:rFonts w:hint="cs"/>
          <w:rtl/>
          <w:lang w:bidi="ar-EG"/>
        </w:rPr>
        <w:t>َ</w:t>
      </w:r>
      <w:r w:rsidR="00EA798B">
        <w:rPr>
          <w:rtl/>
          <w:lang w:bidi="ar-EG"/>
        </w:rPr>
        <w:t>ع في بوسان، 2014</w:t>
      </w:r>
      <w:proofErr w:type="gramStart"/>
      <w:r w:rsidR="00EA798B">
        <w:rPr>
          <w:rtl/>
          <w:lang w:bidi="ar-EG"/>
        </w:rPr>
        <w:t>)، بغية تعزيز العلاقات بين الاتحاد والمنظمات الإقليمية للاتصالات، وكما حدث في الفترة التي سبقت مؤتمر المندوبين المفوضين لعام 2018 ومؤتمر المندوبين المفوضين لعام</w:t>
      </w:r>
      <w:r w:rsidR="00F3337D">
        <w:rPr>
          <w:rFonts w:hint="cs"/>
          <w:rtl/>
          <w:lang w:bidi="ar-EG"/>
        </w:rPr>
        <w:t> </w:t>
      </w:r>
      <w:r w:rsidR="00EA798B">
        <w:rPr>
          <w:rtl/>
          <w:lang w:bidi="ar-EG"/>
        </w:rPr>
        <w:t>2022، تشارك الأمانة في الأعمال التحضيرية الإقليمية، حيث تقدم معلومات عن المؤتمر وعملياته وتلقي دورات تدريبية محددة بناء على الطلب.</w:t>
      </w:r>
      <w:proofErr w:type="gramEnd"/>
      <w:r w:rsidR="00EA798B">
        <w:rPr>
          <w:rtl/>
          <w:lang w:bidi="ar-EG"/>
        </w:rPr>
        <w:t xml:space="preserve"> كما نشرت عروض بشأن عملية مؤتمر المندوبين المفوضين على </w:t>
      </w:r>
      <w:hyperlink r:id="rId33" w:anchor="/ar" w:history="1">
        <w:r w:rsidR="00EA798B" w:rsidRPr="00F3337D">
          <w:rPr>
            <w:rStyle w:val="Hyperlink"/>
            <w:noProof w:val="0"/>
            <w:rtl/>
            <w:lang w:val="en-US" w:eastAsia="zh-CN" w:bidi="ar-EG"/>
          </w:rPr>
          <w:t>الموقع الإلكتروني</w:t>
        </w:r>
      </w:hyperlink>
      <w:r w:rsidR="00EA798B">
        <w:rPr>
          <w:rtl/>
          <w:lang w:bidi="ar-EG"/>
        </w:rPr>
        <w:t xml:space="preserve"> إلى جانب الجدول الزمني للاجتماعات التحضيرية الإقليمية.</w:t>
      </w:r>
    </w:p>
    <w:p w14:paraId="62584890" w14:textId="7D7E5897" w:rsidR="00EA798B" w:rsidRDefault="00F3337D" w:rsidP="00EA798B">
      <w:pPr>
        <w:rPr>
          <w:rtl/>
          <w:lang w:bidi="ar-EG"/>
        </w:rPr>
      </w:pPr>
      <w:r>
        <w:rPr>
          <w:rFonts w:hint="cs"/>
          <w:rtl/>
          <w:lang w:bidi="ar-EG"/>
        </w:rPr>
        <w:t>2.8</w:t>
      </w:r>
      <w:r>
        <w:rPr>
          <w:rtl/>
          <w:lang w:bidi="ar-EG"/>
        </w:rPr>
        <w:tab/>
      </w:r>
      <w:r w:rsidR="00EA798B">
        <w:rPr>
          <w:rtl/>
          <w:lang w:bidi="ar-EG"/>
        </w:rPr>
        <w:t>وبالإضافة إلى ذلك، وافق المجلس في دورته لعام 2024 على استمرار عقد اجتماعات أقاليمية غير رسمية. وعقد الاجتماع الأول يوم الثلاثاء 13 يناير 2026، بقيادة الرئيس المعين لمؤتمر المندوبين المفوضين لعام 2026. وستعقد الاجتماعات اللاحقة، التي ستكون جميعها هجينة، على النحو التالي:</w:t>
      </w:r>
    </w:p>
    <w:p w14:paraId="6FE49D7E" w14:textId="397150DB" w:rsidR="00EA798B" w:rsidRDefault="00F3337D" w:rsidP="00142306">
      <w:pPr>
        <w:pStyle w:val="enumlev1"/>
        <w:rPr>
          <w:rtl/>
        </w:rPr>
      </w:pPr>
      <w:r>
        <w:rPr>
          <w:rFonts w:hint="cs"/>
          <w:rtl/>
        </w:rPr>
        <w:t>-</w:t>
      </w:r>
      <w:r w:rsidR="00EA798B">
        <w:rPr>
          <w:rtl/>
        </w:rPr>
        <w:tab/>
        <w:t xml:space="preserve">الاجتماع الثاني: 30 أبريل 2026، من الساعة 13:00 إلى 14:30، خلال دورة المجلس لعام 2026 (28 أبريل </w:t>
      </w:r>
      <w:r>
        <w:rPr>
          <w:rFonts w:hint="cs"/>
          <w:rtl/>
        </w:rPr>
        <w:t>-</w:t>
      </w:r>
      <w:r w:rsidR="00EA798B">
        <w:rPr>
          <w:rtl/>
        </w:rPr>
        <w:t xml:space="preserve"> 8 مايو 2026)، جنيف.</w:t>
      </w:r>
    </w:p>
    <w:p w14:paraId="307ADB2B" w14:textId="49A26287" w:rsidR="00EA798B" w:rsidRDefault="00F3337D" w:rsidP="00142306">
      <w:pPr>
        <w:pStyle w:val="enumlev1"/>
        <w:rPr>
          <w:rtl/>
        </w:rPr>
      </w:pPr>
      <w:r>
        <w:rPr>
          <w:rFonts w:hint="cs"/>
          <w:rtl/>
        </w:rPr>
        <w:t>-</w:t>
      </w:r>
      <w:r w:rsidR="00EA798B">
        <w:rPr>
          <w:rtl/>
        </w:rPr>
        <w:tab/>
      </w:r>
      <w:r w:rsidR="00EA798B" w:rsidRPr="0024705C">
        <w:rPr>
          <w:spacing w:val="-4"/>
          <w:rtl/>
        </w:rPr>
        <w:t>الاجتماع الثالث: 10 يونيو 2026، من الساعة 13:00 إلى 14:30 (بتوقيت ناساو)، خلال المنتدى العالمي لسياسات الاتصالات</w:t>
      </w:r>
      <w:r w:rsidR="0024705C" w:rsidRPr="0024705C">
        <w:rPr>
          <w:rFonts w:hint="cs"/>
          <w:spacing w:val="-4"/>
          <w:rtl/>
        </w:rPr>
        <w:t>/تكنولوجيا المعلومات والاتصالات </w:t>
      </w:r>
      <w:r w:rsidR="00EA798B" w:rsidRPr="0024705C">
        <w:rPr>
          <w:spacing w:val="-4"/>
          <w:rtl/>
        </w:rPr>
        <w:t xml:space="preserve">لعام 2026 </w:t>
      </w:r>
      <w:r w:rsidR="0024705C" w:rsidRPr="0024705C">
        <w:rPr>
          <w:spacing w:val="-4"/>
        </w:rPr>
        <w:t>(WTPF-26)</w:t>
      </w:r>
      <w:r w:rsidR="0024705C" w:rsidRPr="0024705C">
        <w:rPr>
          <w:spacing w:val="-4"/>
          <w:rtl/>
        </w:rPr>
        <w:t xml:space="preserve"> </w:t>
      </w:r>
      <w:r w:rsidR="00EA798B" w:rsidRPr="0024705C">
        <w:rPr>
          <w:spacing w:val="-4"/>
          <w:rtl/>
        </w:rPr>
        <w:t>(9-11 يونيو 2026)، ناساو.</w:t>
      </w:r>
    </w:p>
    <w:p w14:paraId="4E39133F" w14:textId="6E4439BA" w:rsidR="00F50E3F" w:rsidRDefault="00F3337D" w:rsidP="00142306">
      <w:pPr>
        <w:pStyle w:val="enumlev1"/>
        <w:rPr>
          <w:rtl/>
        </w:rPr>
      </w:pPr>
      <w:r>
        <w:rPr>
          <w:rFonts w:hint="cs"/>
          <w:rtl/>
        </w:rPr>
        <w:t>-</w:t>
      </w:r>
      <w:r w:rsidR="00EA798B">
        <w:rPr>
          <w:rtl/>
        </w:rPr>
        <w:tab/>
        <w:t xml:space="preserve">الاجتماع الرابع: 14-15 أكتوبر 2026، </w:t>
      </w:r>
      <w:r w:rsidR="00EA798B" w:rsidRPr="00F3337D">
        <w:rPr>
          <w:i/>
          <w:iCs/>
          <w:rtl/>
        </w:rPr>
        <w:t>يُؤكد لاحقاً</w:t>
      </w:r>
      <w:r w:rsidR="00EA798B">
        <w:rPr>
          <w:rtl/>
        </w:rPr>
        <w:t>، بعد الموعد النهائي لتقديم الترشيحات (12 أكتوبر 2026، الساعة 23:59 بتوقيت جنيف)، المملكة العربية السعودية.</w:t>
      </w:r>
    </w:p>
    <w:p w14:paraId="7D2B51B2" w14:textId="77777777" w:rsidR="00F50E3F" w:rsidRDefault="00D63735" w:rsidP="00F3337D">
      <w:pPr>
        <w:spacing w:before="24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4"/>
      <w:headerReference w:type="first" r:id="rId35"/>
      <w:footerReference w:type="first" r:id="rId3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FA3E" w14:textId="77777777" w:rsidR="001F0180" w:rsidRDefault="001F0180" w:rsidP="006C3242">
      <w:pPr>
        <w:spacing w:before="0" w:line="240" w:lineRule="auto"/>
      </w:pPr>
      <w:r>
        <w:separator/>
      </w:r>
    </w:p>
  </w:endnote>
  <w:endnote w:type="continuationSeparator" w:id="0">
    <w:p w14:paraId="163AD4BE" w14:textId="77777777" w:rsidR="001F0180" w:rsidRDefault="001F018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57DDE3B" w14:textId="77777777" w:rsidTr="00A67F05">
      <w:trPr>
        <w:jc w:val="center"/>
      </w:trPr>
      <w:tc>
        <w:tcPr>
          <w:tcW w:w="868" w:type="pct"/>
          <w:vAlign w:val="center"/>
        </w:tcPr>
        <w:p w14:paraId="5D7F96BF" w14:textId="79CE7A55" w:rsidR="00F50E3F" w:rsidRPr="007B0AA0" w:rsidRDefault="00EA798B"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2600698</w:t>
          </w:r>
        </w:p>
      </w:tc>
      <w:tc>
        <w:tcPr>
          <w:tcW w:w="3912" w:type="pct"/>
        </w:tcPr>
        <w:p w14:paraId="02C714D4" w14:textId="6804456B"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EA798B">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A76AAA9"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8C336D4"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D617472" w14:textId="77777777" w:rsidTr="00A67F05">
      <w:trPr>
        <w:jc w:val="center"/>
      </w:trPr>
      <w:tc>
        <w:tcPr>
          <w:tcW w:w="1013" w:type="pct"/>
          <w:vAlign w:val="center"/>
        </w:tcPr>
        <w:p w14:paraId="259F7213"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70E7FE51" w14:textId="69D9DAC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EA798B">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F146B34"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EBD08FD"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D060" w14:textId="77777777" w:rsidR="001F0180" w:rsidRDefault="001F0180" w:rsidP="006C3242">
      <w:pPr>
        <w:spacing w:before="0" w:line="240" w:lineRule="auto"/>
      </w:pPr>
      <w:r>
        <w:separator/>
      </w:r>
    </w:p>
  </w:footnote>
  <w:footnote w:type="continuationSeparator" w:id="0">
    <w:p w14:paraId="5C2F5D43" w14:textId="77777777" w:rsidR="001F0180" w:rsidRDefault="001F0180"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A62D" w14:textId="77777777" w:rsidR="001A3E13" w:rsidRPr="00057769" w:rsidRDefault="001A3E13" w:rsidP="001A3E13">
    <w:pPr>
      <w:pStyle w:val="Header"/>
    </w:pPr>
    <w:r>
      <w:rPr>
        <w:noProof/>
      </w:rPr>
      <w:drawing>
        <wp:inline distT="0" distB="0" distL="0" distR="0" wp14:anchorId="6DA57817" wp14:editId="7FFCEC35">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9410946">
    <w:abstractNumId w:val="9"/>
  </w:num>
  <w:num w:numId="2" w16cid:durableId="380983917">
    <w:abstractNumId w:val="7"/>
  </w:num>
  <w:num w:numId="3" w16cid:durableId="1827285162">
    <w:abstractNumId w:val="6"/>
  </w:num>
  <w:num w:numId="4" w16cid:durableId="1830366416">
    <w:abstractNumId w:val="5"/>
  </w:num>
  <w:num w:numId="5" w16cid:durableId="1769153621">
    <w:abstractNumId w:val="4"/>
  </w:num>
  <w:num w:numId="6" w16cid:durableId="326249209">
    <w:abstractNumId w:val="8"/>
  </w:num>
  <w:num w:numId="7" w16cid:durableId="11611990">
    <w:abstractNumId w:val="3"/>
  </w:num>
  <w:num w:numId="8" w16cid:durableId="604386635">
    <w:abstractNumId w:val="2"/>
  </w:num>
  <w:num w:numId="9" w16cid:durableId="521435978">
    <w:abstractNumId w:val="1"/>
  </w:num>
  <w:num w:numId="10" w16cid:durableId="1750149806">
    <w:abstractNumId w:val="0"/>
  </w:num>
  <w:num w:numId="11" w16cid:durableId="1475754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1E"/>
    <w:rsid w:val="000116AF"/>
    <w:rsid w:val="0006468A"/>
    <w:rsid w:val="00067BD4"/>
    <w:rsid w:val="00077A58"/>
    <w:rsid w:val="00090574"/>
    <w:rsid w:val="000C1C0E"/>
    <w:rsid w:val="000C548A"/>
    <w:rsid w:val="00142306"/>
    <w:rsid w:val="001504BA"/>
    <w:rsid w:val="00191059"/>
    <w:rsid w:val="001A3E13"/>
    <w:rsid w:val="001B6E2B"/>
    <w:rsid w:val="001C0169"/>
    <w:rsid w:val="001C0C21"/>
    <w:rsid w:val="001D1D50"/>
    <w:rsid w:val="001D64C7"/>
    <w:rsid w:val="001D6745"/>
    <w:rsid w:val="001E446E"/>
    <w:rsid w:val="001F0180"/>
    <w:rsid w:val="002154EE"/>
    <w:rsid w:val="002276D2"/>
    <w:rsid w:val="0023283D"/>
    <w:rsid w:val="0024705C"/>
    <w:rsid w:val="00254393"/>
    <w:rsid w:val="0026373E"/>
    <w:rsid w:val="00271C43"/>
    <w:rsid w:val="00290728"/>
    <w:rsid w:val="002978F4"/>
    <w:rsid w:val="002B028D"/>
    <w:rsid w:val="002C3F32"/>
    <w:rsid w:val="002E6541"/>
    <w:rsid w:val="00334924"/>
    <w:rsid w:val="003409BC"/>
    <w:rsid w:val="00357185"/>
    <w:rsid w:val="00357ED7"/>
    <w:rsid w:val="00383829"/>
    <w:rsid w:val="003D4CEC"/>
    <w:rsid w:val="003F4B29"/>
    <w:rsid w:val="00410B26"/>
    <w:rsid w:val="00420F8A"/>
    <w:rsid w:val="0042686F"/>
    <w:rsid w:val="004317D8"/>
    <w:rsid w:val="0043260A"/>
    <w:rsid w:val="00434183"/>
    <w:rsid w:val="00443869"/>
    <w:rsid w:val="00447F32"/>
    <w:rsid w:val="00460E59"/>
    <w:rsid w:val="00491BA9"/>
    <w:rsid w:val="00494119"/>
    <w:rsid w:val="004A4701"/>
    <w:rsid w:val="004B7334"/>
    <w:rsid w:val="004E11DC"/>
    <w:rsid w:val="005130DE"/>
    <w:rsid w:val="00513157"/>
    <w:rsid w:val="00525DDD"/>
    <w:rsid w:val="005409AC"/>
    <w:rsid w:val="005434E0"/>
    <w:rsid w:val="005546CF"/>
    <w:rsid w:val="0055516A"/>
    <w:rsid w:val="0057013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90788"/>
    <w:rsid w:val="008A7F84"/>
    <w:rsid w:val="0091702E"/>
    <w:rsid w:val="0092065C"/>
    <w:rsid w:val="00923B0C"/>
    <w:rsid w:val="00924F46"/>
    <w:rsid w:val="00935AAC"/>
    <w:rsid w:val="0093725D"/>
    <w:rsid w:val="0094021C"/>
    <w:rsid w:val="00952F86"/>
    <w:rsid w:val="0096716C"/>
    <w:rsid w:val="0097041E"/>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21F98"/>
    <w:rsid w:val="00E33BC6"/>
    <w:rsid w:val="00E45211"/>
    <w:rsid w:val="00E473C5"/>
    <w:rsid w:val="00E61BE8"/>
    <w:rsid w:val="00E83FF1"/>
    <w:rsid w:val="00E92863"/>
    <w:rsid w:val="00E979B2"/>
    <w:rsid w:val="00EA798B"/>
    <w:rsid w:val="00EB796D"/>
    <w:rsid w:val="00F058DC"/>
    <w:rsid w:val="00F24FC4"/>
    <w:rsid w:val="00F2676C"/>
    <w:rsid w:val="00F3337D"/>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EA43F"/>
  <w15:chartTrackingRefBased/>
  <w15:docId w15:val="{39EBC697-4D5B-4B02-9959-D699E772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107/en" TargetMode="External"/><Relationship Id="rId18" Type="http://schemas.openxmlformats.org/officeDocument/2006/relationships/hyperlink" Target="https://www.itu.int/md/S24-CL-C-0086/en" TargetMode="External"/><Relationship Id="rId26" Type="http://schemas.openxmlformats.org/officeDocument/2006/relationships/hyperlink" Target="https://www.itu.int/md/S25-SG-CIR-0047/en" TargetMode="External"/><Relationship Id="rId21" Type="http://schemas.openxmlformats.org/officeDocument/2006/relationships/hyperlink" Target="https://www.itu.int/md/S24-SG-CIR-0011/en"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3-CL-C-0084/en" TargetMode="External"/><Relationship Id="rId17" Type="http://schemas.openxmlformats.org/officeDocument/2006/relationships/hyperlink" Target="https://www.itu.int/md/S24-CL-C-0004/en" TargetMode="External"/><Relationship Id="rId25" Type="http://schemas.openxmlformats.org/officeDocument/2006/relationships/hyperlink" Target="https://www.itu.int/md/S25-CL-C-0004/en" TargetMode="External"/><Relationship Id="rId33" Type="http://schemas.openxmlformats.org/officeDocument/2006/relationships/hyperlink" Target="https://pp.itu.int/2026/en/about/pp-preparatory/"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3-SG-CIR-0053/en" TargetMode="External"/><Relationship Id="rId20" Type="http://schemas.openxmlformats.org/officeDocument/2006/relationships/hyperlink" Target="https://www.itu.int/md/S24-CL-C-0113/en" TargetMode="External"/><Relationship Id="rId29" Type="http://schemas.openxmlformats.org/officeDocument/2006/relationships/hyperlink" Target="https://www.itu.int/md/S25-SG-CIR-004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04/en" TargetMode="External"/><Relationship Id="rId24" Type="http://schemas.openxmlformats.org/officeDocument/2006/relationships/hyperlink" Target="https://www.itu.int/md/S25-SG-CIR-0048/en" TargetMode="External"/><Relationship Id="rId32" Type="http://schemas.openxmlformats.org/officeDocument/2006/relationships/hyperlink" Target="https://www.itu.int/md/S26-CL-INF-0013/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3-SG-CIR-0044/en" TargetMode="External"/><Relationship Id="rId23" Type="http://schemas.openxmlformats.org/officeDocument/2006/relationships/hyperlink" Target="https://www.itu.int/md/S25-SG-CIR-0047/en" TargetMode="External"/><Relationship Id="rId28" Type="http://schemas.openxmlformats.org/officeDocument/2006/relationships/hyperlink" Target="https://www.itu.int/md/S25-DM-CIR-1006/en" TargetMode="External"/><Relationship Id="rId36" Type="http://schemas.openxmlformats.org/officeDocument/2006/relationships/footer" Target="footer2.xml"/><Relationship Id="rId10" Type="http://schemas.openxmlformats.org/officeDocument/2006/relationships/hyperlink" Target="https://www.itu.int/md/S23-C23ADD-C-0014/en" TargetMode="External"/><Relationship Id="rId19" Type="http://schemas.openxmlformats.org/officeDocument/2006/relationships/hyperlink" Target="https://www.itu.int/md/S24-CL-INF-0013/en" TargetMode="External"/><Relationship Id="rId31" Type="http://schemas.openxmlformats.org/officeDocument/2006/relationships/hyperlink" Target="https://www.itu.int/md/S26-SG-CIR-0021/en" TargetMode="External"/><Relationship Id="rId4" Type="http://schemas.openxmlformats.org/officeDocument/2006/relationships/settings" Target="settings.xml"/><Relationship Id="rId9" Type="http://schemas.openxmlformats.org/officeDocument/2006/relationships/hyperlink" Target="https://www.itu.int/en/council/Documents/basic-texts-2023/RES-077-A.pdf" TargetMode="External"/><Relationship Id="rId14" Type="http://schemas.openxmlformats.org/officeDocument/2006/relationships/hyperlink" Target="https://www.itu.int/md/S23-C23ADD-C-0004/en" TargetMode="External"/><Relationship Id="rId22" Type="http://schemas.openxmlformats.org/officeDocument/2006/relationships/hyperlink" Target="https://www.itu.int/md/S25-CL-C-0004/en" TargetMode="External"/><Relationship Id="rId27" Type="http://schemas.openxmlformats.org/officeDocument/2006/relationships/hyperlink" Target="https://www.itu.int/md/S25-DM-CIR-1007/en" TargetMode="External"/><Relationship Id="rId30" Type="http://schemas.openxmlformats.org/officeDocument/2006/relationships/hyperlink" Target="https://www.itu.int/net4/proposals/CPI/PP26" TargetMode="External"/><Relationship Id="rId35" Type="http://schemas.openxmlformats.org/officeDocument/2006/relationships/header" Target="header1.xml"/><Relationship Id="rId8" Type="http://schemas.openxmlformats.org/officeDocument/2006/relationships/hyperlink" Target="https://www.itu.int/pub/S-CONF-PLEN-2022"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10450</Characters>
  <Application>Microsoft Office Word</Application>
  <DocSecurity>0</DocSecurity>
  <Lines>180</Lines>
  <Paragraphs>67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the 2026 Plenipotentiary Conference</dc:title>
  <dc:subject>ITU Council 2026</dc:subject>
  <dc:creator>GBS</dc:creator>
  <cp:keywords>C26; C2026; Council 2026; PP26</cp:keywords>
  <dc:description/>
  <cp:lastModifiedBy>GBS</cp:lastModifiedBy>
  <cp:revision>2</cp:revision>
  <dcterms:created xsi:type="dcterms:W3CDTF">2026-04-17T11:03:00Z</dcterms:created>
  <dcterms:modified xsi:type="dcterms:W3CDTF">2026-04-17T11:03:00Z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