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44D27" w14:paraId="7266EAFF" w14:textId="77777777" w:rsidTr="00C4421B">
        <w:trPr>
          <w:cantSplit/>
          <w:trHeight w:val="23"/>
        </w:trPr>
        <w:tc>
          <w:tcPr>
            <w:tcW w:w="3969" w:type="dxa"/>
            <w:vMerge w:val="restart"/>
            <w:tcMar>
              <w:left w:w="0" w:type="dxa"/>
            </w:tcMar>
          </w:tcPr>
          <w:p w14:paraId="15DEBA0B" w14:textId="023E6190" w:rsidR="00FE57F6" w:rsidRPr="00B44D27" w:rsidRDefault="00CC1FAF" w:rsidP="00C4421B">
            <w:pPr>
              <w:tabs>
                <w:tab w:val="left" w:pos="851"/>
              </w:tabs>
              <w:spacing w:before="0" w:line="240" w:lineRule="atLeast"/>
              <w:rPr>
                <w:b/>
                <w:lang w:val="es-ES"/>
              </w:rPr>
            </w:pPr>
            <w:bookmarkStart w:id="0" w:name="_Hlk133421839"/>
            <w:r w:rsidRPr="00B44D27">
              <w:rPr>
                <w:b/>
                <w:lang w:val="es-ES"/>
              </w:rPr>
              <w:t>Punto del o</w:t>
            </w:r>
            <w:r w:rsidR="00BB6FD8" w:rsidRPr="00B44D27">
              <w:rPr>
                <w:b/>
                <w:lang w:val="es-ES"/>
              </w:rPr>
              <w:t>rden del día</w:t>
            </w:r>
            <w:r w:rsidR="00FE57F6" w:rsidRPr="00B44D27">
              <w:rPr>
                <w:b/>
                <w:lang w:val="es-ES"/>
              </w:rPr>
              <w:t xml:space="preserve">: </w:t>
            </w:r>
            <w:r w:rsidR="00DF42B9" w:rsidRPr="00B44D27">
              <w:rPr>
                <w:b/>
                <w:lang w:val="es-ES"/>
              </w:rPr>
              <w:t>PL-3</w:t>
            </w:r>
          </w:p>
        </w:tc>
        <w:tc>
          <w:tcPr>
            <w:tcW w:w="5245" w:type="dxa"/>
          </w:tcPr>
          <w:p w14:paraId="1C93EFE5" w14:textId="1CC64C53" w:rsidR="00FE57F6" w:rsidRPr="00B44D27" w:rsidRDefault="00FE57F6" w:rsidP="00C4421B">
            <w:pPr>
              <w:tabs>
                <w:tab w:val="left" w:pos="851"/>
              </w:tabs>
              <w:spacing w:before="0" w:line="240" w:lineRule="atLeast"/>
              <w:jc w:val="right"/>
              <w:rPr>
                <w:b/>
                <w:lang w:val="es-ES"/>
              </w:rPr>
            </w:pPr>
            <w:r w:rsidRPr="00B44D27">
              <w:rPr>
                <w:b/>
                <w:lang w:val="es-ES"/>
              </w:rPr>
              <w:t>Document</w:t>
            </w:r>
            <w:r w:rsidR="00F24B71" w:rsidRPr="00B44D27">
              <w:rPr>
                <w:b/>
                <w:lang w:val="es-ES"/>
              </w:rPr>
              <w:t>o</w:t>
            </w:r>
            <w:r w:rsidRPr="00B44D27">
              <w:rPr>
                <w:b/>
                <w:lang w:val="es-ES"/>
              </w:rPr>
              <w:t xml:space="preserve"> C2</w:t>
            </w:r>
            <w:r w:rsidR="00F85E5C" w:rsidRPr="00B44D27">
              <w:rPr>
                <w:b/>
                <w:lang w:val="es-ES"/>
              </w:rPr>
              <w:t>6</w:t>
            </w:r>
            <w:r w:rsidRPr="00B44D27">
              <w:rPr>
                <w:b/>
                <w:lang w:val="es-ES"/>
              </w:rPr>
              <w:t>/</w:t>
            </w:r>
            <w:r w:rsidR="00DF42B9" w:rsidRPr="00B44D27">
              <w:rPr>
                <w:b/>
                <w:lang w:val="es-ES"/>
              </w:rPr>
              <w:t>2</w:t>
            </w:r>
            <w:r w:rsidRPr="00B44D27">
              <w:rPr>
                <w:b/>
                <w:lang w:val="es-ES"/>
              </w:rPr>
              <w:t>-</w:t>
            </w:r>
            <w:r w:rsidR="00F24B71" w:rsidRPr="00B44D27">
              <w:rPr>
                <w:b/>
                <w:lang w:val="es-ES"/>
              </w:rPr>
              <w:t>S</w:t>
            </w:r>
          </w:p>
        </w:tc>
      </w:tr>
      <w:tr w:rsidR="00FE57F6" w:rsidRPr="00B44D27" w14:paraId="0386DE55" w14:textId="77777777" w:rsidTr="00C4421B">
        <w:trPr>
          <w:cantSplit/>
        </w:trPr>
        <w:tc>
          <w:tcPr>
            <w:tcW w:w="3969" w:type="dxa"/>
            <w:vMerge/>
          </w:tcPr>
          <w:p w14:paraId="71522B6D" w14:textId="77777777" w:rsidR="00FE57F6" w:rsidRPr="00B44D27" w:rsidRDefault="00FE57F6" w:rsidP="00C4421B">
            <w:pPr>
              <w:tabs>
                <w:tab w:val="left" w:pos="851"/>
              </w:tabs>
              <w:spacing w:line="240" w:lineRule="atLeast"/>
              <w:rPr>
                <w:b/>
                <w:lang w:val="es-ES"/>
              </w:rPr>
            </w:pPr>
          </w:p>
        </w:tc>
        <w:tc>
          <w:tcPr>
            <w:tcW w:w="5245" w:type="dxa"/>
          </w:tcPr>
          <w:p w14:paraId="7858D8EC" w14:textId="7A0F5F3E" w:rsidR="00FE57F6" w:rsidRPr="00B44D27" w:rsidRDefault="00DF42B9" w:rsidP="00C4421B">
            <w:pPr>
              <w:tabs>
                <w:tab w:val="left" w:pos="851"/>
              </w:tabs>
              <w:spacing w:before="0"/>
              <w:jc w:val="right"/>
              <w:rPr>
                <w:b/>
                <w:lang w:val="es-ES"/>
              </w:rPr>
            </w:pPr>
            <w:r w:rsidRPr="00B44D27">
              <w:rPr>
                <w:b/>
                <w:lang w:val="es-ES"/>
              </w:rPr>
              <w:t>1 de abril de 2026</w:t>
            </w:r>
          </w:p>
        </w:tc>
      </w:tr>
      <w:tr w:rsidR="00FE57F6" w:rsidRPr="00B44D27" w14:paraId="336C69E4" w14:textId="77777777" w:rsidTr="00C4421B">
        <w:trPr>
          <w:cantSplit/>
          <w:trHeight w:val="23"/>
        </w:trPr>
        <w:tc>
          <w:tcPr>
            <w:tcW w:w="3969" w:type="dxa"/>
            <w:vMerge/>
          </w:tcPr>
          <w:p w14:paraId="680C1B73" w14:textId="77777777" w:rsidR="00FE57F6" w:rsidRPr="00B44D27" w:rsidRDefault="00FE57F6" w:rsidP="00C4421B">
            <w:pPr>
              <w:tabs>
                <w:tab w:val="left" w:pos="851"/>
              </w:tabs>
              <w:spacing w:line="240" w:lineRule="atLeast"/>
              <w:rPr>
                <w:b/>
                <w:lang w:val="es-ES"/>
              </w:rPr>
            </w:pPr>
          </w:p>
        </w:tc>
        <w:tc>
          <w:tcPr>
            <w:tcW w:w="5245" w:type="dxa"/>
          </w:tcPr>
          <w:p w14:paraId="3385E9F0" w14:textId="77777777" w:rsidR="00FE57F6" w:rsidRPr="00B44D27" w:rsidRDefault="00F24B71" w:rsidP="00C4421B">
            <w:pPr>
              <w:tabs>
                <w:tab w:val="left" w:pos="851"/>
              </w:tabs>
              <w:spacing w:before="0" w:line="240" w:lineRule="atLeast"/>
              <w:jc w:val="right"/>
              <w:rPr>
                <w:b/>
                <w:bCs/>
                <w:lang w:val="es-ES"/>
              </w:rPr>
            </w:pPr>
            <w:r w:rsidRPr="00B44D27">
              <w:rPr>
                <w:rFonts w:cstheme="minorHAnsi"/>
                <w:b/>
                <w:bCs/>
                <w:lang w:val="es-ES"/>
              </w:rPr>
              <w:t>Original: inglés</w:t>
            </w:r>
          </w:p>
        </w:tc>
      </w:tr>
      <w:tr w:rsidR="00FE57F6" w:rsidRPr="00B44D27" w14:paraId="18FB40E4" w14:textId="77777777" w:rsidTr="00C4421B">
        <w:trPr>
          <w:cantSplit/>
          <w:trHeight w:val="23"/>
        </w:trPr>
        <w:tc>
          <w:tcPr>
            <w:tcW w:w="3969" w:type="dxa"/>
          </w:tcPr>
          <w:p w14:paraId="6127112A" w14:textId="77777777" w:rsidR="00FE57F6" w:rsidRPr="00B44D27" w:rsidRDefault="00FE57F6" w:rsidP="00C4421B">
            <w:pPr>
              <w:tabs>
                <w:tab w:val="left" w:pos="851"/>
              </w:tabs>
              <w:spacing w:line="240" w:lineRule="atLeast"/>
              <w:rPr>
                <w:b/>
                <w:lang w:val="es-ES"/>
              </w:rPr>
            </w:pPr>
          </w:p>
        </w:tc>
        <w:tc>
          <w:tcPr>
            <w:tcW w:w="5245" w:type="dxa"/>
          </w:tcPr>
          <w:p w14:paraId="32CA6115" w14:textId="77777777" w:rsidR="00FE57F6" w:rsidRPr="00B44D27" w:rsidRDefault="00FE57F6" w:rsidP="00C4421B">
            <w:pPr>
              <w:tabs>
                <w:tab w:val="left" w:pos="851"/>
              </w:tabs>
              <w:spacing w:before="0" w:line="240" w:lineRule="atLeast"/>
              <w:jc w:val="right"/>
              <w:rPr>
                <w:b/>
                <w:lang w:val="es-ES"/>
              </w:rPr>
            </w:pPr>
          </w:p>
        </w:tc>
      </w:tr>
      <w:tr w:rsidR="00FE57F6" w:rsidRPr="001A7A94" w14:paraId="4E7E06A4" w14:textId="77777777" w:rsidTr="00C4421B">
        <w:trPr>
          <w:cantSplit/>
        </w:trPr>
        <w:tc>
          <w:tcPr>
            <w:tcW w:w="9214" w:type="dxa"/>
            <w:gridSpan w:val="2"/>
            <w:tcMar>
              <w:left w:w="0" w:type="dxa"/>
            </w:tcMar>
          </w:tcPr>
          <w:p w14:paraId="79F531A2" w14:textId="77777777" w:rsidR="00FE57F6" w:rsidRPr="00B44D27" w:rsidRDefault="00157AC4" w:rsidP="00C4421B">
            <w:pPr>
              <w:pStyle w:val="Source"/>
              <w:jc w:val="left"/>
              <w:rPr>
                <w:sz w:val="34"/>
                <w:szCs w:val="34"/>
                <w:lang w:val="es-ES"/>
              </w:rPr>
            </w:pPr>
            <w:r w:rsidRPr="00B44D27">
              <w:rPr>
                <w:rFonts w:cstheme="minorHAnsi"/>
                <w:sz w:val="34"/>
                <w:szCs w:val="34"/>
                <w:lang w:val="es-ES"/>
              </w:rPr>
              <w:t>Informe de la Secretaria General</w:t>
            </w:r>
          </w:p>
        </w:tc>
      </w:tr>
      <w:tr w:rsidR="00FE57F6" w:rsidRPr="001A7A94" w14:paraId="2CD69770" w14:textId="77777777" w:rsidTr="00C4421B">
        <w:trPr>
          <w:cantSplit/>
        </w:trPr>
        <w:tc>
          <w:tcPr>
            <w:tcW w:w="9214" w:type="dxa"/>
            <w:gridSpan w:val="2"/>
            <w:tcMar>
              <w:left w:w="0" w:type="dxa"/>
            </w:tcMar>
          </w:tcPr>
          <w:p w14:paraId="53D1A5E8" w14:textId="4A18D123" w:rsidR="00FE57F6" w:rsidRPr="00B44D27" w:rsidRDefault="001A7A94" w:rsidP="00C4421B">
            <w:pPr>
              <w:pStyle w:val="Subtitle"/>
              <w:framePr w:hSpace="0" w:wrap="auto" w:hAnchor="text" w:xAlign="left" w:yAlign="inline"/>
              <w:rPr>
                <w:lang w:val="es-ES"/>
              </w:rPr>
            </w:pPr>
            <w:r w:rsidRPr="00B44D27">
              <w:rPr>
                <w:lang w:val="es-ES"/>
              </w:rPr>
              <w:t>CALENDARIO PROPUESTO PARA LAS REUNIONES DE 2027, 2028 Y 2029 DEL CONSEJO Y LAS SERIES DE REUNIONES DE LOS GRUPOS DE TRABAJO DEL CONSEJO PARA EL MISMO PERIODO</w:t>
            </w:r>
          </w:p>
        </w:tc>
      </w:tr>
      <w:tr w:rsidR="00FE57F6" w:rsidRPr="001A7A94" w14:paraId="454ECA9D" w14:textId="77777777" w:rsidTr="00C4421B">
        <w:trPr>
          <w:cantSplit/>
        </w:trPr>
        <w:tc>
          <w:tcPr>
            <w:tcW w:w="9214" w:type="dxa"/>
            <w:gridSpan w:val="2"/>
            <w:tcBorders>
              <w:top w:val="single" w:sz="4" w:space="0" w:color="auto"/>
              <w:bottom w:val="single" w:sz="4" w:space="0" w:color="auto"/>
            </w:tcBorders>
            <w:tcMar>
              <w:left w:w="0" w:type="dxa"/>
            </w:tcMar>
          </w:tcPr>
          <w:p w14:paraId="3F7C7B94" w14:textId="77777777" w:rsidR="00FE57F6" w:rsidRPr="00B44D27" w:rsidRDefault="00F24B71" w:rsidP="00C4421B">
            <w:pPr>
              <w:spacing w:before="160"/>
              <w:rPr>
                <w:b/>
                <w:bCs/>
                <w:sz w:val="26"/>
                <w:szCs w:val="26"/>
                <w:lang w:val="es-ES"/>
              </w:rPr>
            </w:pPr>
            <w:r w:rsidRPr="00B44D27">
              <w:rPr>
                <w:b/>
                <w:bCs/>
                <w:sz w:val="26"/>
                <w:szCs w:val="26"/>
                <w:lang w:val="es-ES"/>
              </w:rPr>
              <w:t>Finalidad</w:t>
            </w:r>
          </w:p>
          <w:p w14:paraId="259DB914" w14:textId="6C6411CB" w:rsidR="00FE57F6" w:rsidRPr="00B44D27" w:rsidRDefault="00DF42B9" w:rsidP="001A7A94">
            <w:pPr>
              <w:jc w:val="both"/>
              <w:rPr>
                <w:lang w:val="es-ES"/>
              </w:rPr>
            </w:pPr>
            <w:r w:rsidRPr="00B44D27">
              <w:rPr>
                <w:sz w:val="22"/>
                <w:szCs w:val="22"/>
                <w:lang w:val="es-ES"/>
              </w:rPr>
              <w:t>En la Resolución 77 (Rev. Bucarest, 2022) de la Conferencia de Plenipotenciarios se encarga al Consejo de la UIT que, en cada reunión ordinaria, planifique sus próximas tres reuniones ordinarias para el periodo junio-julio y examine dicha planificación de manera continua. Se presentan a la consideración del Consejo las fechas propuestas para sus reuniones anuales y las reuniones de los Grupos de Trabajo y Grupos de Expertos del Consejo (GTC y GE) con miras a su adopción en la última reunión de 2026 del Consejo en noviembre, previa consideración de eventuales novedades sobre la continuidad de las actividades en la Sede de la UIT en ese momento.</w:t>
            </w:r>
          </w:p>
          <w:p w14:paraId="2ED205B7" w14:textId="77777777" w:rsidR="00FE57F6" w:rsidRPr="00B44D27" w:rsidRDefault="00F24B71" w:rsidP="00C4421B">
            <w:pPr>
              <w:spacing w:before="160"/>
              <w:rPr>
                <w:b/>
                <w:bCs/>
                <w:sz w:val="26"/>
                <w:szCs w:val="26"/>
                <w:lang w:val="es-ES"/>
              </w:rPr>
            </w:pPr>
            <w:r w:rsidRPr="00B44D27">
              <w:rPr>
                <w:b/>
                <w:bCs/>
                <w:sz w:val="26"/>
                <w:szCs w:val="26"/>
                <w:lang w:val="es-ES"/>
              </w:rPr>
              <w:t xml:space="preserve">Acción solicitada </w:t>
            </w:r>
            <w:r w:rsidR="00677A97" w:rsidRPr="00B44D27">
              <w:rPr>
                <w:b/>
                <w:bCs/>
                <w:sz w:val="26"/>
                <w:szCs w:val="26"/>
                <w:lang w:val="es-ES"/>
              </w:rPr>
              <w:t>al</w:t>
            </w:r>
            <w:r w:rsidRPr="00B44D27">
              <w:rPr>
                <w:b/>
                <w:bCs/>
                <w:sz w:val="26"/>
                <w:szCs w:val="26"/>
                <w:lang w:val="es-ES"/>
              </w:rPr>
              <w:t xml:space="preserve"> Consejo</w:t>
            </w:r>
          </w:p>
          <w:p w14:paraId="4A3201F7" w14:textId="508F89EA" w:rsidR="00F92BED" w:rsidRPr="00B44D27" w:rsidRDefault="00DF42B9" w:rsidP="001A7A94">
            <w:pPr>
              <w:spacing w:before="160"/>
              <w:jc w:val="both"/>
              <w:rPr>
                <w:szCs w:val="24"/>
                <w:lang w:val="es-ES"/>
              </w:rPr>
            </w:pPr>
            <w:r w:rsidRPr="00B44D27">
              <w:rPr>
                <w:sz w:val="22"/>
                <w:szCs w:val="22"/>
                <w:lang w:val="es-ES"/>
              </w:rPr>
              <w:t xml:space="preserve">Se invita al Consejo a </w:t>
            </w:r>
            <w:r w:rsidRPr="00B44D27">
              <w:rPr>
                <w:b/>
                <w:bCs/>
                <w:sz w:val="22"/>
                <w:szCs w:val="22"/>
                <w:lang w:val="es-ES"/>
              </w:rPr>
              <w:t xml:space="preserve">considerar </w:t>
            </w:r>
            <w:r w:rsidRPr="00B44D27">
              <w:rPr>
                <w:sz w:val="22"/>
                <w:szCs w:val="22"/>
                <w:lang w:val="es-ES"/>
              </w:rPr>
              <w:t xml:space="preserve">el calendario propuesto y a </w:t>
            </w:r>
            <w:r w:rsidRPr="00B44D27">
              <w:rPr>
                <w:b/>
                <w:bCs/>
                <w:sz w:val="22"/>
                <w:szCs w:val="22"/>
                <w:lang w:val="es-ES"/>
              </w:rPr>
              <w:t xml:space="preserve">acordar </w:t>
            </w:r>
            <w:r w:rsidRPr="00B44D27">
              <w:rPr>
                <w:sz w:val="22"/>
                <w:szCs w:val="22"/>
                <w:lang w:val="es-ES"/>
              </w:rPr>
              <w:t>en principio la celebración de una sola serie de reuniones de GTC y GE en 2027, 2028 y 2029.</w:t>
            </w:r>
          </w:p>
          <w:p w14:paraId="7B823B51" w14:textId="77777777" w:rsidR="00F92BED" w:rsidRPr="00B44D27" w:rsidRDefault="00F92BED" w:rsidP="00C4421B">
            <w:pPr>
              <w:spacing w:before="160"/>
              <w:rPr>
                <w:b/>
                <w:bCs/>
                <w:sz w:val="26"/>
                <w:szCs w:val="26"/>
                <w:lang w:val="es-ES"/>
              </w:rPr>
            </w:pPr>
            <w:r w:rsidRPr="00B44D27">
              <w:rPr>
                <w:b/>
                <w:bCs/>
                <w:sz w:val="26"/>
                <w:szCs w:val="26"/>
                <w:lang w:val="es-ES"/>
              </w:rPr>
              <w:t>Vínculo(s) pertinente(s) con el Plan Estratégico</w:t>
            </w:r>
          </w:p>
          <w:p w14:paraId="261C5FFF" w14:textId="77777777" w:rsidR="00DF42B9" w:rsidRPr="00B44D27" w:rsidRDefault="00DF42B9" w:rsidP="00DF42B9">
            <w:pPr>
              <w:spacing w:before="100"/>
              <w:jc w:val="both"/>
              <w:rPr>
                <w:sz w:val="22"/>
                <w:szCs w:val="22"/>
                <w:lang w:val="es-ES"/>
              </w:rPr>
            </w:pPr>
            <w:r w:rsidRPr="00B44D27">
              <w:rPr>
                <w:sz w:val="22"/>
                <w:szCs w:val="22"/>
                <w:lang w:val="es-ES"/>
              </w:rPr>
              <w:t>Plataformas de reunión.</w:t>
            </w:r>
          </w:p>
          <w:p w14:paraId="5000766A" w14:textId="77777777" w:rsidR="00F92BED" w:rsidRPr="00B44D27" w:rsidRDefault="00F92BED" w:rsidP="00C4421B">
            <w:pPr>
              <w:spacing w:before="160"/>
              <w:rPr>
                <w:b/>
                <w:bCs/>
                <w:sz w:val="26"/>
                <w:szCs w:val="26"/>
                <w:lang w:val="es-ES"/>
              </w:rPr>
            </w:pPr>
            <w:r w:rsidRPr="00B44D27">
              <w:rPr>
                <w:b/>
                <w:bCs/>
                <w:sz w:val="26"/>
                <w:szCs w:val="26"/>
                <w:lang w:val="es-ES"/>
              </w:rPr>
              <w:t>Repercusiones financieras</w:t>
            </w:r>
          </w:p>
          <w:p w14:paraId="2DD99A72" w14:textId="77777777" w:rsidR="00DF42B9" w:rsidRPr="00B44D27" w:rsidRDefault="00DF42B9" w:rsidP="001A7A94">
            <w:pPr>
              <w:spacing w:before="100"/>
              <w:jc w:val="both"/>
              <w:rPr>
                <w:spacing w:val="-2"/>
                <w:sz w:val="22"/>
                <w:szCs w:val="22"/>
                <w:lang w:val="es-ES"/>
              </w:rPr>
            </w:pPr>
            <w:r w:rsidRPr="00B44D27">
              <w:rPr>
                <w:spacing w:val="-2"/>
                <w:sz w:val="22"/>
                <w:szCs w:val="22"/>
                <w:lang w:val="es-ES"/>
              </w:rPr>
              <w:t>Los costes inherentes a la celebración de las reuniones del Consejo y de las series de reuniones de los GTC y GE en la UIT en 2027 y 2028 se financiarán con cargo al presupuesto bienal correspondiente.</w:t>
            </w:r>
          </w:p>
          <w:p w14:paraId="3CCB927B" w14:textId="1006CF33" w:rsidR="00F92BED" w:rsidRPr="00B44D27" w:rsidRDefault="00DF42B9" w:rsidP="001A7A94">
            <w:pPr>
              <w:jc w:val="both"/>
              <w:rPr>
                <w:lang w:val="es-ES"/>
              </w:rPr>
            </w:pPr>
            <w:r w:rsidRPr="00B44D27">
              <w:rPr>
                <w:spacing w:val="-2"/>
                <w:sz w:val="22"/>
                <w:szCs w:val="22"/>
                <w:lang w:val="es-ES"/>
              </w:rPr>
              <w:t>En 2029 es posible que las salas de reunión de la Sede de la UIT no estén disponibles hasta el mes de septiembre. De celebrarse la serie de reuniones de los GTC de 2029 en el Centro Internacional de Conferencias de Ginebra (CICG) se estima que el coste de esa serie (10 días) ascendería a</w:t>
            </w:r>
            <w:r w:rsidRPr="00B44D27">
              <w:rPr>
                <w:b/>
                <w:bCs/>
                <w:spacing w:val="-2"/>
                <w:sz w:val="22"/>
                <w:szCs w:val="22"/>
                <w:lang w:val="es-ES"/>
              </w:rPr>
              <w:t> 48 000 CHF</w:t>
            </w:r>
            <w:r w:rsidRPr="00B44D27">
              <w:rPr>
                <w:spacing w:val="-2"/>
                <w:sz w:val="22"/>
                <w:szCs w:val="22"/>
                <w:lang w:val="es-ES"/>
              </w:rPr>
              <w:t>.</w:t>
            </w:r>
          </w:p>
          <w:p w14:paraId="68BF4795" w14:textId="77777777" w:rsidR="00FE57F6" w:rsidRPr="00B44D27" w:rsidRDefault="00FE57F6" w:rsidP="00C4421B">
            <w:pPr>
              <w:spacing w:before="160"/>
              <w:rPr>
                <w:caps/>
                <w:sz w:val="22"/>
                <w:lang w:val="es-ES"/>
              </w:rPr>
            </w:pPr>
            <w:r w:rsidRPr="00B44D27">
              <w:rPr>
                <w:sz w:val="22"/>
                <w:lang w:val="es-ES"/>
              </w:rPr>
              <w:t>__________________</w:t>
            </w:r>
          </w:p>
          <w:p w14:paraId="0D2A033D" w14:textId="3B9EA2ED" w:rsidR="00FE57F6" w:rsidRPr="00B44D27" w:rsidRDefault="00F24B71" w:rsidP="00C4421B">
            <w:pPr>
              <w:spacing w:before="160"/>
              <w:rPr>
                <w:b/>
                <w:bCs/>
                <w:sz w:val="26"/>
                <w:szCs w:val="26"/>
                <w:lang w:val="es-ES"/>
              </w:rPr>
            </w:pPr>
            <w:r w:rsidRPr="00B44D27">
              <w:rPr>
                <w:b/>
                <w:bCs/>
                <w:sz w:val="26"/>
                <w:szCs w:val="26"/>
                <w:lang w:val="es-ES"/>
              </w:rPr>
              <w:t>Referencia</w:t>
            </w:r>
            <w:r w:rsidR="00F92BED" w:rsidRPr="00B44D27">
              <w:rPr>
                <w:b/>
                <w:bCs/>
                <w:sz w:val="26"/>
                <w:szCs w:val="26"/>
                <w:lang w:val="es-ES"/>
              </w:rPr>
              <w:t>s</w:t>
            </w:r>
          </w:p>
          <w:p w14:paraId="1FCAE20D" w14:textId="5A3F35F9" w:rsidR="00FE57F6" w:rsidRPr="001A7A94" w:rsidRDefault="00DF42B9" w:rsidP="00C4421B">
            <w:pPr>
              <w:spacing w:after="160"/>
              <w:rPr>
                <w:i/>
                <w:iCs/>
                <w:spacing w:val="-2"/>
                <w:sz w:val="22"/>
                <w:szCs w:val="22"/>
                <w:lang w:val="es-ES"/>
              </w:rPr>
            </w:pPr>
            <w:hyperlink r:id="rId6" w:history="1">
              <w:r w:rsidRPr="001A7A94">
                <w:rPr>
                  <w:rStyle w:val="Hyperlink"/>
                  <w:i/>
                  <w:iCs/>
                  <w:spacing w:val="-2"/>
                  <w:sz w:val="22"/>
                  <w:lang w:val="es-ES"/>
                </w:rPr>
                <w:t>Artículo 1 del Reglamento Interno del Consejo</w:t>
              </w:r>
            </w:hyperlink>
            <w:r w:rsidRPr="001A7A94">
              <w:rPr>
                <w:i/>
                <w:iCs/>
                <w:spacing w:val="-2"/>
                <w:sz w:val="22"/>
                <w:szCs w:val="22"/>
                <w:lang w:val="es-ES"/>
              </w:rPr>
              <w:t xml:space="preserve">; Resoluciones </w:t>
            </w:r>
            <w:hyperlink r:id="rId7" w:history="1">
              <w:r w:rsidRPr="001A7A94">
                <w:rPr>
                  <w:rStyle w:val="Hyperlink"/>
                  <w:i/>
                  <w:iCs/>
                  <w:spacing w:val="-2"/>
                  <w:sz w:val="22"/>
                  <w:lang w:val="es-ES"/>
                </w:rPr>
                <w:t>77 (Rev. Dubái, 2018)</w:t>
              </w:r>
            </w:hyperlink>
            <w:r w:rsidRPr="001A7A94">
              <w:rPr>
                <w:i/>
                <w:iCs/>
                <w:spacing w:val="-2"/>
                <w:sz w:val="22"/>
                <w:szCs w:val="22"/>
                <w:lang w:val="es-ES"/>
              </w:rPr>
              <w:t xml:space="preserve"> y </w:t>
            </w:r>
            <w:hyperlink r:id="rId8" w:history="1">
              <w:r w:rsidRPr="001A7A94">
                <w:rPr>
                  <w:rStyle w:val="Hyperlink"/>
                  <w:i/>
                  <w:iCs/>
                  <w:spacing w:val="-2"/>
                  <w:sz w:val="22"/>
                  <w:lang w:val="es-ES"/>
                </w:rPr>
                <w:t>111 (Rev. Busán, 2014)</w:t>
              </w:r>
            </w:hyperlink>
            <w:r w:rsidRPr="001A7A94">
              <w:rPr>
                <w:i/>
                <w:iCs/>
                <w:spacing w:val="-2"/>
                <w:sz w:val="22"/>
                <w:szCs w:val="22"/>
                <w:lang w:val="es-ES"/>
              </w:rPr>
              <w:t xml:space="preserve"> de la Conferencia de Plenipotenciarios; Acuerdo </w:t>
            </w:r>
            <w:hyperlink r:id="rId9" w:history="1">
              <w:r w:rsidRPr="001A7A94">
                <w:rPr>
                  <w:rStyle w:val="Hyperlink"/>
                  <w:i/>
                  <w:iCs/>
                  <w:spacing w:val="-2"/>
                  <w:sz w:val="22"/>
                  <w:lang w:val="es-ES"/>
                </w:rPr>
                <w:t>643 (</w:t>
              </w:r>
              <w:proofErr w:type="spellStart"/>
              <w:r w:rsidRPr="001A7A94">
                <w:rPr>
                  <w:rStyle w:val="Hyperlink"/>
                  <w:i/>
                  <w:iCs/>
                  <w:spacing w:val="-2"/>
                  <w:sz w:val="22"/>
                  <w:lang w:val="es-ES"/>
                </w:rPr>
                <w:t>C25</w:t>
              </w:r>
              <w:proofErr w:type="spellEnd"/>
              <w:r w:rsidRPr="001A7A94">
                <w:rPr>
                  <w:rStyle w:val="Hyperlink"/>
                  <w:i/>
                  <w:iCs/>
                  <w:spacing w:val="-2"/>
                  <w:sz w:val="22"/>
                  <w:lang w:val="es-ES"/>
                </w:rPr>
                <w:t>)</w:t>
              </w:r>
            </w:hyperlink>
            <w:r w:rsidRPr="001A7A94">
              <w:rPr>
                <w:i/>
                <w:iCs/>
                <w:spacing w:val="-2"/>
                <w:sz w:val="22"/>
                <w:szCs w:val="22"/>
                <w:lang w:val="es-ES"/>
              </w:rPr>
              <w:t xml:space="preserve"> del Consejo.</w:t>
            </w:r>
          </w:p>
        </w:tc>
      </w:tr>
      <w:bookmarkEnd w:id="0"/>
    </w:tbl>
    <w:p w14:paraId="7ABFC438" w14:textId="77777777" w:rsidR="00093EEB" w:rsidRPr="00B44D27" w:rsidRDefault="00093EEB">
      <w:pPr>
        <w:rPr>
          <w:lang w:val="es-ES"/>
        </w:rPr>
      </w:pPr>
    </w:p>
    <w:p w14:paraId="29D79AB8" w14:textId="77777777" w:rsidR="001559F5" w:rsidRPr="00B44D27"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B44D27">
        <w:rPr>
          <w:lang w:val="es-ES"/>
        </w:rPr>
        <w:br w:type="page"/>
      </w:r>
    </w:p>
    <w:p w14:paraId="0AB532B4" w14:textId="77777777" w:rsidR="00DF42B9" w:rsidRPr="00B44D27" w:rsidRDefault="00DF42B9" w:rsidP="00DF42B9">
      <w:pPr>
        <w:pStyle w:val="Headingb"/>
        <w:rPr>
          <w:lang w:val="es-ES"/>
        </w:rPr>
      </w:pPr>
      <w:r w:rsidRPr="00B44D27">
        <w:rPr>
          <w:lang w:val="es-ES"/>
        </w:rPr>
        <w:lastRenderedPageBreak/>
        <w:t>Introducción</w:t>
      </w:r>
    </w:p>
    <w:p w14:paraId="6466E972" w14:textId="7CEC1292" w:rsidR="00DF42B9" w:rsidRPr="001A7A94" w:rsidRDefault="00DF42B9" w:rsidP="001A7A94">
      <w:pPr>
        <w:jc w:val="both"/>
        <w:rPr>
          <w:spacing w:val="-3"/>
          <w:lang w:val="es-ES"/>
        </w:rPr>
      </w:pPr>
      <w:r w:rsidRPr="001A7A94">
        <w:rPr>
          <w:spacing w:val="-3"/>
          <w:lang w:val="es-ES"/>
        </w:rPr>
        <w:t>1</w:t>
      </w:r>
      <w:r w:rsidRPr="001A7A94">
        <w:rPr>
          <w:spacing w:val="-3"/>
          <w:lang w:val="es-ES"/>
        </w:rPr>
        <w:tab/>
        <w:t xml:space="preserve">En su reunión de 2025 (17-27 de junio de 2025) el Consejo de la UIT adoptó el </w:t>
      </w:r>
      <w:hyperlink r:id="rId10" w:history="1">
        <w:r w:rsidRPr="001A7A94">
          <w:rPr>
            <w:rStyle w:val="Hyperlink"/>
            <w:spacing w:val="-3"/>
            <w:szCs w:val="24"/>
            <w:lang w:val="es-ES"/>
          </w:rPr>
          <w:t>Acuerdo 643</w:t>
        </w:r>
      </w:hyperlink>
      <w:r w:rsidRPr="001A7A94">
        <w:rPr>
          <w:spacing w:val="-3"/>
          <w:lang w:val="es-ES"/>
        </w:rPr>
        <w:t>,</w:t>
      </w:r>
      <w:r w:rsidRPr="001A7A94">
        <w:rPr>
          <w:i/>
          <w:iCs/>
          <w:spacing w:val="-3"/>
          <w:lang w:val="es-ES"/>
        </w:rPr>
        <w:t xml:space="preserve"> </w:t>
      </w:r>
      <w:r w:rsidRPr="001A7A94">
        <w:rPr>
          <w:spacing w:val="-3"/>
          <w:lang w:val="es-ES"/>
        </w:rPr>
        <w:t>relativo a las fechas y duración propuestas tanto para las reuniones de 2026, 2027 y 2028 del Consejo, como para las series de reuniones de los Grupos de Trabajo y Grupos de Expertos del Consejo (GTC y GE) para el mismo periodo.</w:t>
      </w:r>
    </w:p>
    <w:p w14:paraId="5B16B43F" w14:textId="474036EB" w:rsidR="00DF42B9" w:rsidRPr="00B44D27" w:rsidRDefault="00DF42B9" w:rsidP="001A7A94">
      <w:pPr>
        <w:jc w:val="both"/>
        <w:rPr>
          <w:spacing w:val="-2"/>
          <w:lang w:val="es-ES"/>
        </w:rPr>
      </w:pPr>
      <w:r w:rsidRPr="00B44D27">
        <w:rPr>
          <w:lang w:val="es-ES"/>
        </w:rPr>
        <w:t>2</w:t>
      </w:r>
      <w:r w:rsidRPr="00B44D27">
        <w:rPr>
          <w:lang w:val="es-ES"/>
        </w:rPr>
        <w:tab/>
        <w:t>Desde la reunión del Consejo de 2025 se ha confirmado que el periodo con mayores perturbaciones causadas por el proyecto de Sede de la Unión será el comprendido entre el 1 de octubre de 2028 y el 31 de agosto de 2029 (véanse los Documentos</w:t>
      </w:r>
      <w:r w:rsidRPr="00B44D27">
        <w:rPr>
          <w:spacing w:val="-2"/>
          <w:lang w:val="es-ES"/>
        </w:rPr>
        <w:t> </w:t>
      </w:r>
      <w:proofErr w:type="spellStart"/>
      <w:r>
        <w:fldChar w:fldCharType="begin"/>
      </w:r>
      <w:r w:rsidRPr="001A7A94">
        <w:rPr>
          <w:lang w:val="es-ES"/>
        </w:rPr>
        <w:instrText>HYPERLINK "https://www.itu.int/md/S26-CL-C-0007/es"</w:instrText>
      </w:r>
      <w:r>
        <w:fldChar w:fldCharType="separate"/>
      </w:r>
      <w:r w:rsidRPr="00B44D27">
        <w:rPr>
          <w:rStyle w:val="Hyperlink"/>
          <w:spacing w:val="-2"/>
          <w:lang w:val="es-ES"/>
        </w:rPr>
        <w:t>C26</w:t>
      </w:r>
      <w:proofErr w:type="spellEnd"/>
      <w:r w:rsidRPr="00B44D27">
        <w:rPr>
          <w:rStyle w:val="Hyperlink"/>
          <w:spacing w:val="-2"/>
          <w:lang w:val="es-ES"/>
        </w:rPr>
        <w:t>/7</w:t>
      </w:r>
      <w:r>
        <w:fldChar w:fldCharType="end"/>
      </w:r>
      <w:r w:rsidRPr="00B44D27">
        <w:rPr>
          <w:lang w:val="es-ES"/>
        </w:rPr>
        <w:t xml:space="preserve"> y </w:t>
      </w:r>
      <w:hyperlink r:id="rId11" w:history="1">
        <w:proofErr w:type="spellStart"/>
        <w:r w:rsidRPr="00B44D27">
          <w:rPr>
            <w:rStyle w:val="Hyperlink"/>
            <w:spacing w:val="-2"/>
            <w:lang w:val="es-ES"/>
          </w:rPr>
          <w:t>C26</w:t>
        </w:r>
        <w:proofErr w:type="spellEnd"/>
        <w:r w:rsidRPr="00B44D27">
          <w:rPr>
            <w:rStyle w:val="Hyperlink"/>
            <w:spacing w:val="-2"/>
            <w:lang w:val="es-ES"/>
          </w:rPr>
          <w:t>/65</w:t>
        </w:r>
      </w:hyperlink>
      <w:r w:rsidRPr="00B44D27">
        <w:rPr>
          <w:spacing w:val="-2"/>
          <w:lang w:val="es-ES"/>
        </w:rPr>
        <w:t>). Se han estudiado otras alternativas en Ginebra para garantizar la continuidad de las actividades, como se indica en el Documento C26/65.</w:t>
      </w:r>
    </w:p>
    <w:p w14:paraId="110DBC11" w14:textId="77777777" w:rsidR="00DF42B9" w:rsidRPr="00B44D27" w:rsidRDefault="00DF42B9" w:rsidP="001A7A94">
      <w:pPr>
        <w:jc w:val="both"/>
        <w:rPr>
          <w:lang w:val="es-ES"/>
        </w:rPr>
      </w:pPr>
      <w:r w:rsidRPr="00B44D27">
        <w:rPr>
          <w:lang w:val="es-ES"/>
        </w:rPr>
        <w:t>3</w:t>
      </w:r>
      <w:r w:rsidRPr="00B44D27">
        <w:rPr>
          <w:lang w:val="es-ES"/>
        </w:rPr>
        <w:tab/>
        <w:t>Además, habida cuenta de la necesidad de racionalizar los costes, optimizar los recursos y aumentar la eficiencia conforme a la Decisión 11, así como el hecho de que el actual calendario de reuniones del Consejo y los Grupos de Trabajo del Consejo, que comprende reuniones, grupos y sesiones extraordinarios, impone una considerable presión para los recursos de los Estados Miembros y los Miembros de Sector, se propone que durante el próximo ciclo los GTC celebren una sola serie de reuniones al año. De ser necesario, para avanzar los trabajos de los grupos podría recurrirse a métodos de trabajo alternativos, como grupos particulares o por correspondencia con mandatos claros y limitados en el tiempo.</w:t>
      </w:r>
    </w:p>
    <w:p w14:paraId="56F49039" w14:textId="77777777" w:rsidR="00DF42B9" w:rsidRPr="00B44D27" w:rsidRDefault="00DF42B9" w:rsidP="001A7A94">
      <w:pPr>
        <w:jc w:val="both"/>
        <w:rPr>
          <w:lang w:val="es-ES"/>
        </w:rPr>
      </w:pPr>
      <w:r w:rsidRPr="00B44D27">
        <w:rPr>
          <w:lang w:val="es-ES"/>
        </w:rPr>
        <w:t>4</w:t>
      </w:r>
      <w:r w:rsidRPr="00B44D27">
        <w:rPr>
          <w:lang w:val="es-ES"/>
        </w:rPr>
        <w:tab/>
        <w:t xml:space="preserve">En este contexto, se presentan a la consideración del Consejo las siguientes fechas para las reuniones anuales del Consejo y las series de reuniones de los GTC: </w:t>
      </w:r>
    </w:p>
    <w:p w14:paraId="7F4DAF73" w14:textId="77777777" w:rsidR="00DF42B9" w:rsidRPr="00B44D27" w:rsidRDefault="00DF42B9" w:rsidP="001A7A94">
      <w:pPr>
        <w:pStyle w:val="enumlev1"/>
        <w:jc w:val="both"/>
        <w:rPr>
          <w:lang w:val="es-ES"/>
        </w:rPr>
      </w:pPr>
      <w:r w:rsidRPr="00B44D27">
        <w:rPr>
          <w:lang w:val="es-ES"/>
        </w:rPr>
        <w:t>–</w:t>
      </w:r>
      <w:r w:rsidRPr="00B44D27">
        <w:rPr>
          <w:lang w:val="es-ES"/>
        </w:rPr>
        <w:tab/>
        <w:t xml:space="preserve">De cara a la reunión de 2027, la Conferencia de Plenipotenciarios de 2026 habrá terminado apenas a finales de noviembre de 2026. Habida cuenta del breve plazo disponible para la preparación de los documentos de la Secretaría y las contribuciones de los Estados Miembros, se propone suprimir la serie de reuniones prevista del 18 al 29 de enero de 2027. Como dispone el Acuerdo 643, la reunión del Consejo se celebrará en Ginebra durante un periodo de nueve días laborables </w:t>
      </w:r>
      <w:r w:rsidRPr="00B44D27">
        <w:rPr>
          <w:b/>
          <w:bCs/>
          <w:lang w:val="es-ES"/>
        </w:rPr>
        <w:t>del martes 8 al viernes 18 de junio de 2027</w:t>
      </w:r>
      <w:r w:rsidRPr="00B44D27">
        <w:rPr>
          <w:lang w:val="es-ES"/>
        </w:rPr>
        <w:t xml:space="preserve">. Se propone celebrar una única serie de reuniones de los GTC y GE </w:t>
      </w:r>
      <w:r w:rsidRPr="00B44D27">
        <w:rPr>
          <w:b/>
          <w:bCs/>
          <w:lang w:val="es-ES"/>
        </w:rPr>
        <w:t>del lunes 29 de noviembre al viernes 10 de diciembre de</w:t>
      </w:r>
      <w:r w:rsidRPr="00B44D27">
        <w:rPr>
          <w:b/>
          <w:bCs/>
          <w:szCs w:val="24"/>
          <w:lang w:val="es-ES"/>
        </w:rPr>
        <w:t xml:space="preserve"> 2027</w:t>
      </w:r>
      <w:r w:rsidRPr="00B44D27">
        <w:rPr>
          <w:szCs w:val="24"/>
          <w:lang w:val="es-ES"/>
        </w:rPr>
        <w:t>.</w:t>
      </w:r>
    </w:p>
    <w:p w14:paraId="6250B953" w14:textId="77777777" w:rsidR="00DF42B9" w:rsidRPr="00B44D27" w:rsidRDefault="00DF42B9" w:rsidP="001A7A94">
      <w:pPr>
        <w:pStyle w:val="enumlev1"/>
        <w:jc w:val="both"/>
        <w:rPr>
          <w:lang w:val="es-ES"/>
        </w:rPr>
      </w:pPr>
      <w:r w:rsidRPr="00B44D27">
        <w:rPr>
          <w:lang w:val="es-ES"/>
        </w:rPr>
        <w:t>–</w:t>
      </w:r>
      <w:r w:rsidRPr="00B44D27">
        <w:rPr>
          <w:lang w:val="es-ES"/>
        </w:rPr>
        <w:tab/>
        <w:t xml:space="preserve">Para 2028, dado el periodo de construcción de la Sede de la UIT, se propone celebrar la reunión del Consejo en la UIT durante un periodo de nueve días laborables </w:t>
      </w:r>
      <w:r w:rsidRPr="00B44D27">
        <w:rPr>
          <w:b/>
          <w:bCs/>
          <w:lang w:val="es-ES"/>
        </w:rPr>
        <w:t>del martes 13 al viernes 23 de junio de 2028</w:t>
      </w:r>
      <w:r w:rsidRPr="00B44D27">
        <w:rPr>
          <w:lang w:val="es-ES"/>
        </w:rPr>
        <w:t xml:space="preserve">; y que la única serie de reuniones de los GTC y GE se celebre en la UIT del </w:t>
      </w:r>
      <w:r w:rsidRPr="00B44D27">
        <w:rPr>
          <w:b/>
          <w:bCs/>
          <w:lang w:val="es-ES"/>
        </w:rPr>
        <w:t>lunes 11 al viernes 22 de septiembre de 2028</w:t>
      </w:r>
      <w:r w:rsidRPr="00B44D27">
        <w:rPr>
          <w:lang w:val="es-ES"/>
        </w:rPr>
        <w:t>.</w:t>
      </w:r>
    </w:p>
    <w:p w14:paraId="4DE28A61" w14:textId="77777777" w:rsidR="00DF42B9" w:rsidRPr="001A7A94" w:rsidRDefault="00DF42B9" w:rsidP="00C1046E">
      <w:pPr>
        <w:pStyle w:val="enumlev1"/>
        <w:jc w:val="both"/>
        <w:rPr>
          <w:spacing w:val="-2"/>
          <w:lang w:val="es-ES"/>
        </w:rPr>
      </w:pPr>
      <w:r w:rsidRPr="001A7A94">
        <w:rPr>
          <w:spacing w:val="-2"/>
          <w:lang w:val="es-ES"/>
        </w:rPr>
        <w:t>–</w:t>
      </w:r>
      <w:r w:rsidRPr="001A7A94">
        <w:rPr>
          <w:spacing w:val="-2"/>
          <w:lang w:val="es-ES"/>
        </w:rPr>
        <w:tab/>
        <w:t xml:space="preserve">Para 2029 se propone que la única serie de reuniones de los GTC y GE se celebre </w:t>
      </w:r>
      <w:r w:rsidRPr="001A7A94">
        <w:rPr>
          <w:b/>
          <w:bCs/>
          <w:spacing w:val="-2"/>
          <w:lang w:val="es-ES"/>
        </w:rPr>
        <w:t>del</w:t>
      </w:r>
      <w:r w:rsidRPr="001A7A94">
        <w:rPr>
          <w:spacing w:val="-2"/>
          <w:lang w:val="es-ES"/>
        </w:rPr>
        <w:t xml:space="preserve"> </w:t>
      </w:r>
      <w:r w:rsidRPr="001A7A94">
        <w:rPr>
          <w:b/>
          <w:bCs/>
          <w:spacing w:val="-2"/>
          <w:lang w:val="es-ES"/>
        </w:rPr>
        <w:t>lunes 19 de febrero al viernes 2 de marzo de 2029</w:t>
      </w:r>
      <w:r w:rsidRPr="001A7A94">
        <w:rPr>
          <w:spacing w:val="-2"/>
          <w:lang w:val="es-ES"/>
        </w:rPr>
        <w:t>. Si a causa de la construcción del edificio de la Sede de la UIT la reunión tuviese que celebrarse en el Centro Internacional de Conferencias de Ginebra (CICG), se estima que su coste ascendería a unos 48 000 CHF.</w:t>
      </w:r>
    </w:p>
    <w:p w14:paraId="06E3944B" w14:textId="77777777" w:rsidR="00DF42B9" w:rsidRPr="00B44D27" w:rsidRDefault="00DF42B9" w:rsidP="00C1046E">
      <w:pPr>
        <w:pStyle w:val="enumlev1"/>
        <w:jc w:val="both"/>
        <w:rPr>
          <w:lang w:val="es-ES"/>
        </w:rPr>
      </w:pPr>
      <w:r w:rsidRPr="00B44D27">
        <w:rPr>
          <w:lang w:val="es-ES"/>
        </w:rPr>
        <w:t>–</w:t>
      </w:r>
      <w:r w:rsidRPr="00B44D27">
        <w:rPr>
          <w:lang w:val="es-ES"/>
        </w:rPr>
        <w:tab/>
        <w:t xml:space="preserve">Está previsto que la reunión anual del Consejo de 2029 se celebre </w:t>
      </w:r>
      <w:r w:rsidRPr="00C1046E">
        <w:rPr>
          <w:b/>
          <w:bCs/>
          <w:lang w:val="es-ES"/>
        </w:rPr>
        <w:t>del</w:t>
      </w:r>
      <w:r w:rsidRPr="00B44D27">
        <w:rPr>
          <w:lang w:val="es-ES"/>
        </w:rPr>
        <w:t xml:space="preserve"> </w:t>
      </w:r>
      <w:r w:rsidRPr="00B44D27">
        <w:rPr>
          <w:b/>
          <w:bCs/>
          <w:lang w:val="es-ES"/>
        </w:rPr>
        <w:t>martes 19 al viernes 29 de junio de 2029</w:t>
      </w:r>
      <w:r w:rsidRPr="00B44D27">
        <w:rPr>
          <w:lang w:val="es-ES"/>
        </w:rPr>
        <w:t xml:space="preserve"> en la Sala Popov. Por si la Sala Popov no pudiese utilizarse durante ese periodo (en función de los resultados de las pruebas acústicas), se han reservado provisionalmente salas en la Organización Mundial de la Salud (OMS). Sin embargo, sería preferible y más rentable celebrar la reunión en la Sede de la UIT del </w:t>
      </w:r>
      <w:r w:rsidRPr="00B44D27">
        <w:rPr>
          <w:b/>
          <w:bCs/>
          <w:lang w:val="es-ES"/>
        </w:rPr>
        <w:t>martes 25 de septiembre al viernes 5 de octubre de 2029</w:t>
      </w:r>
      <w:r w:rsidRPr="00B44D27">
        <w:rPr>
          <w:lang w:val="es-ES"/>
        </w:rPr>
        <w:t>, una vez terminadas las obras de demolición más disruptivas.</w:t>
      </w:r>
    </w:p>
    <w:p w14:paraId="63BCA7AF" w14:textId="735D7221" w:rsidR="00DF42B9" w:rsidRPr="00B44D27" w:rsidRDefault="00DF42B9" w:rsidP="00C1046E">
      <w:pPr>
        <w:jc w:val="both"/>
        <w:rPr>
          <w:lang w:val="es-ES"/>
        </w:rPr>
      </w:pPr>
      <w:r w:rsidRPr="00B44D27">
        <w:rPr>
          <w:lang w:val="es-ES"/>
        </w:rPr>
        <w:lastRenderedPageBreak/>
        <w:t>5</w:t>
      </w:r>
      <w:r w:rsidRPr="00B44D27">
        <w:rPr>
          <w:lang w:val="es-ES"/>
        </w:rPr>
        <w:tab/>
        <w:t xml:space="preserve">Se invita al Consejo a </w:t>
      </w:r>
      <w:r w:rsidRPr="00B44D27">
        <w:rPr>
          <w:b/>
          <w:bCs/>
          <w:lang w:val="es-ES"/>
        </w:rPr>
        <w:t xml:space="preserve">considerar </w:t>
      </w:r>
      <w:r w:rsidRPr="00B44D27">
        <w:rPr>
          <w:lang w:val="es-ES"/>
        </w:rPr>
        <w:t xml:space="preserve">el calendario propuesto y a </w:t>
      </w:r>
      <w:r w:rsidRPr="00B44D27">
        <w:rPr>
          <w:b/>
          <w:bCs/>
          <w:lang w:val="es-ES"/>
        </w:rPr>
        <w:t xml:space="preserve">acordar </w:t>
      </w:r>
      <w:r w:rsidRPr="00B44D27">
        <w:rPr>
          <w:lang w:val="es-ES"/>
        </w:rPr>
        <w:t>en principio la celebración de una sola serie de reuniones de GTC y GE en 2027, 2028 y 2029.</w:t>
      </w:r>
    </w:p>
    <w:p w14:paraId="5779C561" w14:textId="77777777" w:rsidR="00DF42B9" w:rsidRPr="00B44D27" w:rsidRDefault="00DF42B9" w:rsidP="00C1046E">
      <w:pPr>
        <w:jc w:val="both"/>
        <w:rPr>
          <w:lang w:val="es-ES"/>
        </w:rPr>
      </w:pPr>
      <w:r w:rsidRPr="00B44D27">
        <w:rPr>
          <w:lang w:val="es-ES"/>
        </w:rPr>
        <w:t>6</w:t>
      </w:r>
      <w:r w:rsidRPr="00B44D27">
        <w:rPr>
          <w:lang w:val="es-ES"/>
        </w:rPr>
        <w:tab/>
        <w:t>En función de la opinión manifestada por el Consejo en esta reunión y de toda eventual novedad sobre la continuidad de las actividades en la Sede que se presente a la última sesión de la reunión de 2026 del Consejo en noviembre, se presentará a la aprobación del Consejo un proyecto de nuevo Acuerdo al respecto.</w:t>
      </w:r>
    </w:p>
    <w:p w14:paraId="55EC98CF" w14:textId="77777777" w:rsidR="00DF42B9" w:rsidRPr="00B44D27" w:rsidRDefault="00DF42B9" w:rsidP="00411C49">
      <w:pPr>
        <w:pStyle w:val="Reasons"/>
        <w:rPr>
          <w:lang w:val="es-ES"/>
        </w:rPr>
      </w:pPr>
    </w:p>
    <w:p w14:paraId="70AF304A" w14:textId="77777777" w:rsidR="00DF42B9" w:rsidRPr="00B44D27" w:rsidRDefault="00DF42B9">
      <w:pPr>
        <w:jc w:val="center"/>
        <w:rPr>
          <w:lang w:val="es-ES"/>
        </w:rPr>
      </w:pPr>
      <w:r w:rsidRPr="00B44D27">
        <w:rPr>
          <w:lang w:val="es-ES"/>
        </w:rPr>
        <w:t>______________</w:t>
      </w:r>
    </w:p>
    <w:sectPr w:rsidR="00DF42B9" w:rsidRPr="00B44D27" w:rsidSect="00C538FC">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1AD2" w14:textId="77777777" w:rsidR="00A51B9E" w:rsidRDefault="00A51B9E">
      <w:r>
        <w:separator/>
      </w:r>
    </w:p>
  </w:endnote>
  <w:endnote w:type="continuationSeparator" w:id="0">
    <w:p w14:paraId="70DEF9C8" w14:textId="77777777" w:rsidR="00A51B9E" w:rsidRDefault="00A5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F8422F1" w14:textId="77777777" w:rsidTr="00E31DCE">
      <w:trPr>
        <w:jc w:val="center"/>
      </w:trPr>
      <w:tc>
        <w:tcPr>
          <w:tcW w:w="1803" w:type="dxa"/>
          <w:vAlign w:val="center"/>
        </w:tcPr>
        <w:p w14:paraId="5F803715" w14:textId="1EE0DC41" w:rsidR="003273A4" w:rsidRDefault="00DF42B9" w:rsidP="003273A4">
          <w:pPr>
            <w:pStyle w:val="Header"/>
            <w:jc w:val="left"/>
            <w:rPr>
              <w:noProof/>
            </w:rPr>
          </w:pPr>
          <w:r>
            <w:rPr>
              <w:noProof/>
            </w:rPr>
            <w:t>2600722</w:t>
          </w:r>
        </w:p>
      </w:tc>
      <w:tc>
        <w:tcPr>
          <w:tcW w:w="8261" w:type="dxa"/>
        </w:tcPr>
        <w:p w14:paraId="54CE0AE0" w14:textId="317D9B30"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DF42B9">
            <w:rPr>
              <w:bCs/>
            </w:rPr>
            <w:t>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0B3D6327"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21B1F9F" w14:textId="77777777" w:rsidTr="00E31DCE">
      <w:trPr>
        <w:jc w:val="center"/>
      </w:trPr>
      <w:tc>
        <w:tcPr>
          <w:tcW w:w="1803" w:type="dxa"/>
          <w:vAlign w:val="center"/>
        </w:tcPr>
        <w:p w14:paraId="5A8A5FCA"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0989AF6A" w14:textId="26D728A2"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DF42B9">
            <w:rPr>
              <w:bCs/>
            </w:rPr>
            <w:t>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598CD62"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92E6" w14:textId="77777777" w:rsidR="00A51B9E" w:rsidRDefault="00A51B9E">
      <w:r>
        <w:t>____________________</w:t>
      </w:r>
    </w:p>
  </w:footnote>
  <w:footnote w:type="continuationSeparator" w:id="0">
    <w:p w14:paraId="03797BAA" w14:textId="77777777" w:rsidR="00A51B9E" w:rsidRDefault="00A5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507A" w14:textId="77777777" w:rsidR="001559F5" w:rsidRPr="00B1560D" w:rsidRDefault="00B1560D" w:rsidP="00B1560D">
    <w:pPr>
      <w:pStyle w:val="Header"/>
    </w:pPr>
    <w:r>
      <w:rPr>
        <w:noProof/>
      </w:rPr>
      <w:drawing>
        <wp:inline distT="0" distB="0" distL="0" distR="0" wp14:anchorId="4A67779B" wp14:editId="7E64476D">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9E"/>
    <w:rsid w:val="000007D1"/>
    <w:rsid w:val="00031D85"/>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A7A94"/>
    <w:rsid w:val="001B6E2B"/>
    <w:rsid w:val="001F14A2"/>
    <w:rsid w:val="00277DEA"/>
    <w:rsid w:val="002801AA"/>
    <w:rsid w:val="002946E2"/>
    <w:rsid w:val="002C3F32"/>
    <w:rsid w:val="002C4676"/>
    <w:rsid w:val="002C70B0"/>
    <w:rsid w:val="002F3CC4"/>
    <w:rsid w:val="003032E2"/>
    <w:rsid w:val="0031104E"/>
    <w:rsid w:val="0031300A"/>
    <w:rsid w:val="003273A4"/>
    <w:rsid w:val="0034796E"/>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51B9E"/>
    <w:rsid w:val="00A94438"/>
    <w:rsid w:val="00AA390C"/>
    <w:rsid w:val="00AD5A4D"/>
    <w:rsid w:val="00AF0EAC"/>
    <w:rsid w:val="00B0200A"/>
    <w:rsid w:val="00B060DF"/>
    <w:rsid w:val="00B1560D"/>
    <w:rsid w:val="00B44D27"/>
    <w:rsid w:val="00B574DB"/>
    <w:rsid w:val="00B826C2"/>
    <w:rsid w:val="00B8298E"/>
    <w:rsid w:val="00BB6FD8"/>
    <w:rsid w:val="00BD0723"/>
    <w:rsid w:val="00BD2518"/>
    <w:rsid w:val="00BF1D1C"/>
    <w:rsid w:val="00C1046E"/>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DF42B9"/>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0B250D"/>
  <w15:docId w15:val="{EF6F268B-C713-4BE5-B17A-92EA9539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111-S.pdf"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tu.int/en/council/Documents/basic-texts/RES-077-S.pdf"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en/council/Documents/Council-RoP/rop-s.pdf" TargetMode="External"/><Relationship Id="rId11" Type="http://schemas.openxmlformats.org/officeDocument/2006/relationships/hyperlink" Target="https://www.itu.int/md/S26-CL-C-0065/e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tu.int/md/S25-CL-C-0122/es" TargetMode="External"/><Relationship Id="rId4" Type="http://schemas.openxmlformats.org/officeDocument/2006/relationships/footnotes" Target="footnotes.xml"/><Relationship Id="rId9" Type="http://schemas.openxmlformats.org/officeDocument/2006/relationships/hyperlink" Target="https://www.itu.int/md/S25-CL-C-0122/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3</TotalTime>
  <Pages>3</Pages>
  <Words>1037</Words>
  <Characters>5350</Characters>
  <Application>Microsoft Office Word</Application>
  <DocSecurity>0</DocSecurity>
  <Lines>162</Lines>
  <Paragraphs>110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6277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Calendario propuesto para las reuniones de 2027, 2028 y 2029 del Consejo y las series de reuniones de los Grupos de Trabajo del Consejo para el mismo periodo</dc:title>
  <dc:subject>Consejo 2026 de la UIT</dc:subject>
  <cp:keywords>C26; C2026; Council 2026; PP26</cp:keywords>
  <dc:description/>
  <cp:lastPrinted>2006-03-24T09:51:00Z</cp:lastPrinted>
  <dcterms:created xsi:type="dcterms:W3CDTF">2026-04-08T14:46:00Z</dcterms:created>
  <dcterms:modified xsi:type="dcterms:W3CDTF">2026-04-08T14:49:00Z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