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01153D" w14:paraId="78D88BC1" w14:textId="77777777" w:rsidTr="00796BDB">
        <w:trPr>
          <w:cantSplit/>
          <w:trHeight w:val="23"/>
        </w:trPr>
        <w:tc>
          <w:tcPr>
            <w:tcW w:w="3969" w:type="dxa"/>
            <w:vMerge w:val="restart"/>
            <w:tcMar>
              <w:left w:w="0" w:type="dxa"/>
            </w:tcMar>
          </w:tcPr>
          <w:p w14:paraId="592CD268" w14:textId="380E57C9" w:rsidR="00D72F49" w:rsidRPr="0001153D" w:rsidRDefault="00D72F49" w:rsidP="00796BDB">
            <w:pPr>
              <w:tabs>
                <w:tab w:val="left" w:pos="851"/>
              </w:tabs>
              <w:spacing w:before="0" w:line="240" w:lineRule="atLeast"/>
              <w:rPr>
                <w:b/>
              </w:rPr>
            </w:pPr>
            <w:r w:rsidRPr="0001153D">
              <w:rPr>
                <w:b/>
              </w:rPr>
              <w:t>Point de l'ordre du jour:</w:t>
            </w:r>
            <w:r w:rsidR="001A686C" w:rsidRPr="0001153D">
              <w:rPr>
                <w:b/>
              </w:rPr>
              <w:t xml:space="preserve"> </w:t>
            </w:r>
            <w:r w:rsidR="001A686C" w:rsidRPr="0001153D">
              <w:rPr>
                <w:b/>
                <w:bCs/>
                <w:color w:val="000000"/>
              </w:rPr>
              <w:t xml:space="preserve">PL </w:t>
            </w:r>
            <w:r w:rsidR="00E64702">
              <w:rPr>
                <w:b/>
                <w:bCs/>
                <w:color w:val="000000"/>
              </w:rPr>
              <w:t>3</w:t>
            </w:r>
          </w:p>
        </w:tc>
        <w:tc>
          <w:tcPr>
            <w:tcW w:w="5245" w:type="dxa"/>
          </w:tcPr>
          <w:p w14:paraId="2790CB6B" w14:textId="4A85E65C" w:rsidR="00D72F49" w:rsidRPr="0001153D" w:rsidRDefault="00D72F49" w:rsidP="00796BDB">
            <w:pPr>
              <w:tabs>
                <w:tab w:val="left" w:pos="851"/>
              </w:tabs>
              <w:spacing w:before="0" w:line="240" w:lineRule="atLeast"/>
              <w:jc w:val="right"/>
              <w:rPr>
                <w:b/>
              </w:rPr>
            </w:pPr>
            <w:r w:rsidRPr="0001153D">
              <w:rPr>
                <w:b/>
              </w:rPr>
              <w:t>Document C2</w:t>
            </w:r>
            <w:r w:rsidR="00E4448E" w:rsidRPr="0001153D">
              <w:rPr>
                <w:b/>
              </w:rPr>
              <w:t>6</w:t>
            </w:r>
            <w:r w:rsidRPr="0001153D">
              <w:rPr>
                <w:b/>
              </w:rPr>
              <w:t>/</w:t>
            </w:r>
            <w:r w:rsidR="00E64702">
              <w:rPr>
                <w:b/>
              </w:rPr>
              <w:t>2</w:t>
            </w:r>
            <w:r w:rsidRPr="0001153D">
              <w:rPr>
                <w:b/>
              </w:rPr>
              <w:t>-F</w:t>
            </w:r>
          </w:p>
        </w:tc>
      </w:tr>
      <w:tr w:rsidR="00D72F49" w:rsidRPr="0001153D" w14:paraId="7B6BA89D" w14:textId="77777777" w:rsidTr="00796BDB">
        <w:trPr>
          <w:cantSplit/>
        </w:trPr>
        <w:tc>
          <w:tcPr>
            <w:tcW w:w="3969" w:type="dxa"/>
            <w:vMerge/>
          </w:tcPr>
          <w:p w14:paraId="26765AAF" w14:textId="77777777" w:rsidR="00D72F49" w:rsidRPr="0001153D" w:rsidRDefault="00D72F49" w:rsidP="00796BDB">
            <w:pPr>
              <w:tabs>
                <w:tab w:val="left" w:pos="851"/>
              </w:tabs>
              <w:spacing w:line="240" w:lineRule="atLeast"/>
              <w:rPr>
                <w:b/>
              </w:rPr>
            </w:pPr>
          </w:p>
        </w:tc>
        <w:tc>
          <w:tcPr>
            <w:tcW w:w="5245" w:type="dxa"/>
          </w:tcPr>
          <w:p w14:paraId="2581B0E3" w14:textId="33DBD809" w:rsidR="00D72F49" w:rsidRPr="0001153D" w:rsidRDefault="00E64702" w:rsidP="00796BDB">
            <w:pPr>
              <w:tabs>
                <w:tab w:val="left" w:pos="851"/>
              </w:tabs>
              <w:spacing w:before="0"/>
              <w:jc w:val="right"/>
              <w:rPr>
                <w:b/>
              </w:rPr>
            </w:pPr>
            <w:r>
              <w:rPr>
                <w:b/>
                <w:bCs/>
                <w:color w:val="000000"/>
              </w:rPr>
              <w:t>1er avril</w:t>
            </w:r>
            <w:r w:rsidR="001A686C" w:rsidRPr="0001153D">
              <w:rPr>
                <w:b/>
                <w:bCs/>
                <w:color w:val="000000"/>
              </w:rPr>
              <w:t xml:space="preserve"> 2026</w:t>
            </w:r>
          </w:p>
        </w:tc>
      </w:tr>
      <w:tr w:rsidR="00D72F49" w:rsidRPr="0001153D" w14:paraId="2FD07D14" w14:textId="77777777" w:rsidTr="00796BDB">
        <w:trPr>
          <w:cantSplit/>
          <w:trHeight w:val="23"/>
        </w:trPr>
        <w:tc>
          <w:tcPr>
            <w:tcW w:w="3969" w:type="dxa"/>
            <w:vMerge/>
          </w:tcPr>
          <w:p w14:paraId="6C30790E" w14:textId="77777777" w:rsidR="00D72F49" w:rsidRPr="0001153D" w:rsidRDefault="00D72F49" w:rsidP="00796BDB">
            <w:pPr>
              <w:tabs>
                <w:tab w:val="left" w:pos="851"/>
              </w:tabs>
              <w:spacing w:line="240" w:lineRule="atLeast"/>
              <w:rPr>
                <w:b/>
              </w:rPr>
            </w:pPr>
          </w:p>
        </w:tc>
        <w:tc>
          <w:tcPr>
            <w:tcW w:w="5245" w:type="dxa"/>
          </w:tcPr>
          <w:p w14:paraId="1AA10F31" w14:textId="77777777" w:rsidR="00D72F49" w:rsidRPr="0001153D" w:rsidRDefault="00D72F49" w:rsidP="00796BDB">
            <w:pPr>
              <w:tabs>
                <w:tab w:val="left" w:pos="851"/>
              </w:tabs>
              <w:spacing w:before="0" w:line="240" w:lineRule="atLeast"/>
              <w:jc w:val="right"/>
              <w:rPr>
                <w:b/>
              </w:rPr>
            </w:pPr>
            <w:r w:rsidRPr="0001153D">
              <w:rPr>
                <w:b/>
              </w:rPr>
              <w:t>Original: anglais</w:t>
            </w:r>
          </w:p>
        </w:tc>
      </w:tr>
      <w:tr w:rsidR="00D72F49" w:rsidRPr="0001153D" w14:paraId="5BA727D1" w14:textId="77777777" w:rsidTr="00796BDB">
        <w:trPr>
          <w:cantSplit/>
          <w:trHeight w:val="23"/>
        </w:trPr>
        <w:tc>
          <w:tcPr>
            <w:tcW w:w="3969" w:type="dxa"/>
          </w:tcPr>
          <w:p w14:paraId="6C5B3D88" w14:textId="77777777" w:rsidR="00D72F49" w:rsidRPr="0001153D" w:rsidRDefault="00D72F49" w:rsidP="00796BDB">
            <w:pPr>
              <w:tabs>
                <w:tab w:val="left" w:pos="851"/>
              </w:tabs>
              <w:spacing w:line="240" w:lineRule="atLeast"/>
              <w:rPr>
                <w:b/>
              </w:rPr>
            </w:pPr>
          </w:p>
        </w:tc>
        <w:tc>
          <w:tcPr>
            <w:tcW w:w="5245" w:type="dxa"/>
          </w:tcPr>
          <w:p w14:paraId="03547F60" w14:textId="77777777" w:rsidR="00D72F49" w:rsidRPr="0001153D" w:rsidRDefault="00D72F49" w:rsidP="00796BDB">
            <w:pPr>
              <w:tabs>
                <w:tab w:val="left" w:pos="851"/>
              </w:tabs>
              <w:spacing w:before="0" w:line="240" w:lineRule="atLeast"/>
              <w:jc w:val="right"/>
              <w:rPr>
                <w:b/>
              </w:rPr>
            </w:pPr>
          </w:p>
        </w:tc>
      </w:tr>
      <w:tr w:rsidR="00D72F49" w:rsidRPr="0001153D" w14:paraId="01415321" w14:textId="77777777" w:rsidTr="00796BDB">
        <w:trPr>
          <w:cantSplit/>
        </w:trPr>
        <w:tc>
          <w:tcPr>
            <w:tcW w:w="9214" w:type="dxa"/>
            <w:gridSpan w:val="2"/>
            <w:tcMar>
              <w:left w:w="0" w:type="dxa"/>
            </w:tcMar>
          </w:tcPr>
          <w:p w14:paraId="36AF61A2" w14:textId="0506A3BD" w:rsidR="00D72F49" w:rsidRPr="00202D2F" w:rsidRDefault="001A686C" w:rsidP="00202D2F">
            <w:pPr>
              <w:pStyle w:val="Source"/>
              <w:spacing w:before="480"/>
              <w:jc w:val="left"/>
              <w:rPr>
                <w:sz w:val="32"/>
                <w:szCs w:val="32"/>
              </w:rPr>
            </w:pPr>
            <w:r w:rsidRPr="00202D2F">
              <w:rPr>
                <w:rFonts w:cstheme="minorHAnsi"/>
                <w:bCs/>
                <w:color w:val="000000"/>
                <w:sz w:val="32"/>
                <w:szCs w:val="32"/>
              </w:rPr>
              <w:t xml:space="preserve">Rapport de la </w:t>
            </w:r>
            <w:r w:rsidR="00DB68EE" w:rsidRPr="00202D2F">
              <w:rPr>
                <w:rFonts w:cstheme="minorHAnsi"/>
                <w:bCs/>
                <w:color w:val="000000"/>
                <w:sz w:val="32"/>
                <w:szCs w:val="32"/>
              </w:rPr>
              <w:t>Secrétaire générale</w:t>
            </w:r>
          </w:p>
        </w:tc>
      </w:tr>
      <w:tr w:rsidR="00D72F49" w:rsidRPr="0001153D" w14:paraId="33997744" w14:textId="77777777" w:rsidTr="00202D2F">
        <w:trPr>
          <w:cantSplit/>
        </w:trPr>
        <w:tc>
          <w:tcPr>
            <w:tcW w:w="9214" w:type="dxa"/>
            <w:gridSpan w:val="2"/>
            <w:tcBorders>
              <w:bottom w:val="single" w:sz="4" w:space="0" w:color="auto"/>
            </w:tcBorders>
            <w:tcMar>
              <w:left w:w="0" w:type="dxa"/>
            </w:tcMar>
          </w:tcPr>
          <w:p w14:paraId="421ED335" w14:textId="46296355" w:rsidR="00D72F49" w:rsidRPr="0001153D" w:rsidRDefault="00202D2F" w:rsidP="00796BDB">
            <w:pPr>
              <w:pStyle w:val="Subtitle"/>
              <w:framePr w:hSpace="0" w:wrap="auto" w:hAnchor="text" w:xAlign="left" w:yAlign="inline"/>
              <w:rPr>
                <w:sz w:val="32"/>
                <w:szCs w:val="32"/>
                <w:lang w:val="fr-FR"/>
              </w:rPr>
            </w:pPr>
            <w:r w:rsidRPr="00E64702">
              <w:rPr>
                <w:rFonts w:cstheme="minorHAnsi"/>
                <w:sz w:val="32"/>
                <w:szCs w:val="32"/>
                <w:lang w:val="fr-FR"/>
              </w:rPr>
              <w:t>PROPOSITION DE CALENDRIER POUR LES SESSIONS DE 2027, 2028 ET</w:t>
            </w:r>
            <w:r>
              <w:rPr>
                <w:rFonts w:cstheme="minorHAnsi"/>
                <w:sz w:val="32"/>
                <w:szCs w:val="32"/>
                <w:lang w:val="fr-FR"/>
              </w:rPr>
              <w:t> </w:t>
            </w:r>
            <w:r w:rsidRPr="00E64702">
              <w:rPr>
                <w:rFonts w:cstheme="minorHAnsi"/>
                <w:sz w:val="32"/>
                <w:szCs w:val="32"/>
                <w:lang w:val="fr-FR"/>
              </w:rPr>
              <w:t>2029 DU CONSEIL ET LES SÉRIES DE RÉUNIONS DES GROUPES DE</w:t>
            </w:r>
            <w:r>
              <w:rPr>
                <w:rFonts w:cstheme="minorHAnsi"/>
                <w:sz w:val="32"/>
                <w:szCs w:val="32"/>
                <w:lang w:val="fr-FR"/>
              </w:rPr>
              <w:t> </w:t>
            </w:r>
            <w:r w:rsidRPr="00E64702">
              <w:rPr>
                <w:rFonts w:cstheme="minorHAnsi"/>
                <w:sz w:val="32"/>
                <w:szCs w:val="32"/>
                <w:lang w:val="fr-FR"/>
              </w:rPr>
              <w:t>TRAVAIL DU CONSEIL ET DES GROUPES D'EXPERTS POUR LA MÊME</w:t>
            </w:r>
            <w:r>
              <w:rPr>
                <w:rFonts w:cstheme="minorHAnsi"/>
                <w:sz w:val="32"/>
                <w:szCs w:val="32"/>
                <w:lang w:val="fr-FR"/>
              </w:rPr>
              <w:t> </w:t>
            </w:r>
            <w:r w:rsidRPr="00E64702">
              <w:rPr>
                <w:rFonts w:cstheme="minorHAnsi"/>
                <w:sz w:val="32"/>
                <w:szCs w:val="32"/>
                <w:lang w:val="fr-FR"/>
              </w:rPr>
              <w:t>PÉRIODE</w:t>
            </w:r>
          </w:p>
        </w:tc>
      </w:tr>
      <w:tr w:rsidR="00D72F49" w:rsidRPr="0001153D" w14:paraId="53FADF13" w14:textId="77777777" w:rsidTr="00202D2F">
        <w:trPr>
          <w:cantSplit/>
        </w:trPr>
        <w:tc>
          <w:tcPr>
            <w:tcW w:w="9214" w:type="dxa"/>
            <w:gridSpan w:val="2"/>
            <w:tcBorders>
              <w:top w:val="single" w:sz="4" w:space="0" w:color="auto"/>
              <w:bottom w:val="single" w:sz="4" w:space="0" w:color="auto"/>
            </w:tcBorders>
            <w:tcMar>
              <w:left w:w="0" w:type="dxa"/>
            </w:tcMar>
          </w:tcPr>
          <w:p w14:paraId="218136EF" w14:textId="77777777" w:rsidR="00D72F49" w:rsidRPr="0001153D" w:rsidRDefault="00F37FE5" w:rsidP="00796BDB">
            <w:pPr>
              <w:spacing w:before="160"/>
              <w:rPr>
                <w:b/>
                <w:bCs/>
                <w:sz w:val="26"/>
                <w:szCs w:val="26"/>
              </w:rPr>
            </w:pPr>
            <w:r w:rsidRPr="0001153D">
              <w:rPr>
                <w:b/>
                <w:bCs/>
                <w:sz w:val="26"/>
                <w:szCs w:val="26"/>
              </w:rPr>
              <w:t>Objet</w:t>
            </w:r>
          </w:p>
          <w:p w14:paraId="75253062" w14:textId="69856711" w:rsidR="00D72F49" w:rsidRPr="0001153D" w:rsidRDefault="00E64702" w:rsidP="00202D2F">
            <w:pPr>
              <w:jc w:val="both"/>
            </w:pPr>
            <w:r w:rsidRPr="00E64702">
              <w:t>Aux termes de la Résolution 77 (Rév. Bucarest, 2022) de la Conférence de plénipotentiaires, le Conseil de l'UIT, à chacune de ses sessions ordinaires, est chargé de planifier ses trois</w:t>
            </w:r>
            <w:r>
              <w:t> </w:t>
            </w:r>
            <w:r w:rsidRPr="00E64702">
              <w:t>prochaines sessions ordinaires en juin-juillet et de revoir cette planification d'une année à l'autre. Les dates proposées pour les sessions annuelles du Conseil et les séries de réunions des Groupes de travail du Conseil (GTC) et des Groupes d'experts (GE) sont soumises au Conseil pour examen, afin qu'elles soient adoptées lors de la dernière réunion de la session de 2026 du Conseil en novembre, compte tenu des dernières informations sur la poursuite des activités au siège de l'Union qui auront été reçues à ce moment-là.</w:t>
            </w:r>
          </w:p>
          <w:p w14:paraId="2EBE1D55" w14:textId="77777777" w:rsidR="00D72F49" w:rsidRPr="0001153D" w:rsidRDefault="00D72F49" w:rsidP="00796BDB">
            <w:pPr>
              <w:spacing w:before="160"/>
              <w:rPr>
                <w:b/>
                <w:bCs/>
                <w:sz w:val="26"/>
                <w:szCs w:val="26"/>
              </w:rPr>
            </w:pPr>
            <w:r w:rsidRPr="0001153D">
              <w:rPr>
                <w:b/>
                <w:bCs/>
                <w:sz w:val="26"/>
                <w:szCs w:val="26"/>
              </w:rPr>
              <w:t>Suite à donner par le Conseil</w:t>
            </w:r>
          </w:p>
          <w:p w14:paraId="4E7817ED" w14:textId="08B157BD" w:rsidR="00D72F49" w:rsidRPr="0001153D" w:rsidRDefault="00E64702" w:rsidP="00202D2F">
            <w:pPr>
              <w:jc w:val="both"/>
            </w:pPr>
            <w:r w:rsidRPr="00E64702">
              <w:t xml:space="preserve">Le Conseil est invité à </w:t>
            </w:r>
            <w:r w:rsidRPr="00E64702">
              <w:rPr>
                <w:b/>
                <w:bCs/>
              </w:rPr>
              <w:t>examiner</w:t>
            </w:r>
            <w:r w:rsidRPr="00E64702">
              <w:t xml:space="preserve"> la proposition de calendrier et à </w:t>
            </w:r>
            <w:r w:rsidRPr="00E64702">
              <w:rPr>
                <w:b/>
                <w:bCs/>
              </w:rPr>
              <w:t xml:space="preserve">donner son accord </w:t>
            </w:r>
            <w:r w:rsidRPr="00E64702">
              <w:t>de principe à la tenue d'une seule série de réunions des GTC et des GE en 2027, 2028 et 2029.</w:t>
            </w:r>
          </w:p>
          <w:p w14:paraId="703AB4F6" w14:textId="537BB462" w:rsidR="00D72F49" w:rsidRPr="0001153D" w:rsidRDefault="00D72F49" w:rsidP="00796BDB">
            <w:pPr>
              <w:spacing w:before="160"/>
              <w:rPr>
                <w:b/>
                <w:bCs/>
                <w:sz w:val="26"/>
                <w:szCs w:val="26"/>
              </w:rPr>
            </w:pPr>
            <w:r w:rsidRPr="0001153D">
              <w:rPr>
                <w:b/>
                <w:bCs/>
                <w:sz w:val="26"/>
                <w:szCs w:val="26"/>
              </w:rPr>
              <w:t xml:space="preserve">Lien pertinent avec le </w:t>
            </w:r>
            <w:r w:rsidR="00F37FE5" w:rsidRPr="0001153D">
              <w:rPr>
                <w:b/>
                <w:bCs/>
                <w:sz w:val="26"/>
                <w:szCs w:val="26"/>
              </w:rPr>
              <w:t>p</w:t>
            </w:r>
            <w:r w:rsidRPr="0001153D">
              <w:rPr>
                <w:b/>
                <w:bCs/>
                <w:sz w:val="26"/>
                <w:szCs w:val="26"/>
              </w:rPr>
              <w:t>lan stratégique</w:t>
            </w:r>
          </w:p>
          <w:p w14:paraId="521D2E6D" w14:textId="167FB1FF" w:rsidR="00D72F49" w:rsidRPr="0001153D" w:rsidRDefault="00DB68EE" w:rsidP="00202D2F">
            <w:pPr>
              <w:spacing w:after="120"/>
              <w:jc w:val="both"/>
            </w:pPr>
            <w:r w:rsidRPr="0001153D">
              <w:t>Plates-formes fédératrices</w:t>
            </w:r>
            <w:r w:rsidR="00E64702">
              <w:t>.</w:t>
            </w:r>
          </w:p>
          <w:p w14:paraId="4B0F98B7" w14:textId="77777777" w:rsidR="00DB68EE" w:rsidRPr="0001153D" w:rsidRDefault="00DB68EE" w:rsidP="00DB68EE">
            <w:pPr>
              <w:spacing w:before="160"/>
              <w:rPr>
                <w:b/>
                <w:bCs/>
                <w:sz w:val="26"/>
                <w:szCs w:val="26"/>
              </w:rPr>
            </w:pPr>
            <w:r w:rsidRPr="0001153D">
              <w:rPr>
                <w:b/>
                <w:bCs/>
                <w:sz w:val="26"/>
                <w:szCs w:val="26"/>
              </w:rPr>
              <w:t>Incidences financières</w:t>
            </w:r>
          </w:p>
          <w:p w14:paraId="718370A8" w14:textId="77777777" w:rsidR="00E64702" w:rsidRPr="00E64702" w:rsidRDefault="00E64702" w:rsidP="00202D2F">
            <w:pPr>
              <w:jc w:val="both"/>
              <w:rPr>
                <w:szCs w:val="24"/>
              </w:rPr>
            </w:pPr>
            <w:r w:rsidRPr="00E64702">
              <w:rPr>
                <w:szCs w:val="24"/>
              </w:rPr>
              <w:t>Les coûts afférents à la tenue des sessions du Conseil et des séries de réunions des GTC et des GE à l'UIT pour les années 2027 et 2028 sont couverts par les budgets biennaux.</w:t>
            </w:r>
          </w:p>
          <w:p w14:paraId="30627FF8" w14:textId="7902AECE" w:rsidR="00DB68EE" w:rsidRPr="0001153D" w:rsidRDefault="00E64702" w:rsidP="00202D2F">
            <w:pPr>
              <w:jc w:val="both"/>
              <w:rPr>
                <w:szCs w:val="24"/>
              </w:rPr>
            </w:pPr>
            <w:r w:rsidRPr="00E64702">
              <w:rPr>
                <w:szCs w:val="24"/>
              </w:rPr>
              <w:t>En 2029, les salles de réunion au siège de l</w:t>
            </w:r>
            <w:r>
              <w:rPr>
                <w:szCs w:val="24"/>
              </w:rPr>
              <w:t>'</w:t>
            </w:r>
            <w:r w:rsidRPr="00E64702">
              <w:rPr>
                <w:szCs w:val="24"/>
              </w:rPr>
              <w:t xml:space="preserve">UIT pourraient ne pas être disponibles avant septembre. Si la série de réunions des GTC et des GE de 2029 (10 jours) devait avoir lieu au Centre international de conférences de Genève (CICG), le coût estimé correspondant s'élèverait à </w:t>
            </w:r>
            <w:r w:rsidRPr="00E64702">
              <w:rPr>
                <w:b/>
                <w:bCs/>
                <w:szCs w:val="24"/>
              </w:rPr>
              <w:t>48 000 CHF</w:t>
            </w:r>
            <w:r w:rsidRPr="00E64702">
              <w:rPr>
                <w:szCs w:val="24"/>
              </w:rPr>
              <w:t>.</w:t>
            </w:r>
          </w:p>
          <w:p w14:paraId="2BC6FD58" w14:textId="77777777" w:rsidR="00DB68EE" w:rsidRDefault="00DB68EE" w:rsidP="00202D2F">
            <w:pPr>
              <w:spacing w:before="0"/>
              <w:rPr>
                <w:sz w:val="22"/>
              </w:rPr>
            </w:pPr>
            <w:r w:rsidRPr="0001153D">
              <w:rPr>
                <w:sz w:val="22"/>
              </w:rPr>
              <w:t>__________________</w:t>
            </w:r>
          </w:p>
          <w:p w14:paraId="6A5FF741" w14:textId="77777777" w:rsidR="00202D2F" w:rsidRPr="0001153D" w:rsidRDefault="00202D2F" w:rsidP="00202D2F">
            <w:pPr>
              <w:rPr>
                <w:b/>
                <w:bCs/>
                <w:sz w:val="26"/>
                <w:szCs w:val="26"/>
              </w:rPr>
            </w:pPr>
            <w:r w:rsidRPr="0001153D">
              <w:rPr>
                <w:b/>
                <w:bCs/>
                <w:sz w:val="26"/>
                <w:szCs w:val="26"/>
              </w:rPr>
              <w:t>Références</w:t>
            </w:r>
          </w:p>
          <w:p w14:paraId="37D726DE" w14:textId="7E9D6435" w:rsidR="00202D2F" w:rsidRPr="00202D2F" w:rsidRDefault="00202D2F" w:rsidP="00202D2F">
            <w:pPr>
              <w:spacing w:after="120"/>
              <w:rPr>
                <w:sz w:val="22"/>
                <w:szCs w:val="22"/>
              </w:rPr>
            </w:pPr>
            <w:r w:rsidRPr="00202D2F">
              <w:rPr>
                <w:i/>
                <w:iCs/>
                <w:sz w:val="22"/>
                <w:szCs w:val="22"/>
              </w:rPr>
              <w:t xml:space="preserve">Article </w:t>
            </w:r>
            <w:hyperlink r:id="rId8" w:history="1">
              <w:r w:rsidRPr="00202D2F">
                <w:rPr>
                  <w:rStyle w:val="Hyperlink"/>
                  <w:rFonts w:eastAsia="Times New Roman" w:cs="Times New Roman"/>
                  <w:i/>
                  <w:iCs/>
                  <w:sz w:val="22"/>
                </w:rPr>
                <w:t>1</w:t>
              </w:r>
            </w:hyperlink>
            <w:r w:rsidRPr="00202D2F">
              <w:rPr>
                <w:i/>
                <w:iCs/>
                <w:sz w:val="22"/>
                <w:szCs w:val="22"/>
              </w:rPr>
              <w:t xml:space="preserve">, Règlement intérieur du </w:t>
            </w:r>
            <w:proofErr w:type="gramStart"/>
            <w:r w:rsidRPr="00202D2F">
              <w:rPr>
                <w:i/>
                <w:iCs/>
                <w:sz w:val="22"/>
                <w:szCs w:val="22"/>
              </w:rPr>
              <w:t>Conseil;</w:t>
            </w:r>
            <w:proofErr w:type="gramEnd"/>
            <w:r w:rsidRPr="00202D2F">
              <w:rPr>
                <w:i/>
                <w:iCs/>
                <w:sz w:val="22"/>
                <w:szCs w:val="22"/>
              </w:rPr>
              <w:t xml:space="preserve"> Résolution </w:t>
            </w:r>
            <w:hyperlink r:id="rId9" w:history="1">
              <w:r w:rsidRPr="00202D2F">
                <w:rPr>
                  <w:rStyle w:val="Hyperlink"/>
                  <w:rFonts w:eastAsia="Times New Roman" w:cs="Times New Roman"/>
                  <w:i/>
                  <w:iCs/>
                  <w:sz w:val="22"/>
                </w:rPr>
                <w:t>77</w:t>
              </w:r>
            </w:hyperlink>
            <w:r w:rsidRPr="00202D2F">
              <w:rPr>
                <w:i/>
                <w:iCs/>
                <w:sz w:val="22"/>
                <w:szCs w:val="22"/>
              </w:rPr>
              <w:t xml:space="preserve"> (Rév. Bucarest, 2022) et Résolution </w:t>
            </w:r>
            <w:hyperlink r:id="rId10" w:history="1">
              <w:r w:rsidRPr="00202D2F">
                <w:rPr>
                  <w:rStyle w:val="Hyperlink"/>
                  <w:rFonts w:eastAsia="Times New Roman" w:cs="Times New Roman"/>
                  <w:i/>
                  <w:iCs/>
                  <w:sz w:val="22"/>
                </w:rPr>
                <w:t>111</w:t>
              </w:r>
            </w:hyperlink>
            <w:r w:rsidRPr="00202D2F">
              <w:rPr>
                <w:i/>
                <w:iCs/>
                <w:sz w:val="22"/>
                <w:szCs w:val="22"/>
              </w:rPr>
              <w:t xml:space="preserve"> (Rév. Busan, 2014) de la Conférence de </w:t>
            </w:r>
            <w:proofErr w:type="gramStart"/>
            <w:r w:rsidRPr="00202D2F">
              <w:rPr>
                <w:i/>
                <w:iCs/>
                <w:sz w:val="22"/>
                <w:szCs w:val="22"/>
              </w:rPr>
              <w:t>plénipotentiaires;</w:t>
            </w:r>
            <w:proofErr w:type="gramEnd"/>
            <w:r w:rsidRPr="00202D2F">
              <w:rPr>
                <w:i/>
                <w:iCs/>
                <w:sz w:val="22"/>
                <w:szCs w:val="22"/>
              </w:rPr>
              <w:t xml:space="preserve"> Décision </w:t>
            </w:r>
            <w:hyperlink r:id="rId11" w:history="1">
              <w:r w:rsidRPr="00202D2F">
                <w:rPr>
                  <w:rStyle w:val="Hyperlink"/>
                  <w:rFonts w:eastAsia="Times New Roman" w:cs="Times New Roman"/>
                  <w:i/>
                  <w:iCs/>
                  <w:sz w:val="22"/>
                </w:rPr>
                <w:t>643</w:t>
              </w:r>
            </w:hyperlink>
            <w:r w:rsidRPr="00202D2F">
              <w:rPr>
                <w:i/>
                <w:iCs/>
                <w:sz w:val="22"/>
                <w:szCs w:val="22"/>
              </w:rPr>
              <w:t xml:space="preserve"> (</w:t>
            </w:r>
            <w:proofErr w:type="spellStart"/>
            <w:r w:rsidRPr="00202D2F">
              <w:rPr>
                <w:i/>
                <w:iCs/>
                <w:sz w:val="22"/>
                <w:szCs w:val="22"/>
              </w:rPr>
              <w:t>C25</w:t>
            </w:r>
            <w:proofErr w:type="spellEnd"/>
            <w:r w:rsidRPr="00202D2F">
              <w:rPr>
                <w:i/>
                <w:iCs/>
                <w:sz w:val="22"/>
                <w:szCs w:val="22"/>
              </w:rPr>
              <w:t>) du Conseil</w:t>
            </w:r>
          </w:p>
        </w:tc>
      </w:tr>
    </w:tbl>
    <w:p w14:paraId="4D777997" w14:textId="57DF26A4" w:rsidR="00A51849" w:rsidRPr="00202D2F" w:rsidRDefault="00A51849" w:rsidP="001A686C">
      <w:pPr>
        <w:tabs>
          <w:tab w:val="clear" w:pos="567"/>
          <w:tab w:val="clear" w:pos="1134"/>
          <w:tab w:val="clear" w:pos="1701"/>
          <w:tab w:val="clear" w:pos="2268"/>
          <w:tab w:val="clear" w:pos="2835"/>
        </w:tabs>
        <w:overflowPunct/>
        <w:autoSpaceDE/>
        <w:autoSpaceDN/>
        <w:adjustRightInd/>
        <w:spacing w:before="0"/>
        <w:textAlignment w:val="auto"/>
        <w:rPr>
          <w:sz w:val="10"/>
          <w:szCs w:val="10"/>
        </w:rPr>
      </w:pPr>
      <w:r w:rsidRPr="00202D2F">
        <w:rPr>
          <w:sz w:val="10"/>
          <w:szCs w:val="10"/>
        </w:rPr>
        <w:br w:type="page"/>
      </w:r>
    </w:p>
    <w:p w14:paraId="6E595ED6" w14:textId="77777777" w:rsidR="00E64702" w:rsidRDefault="00E64702" w:rsidP="00E64702">
      <w:pPr>
        <w:pStyle w:val="Headingb"/>
      </w:pPr>
      <w:r>
        <w:lastRenderedPageBreak/>
        <w:t>Introduction</w:t>
      </w:r>
    </w:p>
    <w:p w14:paraId="7598310D" w14:textId="6FAB334F" w:rsidR="00E64702" w:rsidRDefault="00E64702" w:rsidP="00202D2F">
      <w:pPr>
        <w:jc w:val="both"/>
      </w:pPr>
      <w:r>
        <w:t>1</w:t>
      </w:r>
      <w:r>
        <w:tab/>
        <w:t xml:space="preserve">À sa session de 2025 (17-27 juin 2025), le Conseil de l'UIT a adopté sa Décision </w:t>
      </w:r>
      <w:hyperlink r:id="rId12" w:history="1">
        <w:r w:rsidRPr="00E64702">
          <w:rPr>
            <w:rStyle w:val="Hyperlink"/>
            <w:rFonts w:eastAsia="Times New Roman" w:cs="Times New Roman"/>
            <w:szCs w:val="20"/>
          </w:rPr>
          <w:t>643</w:t>
        </w:r>
      </w:hyperlink>
      <w:r>
        <w:t xml:space="preserve"> relative aux dates et durées des sessions de 2026, 2027 et 2028 du Conseil, ainsi que des séries de réunions des Groupes de travail du Conseil (GTC) et des Groupes d'experts (GE) pour la même période.</w:t>
      </w:r>
    </w:p>
    <w:p w14:paraId="6A9EB37C" w14:textId="4CF96EC2" w:rsidR="00E64702" w:rsidRDefault="00E64702" w:rsidP="00202D2F">
      <w:pPr>
        <w:jc w:val="both"/>
      </w:pPr>
      <w:r>
        <w:t>2</w:t>
      </w:r>
      <w:r>
        <w:tab/>
        <w:t xml:space="preserve">Depuis la session de 2025 du Conseil, il a été confirmé que la période de perturbation majeure liée au projet de siège de l'Union serait comprise entre le 1er octobre 2028 et le 31 août 2029 (voir les Documents </w:t>
      </w:r>
      <w:hyperlink r:id="rId13" w:history="1">
        <w:r w:rsidRPr="00E64702">
          <w:rPr>
            <w:rStyle w:val="Hyperlink"/>
            <w:rFonts w:eastAsia="Times New Roman" w:cs="Times New Roman"/>
            <w:szCs w:val="20"/>
          </w:rPr>
          <w:t>C26/7</w:t>
        </w:r>
      </w:hyperlink>
      <w:r>
        <w:t xml:space="preserve"> et </w:t>
      </w:r>
      <w:hyperlink r:id="rId14" w:history="1">
        <w:r w:rsidRPr="00E64702">
          <w:rPr>
            <w:rStyle w:val="Hyperlink"/>
            <w:rFonts w:eastAsia="Times New Roman" w:cs="Times New Roman"/>
            <w:szCs w:val="20"/>
          </w:rPr>
          <w:t>C26/65</w:t>
        </w:r>
      </w:hyperlink>
      <w:r>
        <w:t>). D'autres lieux à Genève ont été envisagés pour assurer la poursuite des activités, comme indiqué dans le Document C26/65.</w:t>
      </w:r>
    </w:p>
    <w:p w14:paraId="65588E50" w14:textId="39504037" w:rsidR="00E64702" w:rsidRDefault="00E64702" w:rsidP="00202D2F">
      <w:pPr>
        <w:jc w:val="both"/>
      </w:pPr>
      <w:r>
        <w:t>3</w:t>
      </w:r>
      <w:r>
        <w:tab/>
        <w:t>En outre, compte tenu de la nécessité de rationaliser les coûts, d'optimiser l'utilisation des ressources et d'améliorer l'efficacité, conformément à la Décision 11, et du fait que le calendrier actuel du Conseil et des GTC – et notamment les réunions, groupes et sessions supplémentaires – ont fait peser une pression considérable sur les ressources des États Membres et des Membres de Secteur, il est proposé de tenir une seule série de réunions des GTC par an au cours du prochain cycle. D'autres méthodes de travail sont envisageables pour faire avancer les travaux des groupes si nécessaire, comme la création de groupes spécialisés ou de groupes de travail par correspondance devant s'acquitter d'un mandat clair dans un délai imparti.</w:t>
      </w:r>
    </w:p>
    <w:p w14:paraId="11586CFB" w14:textId="55B753BE" w:rsidR="00E64702" w:rsidRDefault="00E64702" w:rsidP="00202D2F">
      <w:pPr>
        <w:jc w:val="both"/>
      </w:pPr>
      <w:r>
        <w:t>4</w:t>
      </w:r>
      <w:r>
        <w:tab/>
        <w:t>Dans ce contexte, les dates des sessions annuelles du Conseil et des séries de réunions des GTC sont soumises au Conseil pour examen:</w:t>
      </w:r>
    </w:p>
    <w:p w14:paraId="08598B77" w14:textId="67DC36F2" w:rsidR="00E64702" w:rsidRDefault="00E64702" w:rsidP="00202D2F">
      <w:pPr>
        <w:pStyle w:val="enumlev1"/>
        <w:jc w:val="both"/>
      </w:pPr>
      <w:r>
        <w:t>–</w:t>
      </w:r>
      <w:r>
        <w:tab/>
        <w:t xml:space="preserve">Pour 2027, la Conférence de plénipotentiaires de 2026 ne se terminera qu'à la fin novembre 2026. Compte tenu du court délai dont disposeront les États Membres pour élaborer leurs contributions et le Secrétariat pour préparer ses documents, il est proposé de supprimer la série de réunions qui devait se tenir du 18 au 29 janvier 2027. Conformément à la Décision 643, la session du Conseil se tiendra à Genève, pour une période de neuf jours ouvrables, </w:t>
      </w:r>
      <w:r w:rsidRPr="00E64702">
        <w:rPr>
          <w:b/>
          <w:bCs/>
        </w:rPr>
        <w:t>du mardi 8 juin au vendredi 18 juin 2027</w:t>
      </w:r>
      <w:r>
        <w:t xml:space="preserve">. Il est proposé de tenir une seule série de réunions des GTC et des GE </w:t>
      </w:r>
      <w:r w:rsidRPr="00E64702">
        <w:rPr>
          <w:b/>
          <w:bCs/>
        </w:rPr>
        <w:t>du lundi 29 novembre au vendredi 10 décembre 2027</w:t>
      </w:r>
      <w:r>
        <w:t>.</w:t>
      </w:r>
    </w:p>
    <w:p w14:paraId="6E480322" w14:textId="3C2E16A7" w:rsidR="00E64702" w:rsidRDefault="00E64702" w:rsidP="00202D2F">
      <w:pPr>
        <w:pStyle w:val="enumlev1"/>
        <w:jc w:val="both"/>
      </w:pPr>
      <w:r>
        <w:t>–</w:t>
      </w:r>
      <w:r>
        <w:tab/>
        <w:t xml:space="preserve">Pour 2028, compte tenu de la période de construction du siège de l'UIT, il est proposé que le Conseil se tienne à l'UIT pendant une période de neuf jours ouvrables, </w:t>
      </w:r>
      <w:r w:rsidRPr="00E64702">
        <w:rPr>
          <w:b/>
          <w:bCs/>
        </w:rPr>
        <w:t>du mardi 13 juin au vendredi 23 juin 2028</w:t>
      </w:r>
      <w:r>
        <w:t xml:space="preserve">, et qu'une seule série de réunions des GTC et des GE se déroule également à l'UIT </w:t>
      </w:r>
      <w:r w:rsidRPr="00E64702">
        <w:rPr>
          <w:b/>
          <w:bCs/>
        </w:rPr>
        <w:t>du lundi 11 septembre au vendredi 22 septembre 2028</w:t>
      </w:r>
      <w:r>
        <w:t>.</w:t>
      </w:r>
    </w:p>
    <w:p w14:paraId="5BAD2450" w14:textId="1177B159" w:rsidR="00E64702" w:rsidRDefault="00E64702" w:rsidP="00202D2F">
      <w:pPr>
        <w:pStyle w:val="enumlev1"/>
        <w:jc w:val="both"/>
      </w:pPr>
      <w:r>
        <w:t>–</w:t>
      </w:r>
      <w:r>
        <w:tab/>
        <w:t xml:space="preserve">Pour 2029, il est proposé qu'une seule série de réunions des GTC et des GE se tienne </w:t>
      </w:r>
      <w:r w:rsidRPr="00E64702">
        <w:rPr>
          <w:b/>
          <w:bCs/>
        </w:rPr>
        <w:t>du lundi 19 février au vendredi 2 mars 2029</w:t>
      </w:r>
      <w:r>
        <w:t>. Si, en raison de la construction du bâtiment du siège de l'UIT, les réunions devaient avoir lieu au Centre international de conférences de Genève (CICG), le coût approximatif de leur tenue s'élèverait à 48 000 CHF.</w:t>
      </w:r>
    </w:p>
    <w:p w14:paraId="1C56FFBC" w14:textId="5BD3F11F" w:rsidR="00E64702" w:rsidRDefault="00E64702" w:rsidP="00202D2F">
      <w:pPr>
        <w:pStyle w:val="enumlev1"/>
        <w:jc w:val="both"/>
      </w:pPr>
      <w:r>
        <w:t>–</w:t>
      </w:r>
      <w:r>
        <w:tab/>
        <w:t xml:space="preserve">S'agissant de la session annuelle du Conseil de 2029, la réunion devrait se tenir </w:t>
      </w:r>
      <w:r w:rsidRPr="00E64702">
        <w:rPr>
          <w:b/>
          <w:bCs/>
        </w:rPr>
        <w:t>du</w:t>
      </w:r>
      <w:r>
        <w:rPr>
          <w:b/>
          <w:bCs/>
        </w:rPr>
        <w:t> </w:t>
      </w:r>
      <w:r w:rsidRPr="00E64702">
        <w:rPr>
          <w:b/>
          <w:bCs/>
        </w:rPr>
        <w:t>mardi 19 juin au vendredi 29 juin 2029</w:t>
      </w:r>
      <w:r>
        <w:t xml:space="preserve"> dans la Salle Popov. Si cette salle ne peut pas être utilisée pendant cette période (sous réserve du résultat des tests acoustiques), des salles ont été provisoirement réservées à l'Organisation mondiale de la santé (OMS). Toutefois, il serait préférable et plus économique que cette session se déroule au siège de l'UIT, </w:t>
      </w:r>
      <w:r w:rsidRPr="00E64702">
        <w:rPr>
          <w:b/>
          <w:bCs/>
        </w:rPr>
        <w:t>du mardi 25 septembre au vendredi 5 octobre 2029</w:t>
      </w:r>
      <w:r>
        <w:t>, une fois que les fortes nuisances liées aux travaux de démolition auront cessé.</w:t>
      </w:r>
    </w:p>
    <w:p w14:paraId="509D8DA3" w14:textId="751483FA" w:rsidR="00E64702" w:rsidRDefault="00E64702" w:rsidP="00202D2F">
      <w:pPr>
        <w:keepNext/>
        <w:keepLines/>
        <w:jc w:val="both"/>
      </w:pPr>
      <w:r>
        <w:lastRenderedPageBreak/>
        <w:t>5</w:t>
      </w:r>
      <w:r>
        <w:tab/>
        <w:t xml:space="preserve">Le Conseil est invité à </w:t>
      </w:r>
      <w:r w:rsidRPr="00E64702">
        <w:rPr>
          <w:b/>
          <w:bCs/>
        </w:rPr>
        <w:t>examiner</w:t>
      </w:r>
      <w:r>
        <w:t xml:space="preserve"> la proposition de calendrier et à </w:t>
      </w:r>
      <w:r w:rsidRPr="00E64702">
        <w:rPr>
          <w:b/>
          <w:bCs/>
        </w:rPr>
        <w:t>donner son accord</w:t>
      </w:r>
      <w:r>
        <w:t xml:space="preserve"> de principe à la tenue d'une seule série de réunions des GTC en 2027, 2028 et 2029.</w:t>
      </w:r>
    </w:p>
    <w:p w14:paraId="5354EB50" w14:textId="2F17F380" w:rsidR="00E64702" w:rsidRDefault="00E64702" w:rsidP="00202D2F">
      <w:pPr>
        <w:jc w:val="both"/>
      </w:pPr>
      <w:r>
        <w:t>6</w:t>
      </w:r>
      <w:r>
        <w:tab/>
        <w:t>Compte tenu des observations formulées lors de la présente session du Conseil et d'un nouveau point de la situation concernant la poursuite des activités au siège de l'Union, qui sera présenté lors de la dernière réunion de la session de 2026 du Conseil en novembre, un projet de nouvelle Décision sera soumis au Conseil à cette réunion pour approbation.</w:t>
      </w:r>
    </w:p>
    <w:p w14:paraId="33C01D1C" w14:textId="77777777" w:rsidR="00202D2F" w:rsidRDefault="00202D2F" w:rsidP="00202D2F">
      <w:pPr>
        <w:jc w:val="both"/>
      </w:pPr>
    </w:p>
    <w:p w14:paraId="3CC9E87A" w14:textId="4D1C577B" w:rsidR="00897553" w:rsidRPr="0001153D" w:rsidRDefault="006A11AE" w:rsidP="002D2336">
      <w:pPr>
        <w:jc w:val="center"/>
      </w:pPr>
      <w:r w:rsidRPr="0001153D">
        <w:t>______________</w:t>
      </w:r>
    </w:p>
    <w:sectPr w:rsidR="00897553" w:rsidRPr="0001153D" w:rsidSect="00202D2F">
      <w:headerReference w:type="even" r:id="rId15"/>
      <w:footerReference w:type="even" r:id="rId16"/>
      <w:footerReference w:type="default" r:id="rId17"/>
      <w:headerReference w:type="first" r:id="rId18"/>
      <w:footerReference w:type="first" r:id="rId19"/>
      <w:pgSz w:w="11907" w:h="16840" w:code="9"/>
      <w:pgMar w:top="1134" w:right="1418" w:bottom="1134" w:left="1418"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FCF4F" w14:textId="77777777" w:rsidR="0052480D" w:rsidRDefault="0052480D">
      <w:r>
        <w:separator/>
      </w:r>
    </w:p>
  </w:endnote>
  <w:endnote w:type="continuationSeparator" w:id="0">
    <w:p w14:paraId="65D8ED61" w14:textId="77777777" w:rsidR="0052480D" w:rsidRDefault="0052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D76D" w14:textId="6E1A581D" w:rsidR="00732045" w:rsidRPr="00A0207D" w:rsidRDefault="00271321">
    <w:pPr>
      <w:pStyle w:val="Footer"/>
      <w:rPr>
        <w:lang w:val="it-IT"/>
      </w:rPr>
    </w:pPr>
    <w:r>
      <w:fldChar w:fldCharType="begin"/>
    </w:r>
    <w:r w:rsidRPr="00A0207D">
      <w:rPr>
        <w:lang w:val="it-IT"/>
      </w:rPr>
      <w:instrText xml:space="preserve"> FILENAME \p \* MERGEFORMAT </w:instrText>
    </w:r>
    <w:r>
      <w:fldChar w:fldCharType="separate"/>
    </w:r>
    <w:r w:rsidR="00F7685F">
      <w:rPr>
        <w:lang w:val="it-IT"/>
      </w:rPr>
      <w:t>https://ituint-my.sharepoint.com/personal/mathilde_froehly_itu_int/Documents/Desktop/2600732F.docx</w:t>
    </w:r>
    <w:r>
      <w:fldChar w:fldCharType="end"/>
    </w:r>
    <w:r w:rsidR="00732045" w:rsidRPr="00A0207D">
      <w:rPr>
        <w:lang w:val="it-IT"/>
      </w:rPr>
      <w:tab/>
    </w:r>
    <w:r w:rsidR="002F1B76">
      <w:fldChar w:fldCharType="begin"/>
    </w:r>
    <w:r w:rsidR="00732045">
      <w:instrText xml:space="preserve"> savedate \@ dd.MM.yy </w:instrText>
    </w:r>
    <w:r w:rsidR="002F1B76">
      <w:fldChar w:fldCharType="separate"/>
    </w:r>
    <w:r w:rsidR="00CD168A">
      <w:t>09.04.26</w:t>
    </w:r>
    <w:r w:rsidR="002F1B76">
      <w:fldChar w:fldCharType="end"/>
    </w:r>
    <w:r w:rsidR="00732045" w:rsidRPr="00A0207D">
      <w:rPr>
        <w:lang w:val="it-IT"/>
      </w:rPr>
      <w:tab/>
    </w:r>
    <w:r w:rsidR="002F1B76">
      <w:fldChar w:fldCharType="begin"/>
    </w:r>
    <w:r w:rsidR="00732045">
      <w:instrText xml:space="preserve"> printdate \@ dd.MM.yy </w:instrText>
    </w:r>
    <w:r w:rsidR="002F1B76">
      <w:fldChar w:fldCharType="separate"/>
    </w:r>
    <w:r w:rsidR="00F7685F">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0861253B" w14:textId="77777777" w:rsidTr="00E31DCE">
      <w:trPr>
        <w:jc w:val="center"/>
      </w:trPr>
      <w:tc>
        <w:tcPr>
          <w:tcW w:w="1803" w:type="dxa"/>
          <w:vAlign w:val="center"/>
        </w:tcPr>
        <w:p w14:paraId="0843ED4E" w14:textId="250D2285" w:rsidR="00A51849" w:rsidRDefault="001A686C" w:rsidP="00A51849">
          <w:pPr>
            <w:pStyle w:val="Header"/>
            <w:jc w:val="left"/>
            <w:rPr>
              <w:noProof/>
            </w:rPr>
          </w:pPr>
          <w:r>
            <w:rPr>
              <w:noProof/>
            </w:rPr>
            <w:t>2600</w:t>
          </w:r>
          <w:r w:rsidR="00896E2C">
            <w:rPr>
              <w:noProof/>
            </w:rPr>
            <w:t>7</w:t>
          </w:r>
          <w:r w:rsidR="00E64702">
            <w:rPr>
              <w:noProof/>
            </w:rPr>
            <w:t>2</w:t>
          </w:r>
          <w:r w:rsidR="00896E2C">
            <w:rPr>
              <w:noProof/>
            </w:rPr>
            <w:t>2</w:t>
          </w:r>
        </w:p>
      </w:tc>
      <w:tc>
        <w:tcPr>
          <w:tcW w:w="8261" w:type="dxa"/>
        </w:tcPr>
        <w:p w14:paraId="30F37F23" w14:textId="08752B09"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E64702">
            <w:rPr>
              <w:bCs/>
            </w:rPr>
            <w:t>2</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11DDEECD"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00B96F9" w14:textId="77777777" w:rsidTr="00E31DCE">
      <w:trPr>
        <w:jc w:val="center"/>
      </w:trPr>
      <w:tc>
        <w:tcPr>
          <w:tcW w:w="1803" w:type="dxa"/>
          <w:vAlign w:val="center"/>
        </w:tcPr>
        <w:p w14:paraId="48967D59"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50538B15" w14:textId="4A9170BF"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E64702">
            <w:rPr>
              <w:bCs/>
            </w:rPr>
            <w:t>2</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47AB88FA"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9D5DA" w14:textId="77777777" w:rsidR="0052480D" w:rsidRDefault="0052480D">
      <w:r>
        <w:t>____________________</w:t>
      </w:r>
    </w:p>
  </w:footnote>
  <w:footnote w:type="continuationSeparator" w:id="0">
    <w:p w14:paraId="39D23026" w14:textId="77777777" w:rsidR="0052480D" w:rsidRDefault="00524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2FB8"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5C515F2A"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EF8F3"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86C"/>
    <w:rsid w:val="0001153D"/>
    <w:rsid w:val="00052D97"/>
    <w:rsid w:val="00076A2C"/>
    <w:rsid w:val="000D0D0A"/>
    <w:rsid w:val="000F6D66"/>
    <w:rsid w:val="00100267"/>
    <w:rsid w:val="00103163"/>
    <w:rsid w:val="00106B19"/>
    <w:rsid w:val="001133EF"/>
    <w:rsid w:val="00115D93"/>
    <w:rsid w:val="001247A8"/>
    <w:rsid w:val="001274CB"/>
    <w:rsid w:val="001342E0"/>
    <w:rsid w:val="001370B2"/>
    <w:rsid w:val="001378C0"/>
    <w:rsid w:val="001658F9"/>
    <w:rsid w:val="0018694A"/>
    <w:rsid w:val="0019129B"/>
    <w:rsid w:val="001A3287"/>
    <w:rsid w:val="001A6508"/>
    <w:rsid w:val="001A686C"/>
    <w:rsid w:val="001D4C31"/>
    <w:rsid w:val="001D5D9F"/>
    <w:rsid w:val="001E4D21"/>
    <w:rsid w:val="001F5411"/>
    <w:rsid w:val="00201127"/>
    <w:rsid w:val="00202D2F"/>
    <w:rsid w:val="00207CD1"/>
    <w:rsid w:val="00226657"/>
    <w:rsid w:val="00230C7C"/>
    <w:rsid w:val="002477A2"/>
    <w:rsid w:val="00263A51"/>
    <w:rsid w:val="00263B29"/>
    <w:rsid w:val="00267E02"/>
    <w:rsid w:val="0027108C"/>
    <w:rsid w:val="00271321"/>
    <w:rsid w:val="00277DEA"/>
    <w:rsid w:val="002A5D44"/>
    <w:rsid w:val="002C3F32"/>
    <w:rsid w:val="002C4E3D"/>
    <w:rsid w:val="002D2336"/>
    <w:rsid w:val="002E0BC4"/>
    <w:rsid w:val="002F1B76"/>
    <w:rsid w:val="00320242"/>
    <w:rsid w:val="0033568E"/>
    <w:rsid w:val="00355FF5"/>
    <w:rsid w:val="00361350"/>
    <w:rsid w:val="003C3FAE"/>
    <w:rsid w:val="003D76DA"/>
    <w:rsid w:val="004038CB"/>
    <w:rsid w:val="0040546F"/>
    <w:rsid w:val="004177BD"/>
    <w:rsid w:val="0042404A"/>
    <w:rsid w:val="0044618F"/>
    <w:rsid w:val="00465C35"/>
    <w:rsid w:val="0046764D"/>
    <w:rsid w:val="0046769A"/>
    <w:rsid w:val="00475FB3"/>
    <w:rsid w:val="004C37A9"/>
    <w:rsid w:val="004D1D50"/>
    <w:rsid w:val="004F259E"/>
    <w:rsid w:val="004F633A"/>
    <w:rsid w:val="00503084"/>
    <w:rsid w:val="00504C7F"/>
    <w:rsid w:val="00511F1D"/>
    <w:rsid w:val="00513033"/>
    <w:rsid w:val="00520F36"/>
    <w:rsid w:val="0052480D"/>
    <w:rsid w:val="00524E8D"/>
    <w:rsid w:val="00534E13"/>
    <w:rsid w:val="00540615"/>
    <w:rsid w:val="00540A6D"/>
    <w:rsid w:val="00553536"/>
    <w:rsid w:val="00566679"/>
    <w:rsid w:val="00571EEA"/>
    <w:rsid w:val="00575417"/>
    <w:rsid w:val="005768E1"/>
    <w:rsid w:val="005B1938"/>
    <w:rsid w:val="005C3890"/>
    <w:rsid w:val="005C4631"/>
    <w:rsid w:val="005F6926"/>
    <w:rsid w:val="005F7BFE"/>
    <w:rsid w:val="00600017"/>
    <w:rsid w:val="00602682"/>
    <w:rsid w:val="006235CA"/>
    <w:rsid w:val="0062366E"/>
    <w:rsid w:val="00627ADE"/>
    <w:rsid w:val="006643AB"/>
    <w:rsid w:val="006A11AE"/>
    <w:rsid w:val="006B224B"/>
    <w:rsid w:val="006F0A53"/>
    <w:rsid w:val="0071402E"/>
    <w:rsid w:val="007210CD"/>
    <w:rsid w:val="00732045"/>
    <w:rsid w:val="0073275D"/>
    <w:rsid w:val="007369DB"/>
    <w:rsid w:val="0077110E"/>
    <w:rsid w:val="007956C2"/>
    <w:rsid w:val="00796BDB"/>
    <w:rsid w:val="007A187E"/>
    <w:rsid w:val="007C72C2"/>
    <w:rsid w:val="007D4436"/>
    <w:rsid w:val="007F257A"/>
    <w:rsid w:val="007F3665"/>
    <w:rsid w:val="00800037"/>
    <w:rsid w:val="0082299A"/>
    <w:rsid w:val="0083391C"/>
    <w:rsid w:val="0084546D"/>
    <w:rsid w:val="00861D73"/>
    <w:rsid w:val="00882919"/>
    <w:rsid w:val="00896E2C"/>
    <w:rsid w:val="00897553"/>
    <w:rsid w:val="008A4E87"/>
    <w:rsid w:val="008D76E6"/>
    <w:rsid w:val="00917E24"/>
    <w:rsid w:val="00921C79"/>
    <w:rsid w:val="0092392D"/>
    <w:rsid w:val="0093234A"/>
    <w:rsid w:val="00933B22"/>
    <w:rsid w:val="00956A78"/>
    <w:rsid w:val="0097363B"/>
    <w:rsid w:val="00973F53"/>
    <w:rsid w:val="00975C8B"/>
    <w:rsid w:val="0098348E"/>
    <w:rsid w:val="009A6BAA"/>
    <w:rsid w:val="009A76A8"/>
    <w:rsid w:val="009C307F"/>
    <w:rsid w:val="009C353C"/>
    <w:rsid w:val="009D5955"/>
    <w:rsid w:val="009E48C1"/>
    <w:rsid w:val="009F0FB8"/>
    <w:rsid w:val="00A01F4F"/>
    <w:rsid w:val="00A0207D"/>
    <w:rsid w:val="00A109AF"/>
    <w:rsid w:val="00A125FB"/>
    <w:rsid w:val="00A2113E"/>
    <w:rsid w:val="00A23A51"/>
    <w:rsid w:val="00A24607"/>
    <w:rsid w:val="00A25CD3"/>
    <w:rsid w:val="00A51849"/>
    <w:rsid w:val="00A709FE"/>
    <w:rsid w:val="00A73C60"/>
    <w:rsid w:val="00A82767"/>
    <w:rsid w:val="00AA332F"/>
    <w:rsid w:val="00AA7BBB"/>
    <w:rsid w:val="00AB2306"/>
    <w:rsid w:val="00AB578E"/>
    <w:rsid w:val="00AB64A8"/>
    <w:rsid w:val="00AC0266"/>
    <w:rsid w:val="00AC0F1D"/>
    <w:rsid w:val="00AD24EC"/>
    <w:rsid w:val="00B27B00"/>
    <w:rsid w:val="00B309F9"/>
    <w:rsid w:val="00B32B60"/>
    <w:rsid w:val="00B51005"/>
    <w:rsid w:val="00B61619"/>
    <w:rsid w:val="00B95160"/>
    <w:rsid w:val="00BB38C1"/>
    <w:rsid w:val="00BB4545"/>
    <w:rsid w:val="00BC2B80"/>
    <w:rsid w:val="00BD5873"/>
    <w:rsid w:val="00BF4B60"/>
    <w:rsid w:val="00C049D7"/>
    <w:rsid w:val="00C04BE3"/>
    <w:rsid w:val="00C25D29"/>
    <w:rsid w:val="00C2625E"/>
    <w:rsid w:val="00C27A7C"/>
    <w:rsid w:val="00C42437"/>
    <w:rsid w:val="00CA08ED"/>
    <w:rsid w:val="00CB4E9F"/>
    <w:rsid w:val="00CC6EAA"/>
    <w:rsid w:val="00CD168A"/>
    <w:rsid w:val="00CE01A7"/>
    <w:rsid w:val="00CE5172"/>
    <w:rsid w:val="00CF0534"/>
    <w:rsid w:val="00CF183B"/>
    <w:rsid w:val="00D375CD"/>
    <w:rsid w:val="00D37B53"/>
    <w:rsid w:val="00D553A2"/>
    <w:rsid w:val="00D72F49"/>
    <w:rsid w:val="00D774D3"/>
    <w:rsid w:val="00D904E8"/>
    <w:rsid w:val="00DA08C3"/>
    <w:rsid w:val="00DB5A3E"/>
    <w:rsid w:val="00DB68EE"/>
    <w:rsid w:val="00DC22AA"/>
    <w:rsid w:val="00DD1A99"/>
    <w:rsid w:val="00DE62C6"/>
    <w:rsid w:val="00DF74DD"/>
    <w:rsid w:val="00E25AD0"/>
    <w:rsid w:val="00E4428F"/>
    <w:rsid w:val="00E4448E"/>
    <w:rsid w:val="00E47427"/>
    <w:rsid w:val="00E64702"/>
    <w:rsid w:val="00E93668"/>
    <w:rsid w:val="00E95647"/>
    <w:rsid w:val="00EB6350"/>
    <w:rsid w:val="00ED799B"/>
    <w:rsid w:val="00F14E20"/>
    <w:rsid w:val="00F15B57"/>
    <w:rsid w:val="00F35EF4"/>
    <w:rsid w:val="00F37FE5"/>
    <w:rsid w:val="00F427DB"/>
    <w:rsid w:val="00F7685F"/>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E771B"/>
  <w15:docId w15:val="{6F9D6E37-10E3-454B-8F5B-2FCC3FF8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character" w:styleId="CommentReference">
    <w:name w:val="annotation reference"/>
    <w:basedOn w:val="DefaultParagraphFont"/>
    <w:semiHidden/>
    <w:unhideWhenUsed/>
    <w:rsid w:val="00896E2C"/>
    <w:rPr>
      <w:sz w:val="16"/>
      <w:szCs w:val="16"/>
    </w:rPr>
  </w:style>
  <w:style w:type="paragraph" w:styleId="CommentText">
    <w:name w:val="annotation text"/>
    <w:basedOn w:val="Normal"/>
    <w:link w:val="CommentTextChar"/>
    <w:semiHidden/>
    <w:unhideWhenUsed/>
    <w:rsid w:val="00896E2C"/>
    <w:rPr>
      <w:sz w:val="20"/>
    </w:rPr>
  </w:style>
  <w:style w:type="character" w:customStyle="1" w:styleId="CommentTextChar">
    <w:name w:val="Comment Text Char"/>
    <w:basedOn w:val="DefaultParagraphFont"/>
    <w:link w:val="CommentText"/>
    <w:semiHidden/>
    <w:rsid w:val="00896E2C"/>
    <w:rPr>
      <w:rFonts w:ascii="Calibri" w:hAnsi="Calibri"/>
      <w:lang w:val="fr-FR" w:eastAsia="en-US"/>
    </w:rPr>
  </w:style>
  <w:style w:type="paragraph" w:styleId="CommentSubject">
    <w:name w:val="annotation subject"/>
    <w:basedOn w:val="CommentText"/>
    <w:next w:val="CommentText"/>
    <w:link w:val="CommentSubjectChar"/>
    <w:semiHidden/>
    <w:unhideWhenUsed/>
    <w:rsid w:val="00896E2C"/>
    <w:rPr>
      <w:b/>
      <w:bCs/>
    </w:rPr>
  </w:style>
  <w:style w:type="character" w:customStyle="1" w:styleId="CommentSubjectChar">
    <w:name w:val="Comment Subject Char"/>
    <w:basedOn w:val="CommentTextChar"/>
    <w:link w:val="CommentSubject"/>
    <w:semiHidden/>
    <w:rsid w:val="00896E2C"/>
    <w:rPr>
      <w:rFonts w:ascii="Calibri" w:hAnsi="Calibri"/>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136109">
      <w:bodyDiv w:val="1"/>
      <w:marLeft w:val="0"/>
      <w:marRight w:val="0"/>
      <w:marTop w:val="0"/>
      <w:marBottom w:val="0"/>
      <w:divBdr>
        <w:top w:val="none" w:sz="0" w:space="0" w:color="auto"/>
        <w:left w:val="none" w:sz="0" w:space="0" w:color="auto"/>
        <w:bottom w:val="none" w:sz="0" w:space="0" w:color="auto"/>
        <w:right w:val="none" w:sz="0" w:space="0" w:color="auto"/>
      </w:divBdr>
    </w:div>
    <w:div w:id="883251931">
      <w:bodyDiv w:val="1"/>
      <w:marLeft w:val="0"/>
      <w:marRight w:val="0"/>
      <w:marTop w:val="0"/>
      <w:marBottom w:val="0"/>
      <w:divBdr>
        <w:top w:val="none" w:sz="0" w:space="0" w:color="auto"/>
        <w:left w:val="none" w:sz="0" w:space="0" w:color="auto"/>
        <w:bottom w:val="none" w:sz="0" w:space="0" w:color="auto"/>
        <w:right w:val="none" w:sz="0" w:space="0" w:color="auto"/>
      </w:divBdr>
    </w:div>
    <w:div w:id="189570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Council-RoP/rop-f.pdf" TargetMode="External"/><Relationship Id="rId13" Type="http://schemas.openxmlformats.org/officeDocument/2006/relationships/hyperlink" Target="https://www.itu.int/md/S26-CL-C-0007/f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md/S25-CL-C-0122/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L-C-0122/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en/council/Documents/basic-texts/RES-111-F.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itu.int/en/council/Documents/basic-texts/RES-077-F.pdf" TargetMode="External"/><Relationship Id="rId14" Type="http://schemas.openxmlformats.org/officeDocument/2006/relationships/hyperlink" Target="https://www.itu.int/md/S26-CL-C-0065/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2A50A-6578-4567-B521-99ACACF86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PF_Council26.dotx</Template>
  <TotalTime>8</TotalTime>
  <Pages>3</Pages>
  <Words>1015</Words>
  <Characters>5424</Characters>
  <Application>Microsoft Office Word</Application>
  <DocSecurity>0</DocSecurity>
  <Lines>102</Lines>
  <Paragraphs>39</Paragraphs>
  <ScaleCrop>false</ScaleCrop>
  <HeadingPairs>
    <vt:vector size="2" baseType="variant">
      <vt:variant>
        <vt:lpstr>Title</vt:lpstr>
      </vt:variant>
      <vt:variant>
        <vt:i4>1</vt:i4>
      </vt:variant>
    </vt:vector>
  </HeadingPairs>
  <TitlesOfParts>
    <vt:vector size="1" baseType="lpstr">
      <vt:lpstr>Proposition de calendrier pour les sessions de 2027, 2028 et 2029 du Conseil et les séries de réunions des Groupes de travail du Conseil et des Groupes d'experts pour la même période</vt:lpstr>
    </vt:vector>
  </TitlesOfParts>
  <Manager>Secrétariat général - Pool</Manager>
  <Company>Union internationale des télécommunications (UIT)</Company>
  <LinksUpToDate>false</LinksUpToDate>
  <CharactersWithSpaces>6400</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de calendrier pour les sessions de 2027, 2028 et 2029 du Conseil et les séries de réunions des Groupes de travail du Conseil et des Groupes d'experts pour la même période</dc:title>
  <dc:subject>Conseil 2026 de l'UIT</dc:subject>
  <cp:keywords>C26; C2026; Council 2026; PP26</cp:keywords>
  <dc:description/>
  <cp:lastPrinted>2000-07-18T08:55:00Z</cp:lastPrinted>
  <dcterms:created xsi:type="dcterms:W3CDTF">2026-04-28T15:15:00Z</dcterms:created>
  <dcterms:modified xsi:type="dcterms:W3CDTF">2026-04-28T15:23:00Z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