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D72F49" w:rsidRPr="006F2803" w14:paraId="63428E36" w14:textId="77777777" w:rsidTr="00796BDB">
        <w:trPr>
          <w:cantSplit/>
          <w:trHeight w:val="23"/>
        </w:trPr>
        <w:tc>
          <w:tcPr>
            <w:tcW w:w="3969" w:type="dxa"/>
            <w:vMerge w:val="restart"/>
            <w:tcMar>
              <w:left w:w="0" w:type="dxa"/>
            </w:tcMar>
          </w:tcPr>
          <w:p w14:paraId="4F10E3CE" w14:textId="6480749E" w:rsidR="00D72F49" w:rsidRPr="006F2803" w:rsidRDefault="00D72F49" w:rsidP="00796BDB">
            <w:pPr>
              <w:tabs>
                <w:tab w:val="left" w:pos="851"/>
              </w:tabs>
              <w:spacing w:before="0" w:line="240" w:lineRule="atLeast"/>
              <w:rPr>
                <w:b/>
              </w:rPr>
            </w:pPr>
          </w:p>
        </w:tc>
        <w:tc>
          <w:tcPr>
            <w:tcW w:w="5245" w:type="dxa"/>
          </w:tcPr>
          <w:p w14:paraId="56004421" w14:textId="5ADB761E" w:rsidR="00D72F49" w:rsidRPr="006F2803" w:rsidRDefault="00D72F49" w:rsidP="00796BDB">
            <w:pPr>
              <w:tabs>
                <w:tab w:val="left" w:pos="851"/>
              </w:tabs>
              <w:spacing w:before="0" w:line="240" w:lineRule="atLeast"/>
              <w:jc w:val="right"/>
              <w:rPr>
                <w:b/>
              </w:rPr>
            </w:pPr>
            <w:r w:rsidRPr="006F2803">
              <w:rPr>
                <w:b/>
              </w:rPr>
              <w:t>Document C2</w:t>
            </w:r>
            <w:r w:rsidR="00E4448E" w:rsidRPr="006F2803">
              <w:rPr>
                <w:b/>
              </w:rPr>
              <w:t>6</w:t>
            </w:r>
            <w:r w:rsidRPr="006F2803">
              <w:rPr>
                <w:b/>
              </w:rPr>
              <w:t>/</w:t>
            </w:r>
            <w:r w:rsidR="009206F7" w:rsidRPr="006F2803">
              <w:rPr>
                <w:b/>
              </w:rPr>
              <w:t>1</w:t>
            </w:r>
            <w:r w:rsidRPr="006F2803">
              <w:rPr>
                <w:b/>
              </w:rPr>
              <w:t>-F</w:t>
            </w:r>
          </w:p>
        </w:tc>
      </w:tr>
      <w:tr w:rsidR="00D72F49" w:rsidRPr="006F2803" w14:paraId="7F4F81AB" w14:textId="77777777" w:rsidTr="00796BDB">
        <w:trPr>
          <w:cantSplit/>
        </w:trPr>
        <w:tc>
          <w:tcPr>
            <w:tcW w:w="3969" w:type="dxa"/>
            <w:vMerge/>
          </w:tcPr>
          <w:p w14:paraId="0B56A0DC" w14:textId="77777777" w:rsidR="00D72F49" w:rsidRPr="006F2803" w:rsidRDefault="00D72F49" w:rsidP="00796BDB">
            <w:pPr>
              <w:tabs>
                <w:tab w:val="left" w:pos="851"/>
              </w:tabs>
              <w:spacing w:line="240" w:lineRule="atLeast"/>
              <w:rPr>
                <w:b/>
              </w:rPr>
            </w:pPr>
          </w:p>
        </w:tc>
        <w:tc>
          <w:tcPr>
            <w:tcW w:w="5245" w:type="dxa"/>
          </w:tcPr>
          <w:p w14:paraId="1565D956" w14:textId="20F4F9DE" w:rsidR="00D72F49" w:rsidRPr="006F2803" w:rsidRDefault="009206F7" w:rsidP="00796BDB">
            <w:pPr>
              <w:tabs>
                <w:tab w:val="left" w:pos="851"/>
              </w:tabs>
              <w:spacing w:before="0"/>
              <w:jc w:val="right"/>
              <w:rPr>
                <w:b/>
              </w:rPr>
            </w:pPr>
            <w:r w:rsidRPr="006F2803">
              <w:rPr>
                <w:b/>
              </w:rPr>
              <w:t>2 avril 2026</w:t>
            </w:r>
          </w:p>
        </w:tc>
      </w:tr>
      <w:tr w:rsidR="00D72F49" w:rsidRPr="006F2803" w14:paraId="0DE4C17A" w14:textId="77777777" w:rsidTr="00796BDB">
        <w:trPr>
          <w:cantSplit/>
          <w:trHeight w:val="23"/>
        </w:trPr>
        <w:tc>
          <w:tcPr>
            <w:tcW w:w="3969" w:type="dxa"/>
            <w:vMerge/>
          </w:tcPr>
          <w:p w14:paraId="282E7DA0" w14:textId="77777777" w:rsidR="00D72F49" w:rsidRPr="006F2803" w:rsidRDefault="00D72F49" w:rsidP="00796BDB">
            <w:pPr>
              <w:tabs>
                <w:tab w:val="left" w:pos="851"/>
              </w:tabs>
              <w:spacing w:line="240" w:lineRule="atLeast"/>
              <w:rPr>
                <w:b/>
              </w:rPr>
            </w:pPr>
          </w:p>
        </w:tc>
        <w:tc>
          <w:tcPr>
            <w:tcW w:w="5245" w:type="dxa"/>
          </w:tcPr>
          <w:p w14:paraId="1A962A62" w14:textId="77777777" w:rsidR="00D72F49" w:rsidRPr="006F2803" w:rsidRDefault="00D72F49" w:rsidP="00796BDB">
            <w:pPr>
              <w:tabs>
                <w:tab w:val="left" w:pos="851"/>
              </w:tabs>
              <w:spacing w:before="0" w:line="240" w:lineRule="atLeast"/>
              <w:jc w:val="right"/>
              <w:rPr>
                <w:b/>
              </w:rPr>
            </w:pPr>
            <w:r w:rsidRPr="006F2803">
              <w:rPr>
                <w:b/>
              </w:rPr>
              <w:t>Original: anglais</w:t>
            </w:r>
          </w:p>
        </w:tc>
      </w:tr>
      <w:tr w:rsidR="00D72F49" w:rsidRPr="006F2803" w14:paraId="1E12D1D7" w14:textId="77777777" w:rsidTr="00796BDB">
        <w:trPr>
          <w:cantSplit/>
          <w:trHeight w:val="23"/>
        </w:trPr>
        <w:tc>
          <w:tcPr>
            <w:tcW w:w="3969" w:type="dxa"/>
          </w:tcPr>
          <w:p w14:paraId="1BDF30ED" w14:textId="77777777" w:rsidR="00D72F49" w:rsidRPr="006F2803" w:rsidRDefault="00D72F49" w:rsidP="00796BDB">
            <w:pPr>
              <w:tabs>
                <w:tab w:val="left" w:pos="851"/>
              </w:tabs>
              <w:spacing w:line="240" w:lineRule="atLeast"/>
              <w:rPr>
                <w:b/>
              </w:rPr>
            </w:pPr>
          </w:p>
        </w:tc>
        <w:tc>
          <w:tcPr>
            <w:tcW w:w="5245" w:type="dxa"/>
          </w:tcPr>
          <w:p w14:paraId="5C64B223" w14:textId="77777777" w:rsidR="00D72F49" w:rsidRPr="006F2803" w:rsidRDefault="00D72F49" w:rsidP="00796BDB">
            <w:pPr>
              <w:tabs>
                <w:tab w:val="left" w:pos="851"/>
              </w:tabs>
              <w:spacing w:before="0" w:line="240" w:lineRule="atLeast"/>
              <w:jc w:val="right"/>
              <w:rPr>
                <w:b/>
              </w:rPr>
            </w:pPr>
          </w:p>
        </w:tc>
      </w:tr>
      <w:tr w:rsidR="00D72F49" w:rsidRPr="006F2803" w14:paraId="1A408610" w14:textId="77777777" w:rsidTr="00796BDB">
        <w:trPr>
          <w:cantSplit/>
        </w:trPr>
        <w:tc>
          <w:tcPr>
            <w:tcW w:w="9214" w:type="dxa"/>
            <w:gridSpan w:val="2"/>
            <w:tcMar>
              <w:left w:w="0" w:type="dxa"/>
            </w:tcMar>
          </w:tcPr>
          <w:p w14:paraId="5308F8E0" w14:textId="77777777" w:rsidR="00D72F49" w:rsidRPr="006F2803" w:rsidRDefault="00D72F49" w:rsidP="00796BDB">
            <w:pPr>
              <w:pStyle w:val="Source"/>
              <w:jc w:val="left"/>
              <w:rPr>
                <w:sz w:val="34"/>
                <w:szCs w:val="34"/>
              </w:rPr>
            </w:pPr>
            <w:r w:rsidRPr="006F2803">
              <w:rPr>
                <w:rFonts w:cstheme="minorHAnsi"/>
                <w:color w:val="000000"/>
                <w:sz w:val="34"/>
                <w:szCs w:val="34"/>
              </w:rPr>
              <w:t xml:space="preserve">Rapport </w:t>
            </w:r>
            <w:r w:rsidR="00E95647" w:rsidRPr="006F2803">
              <w:rPr>
                <w:rFonts w:cstheme="minorHAnsi"/>
                <w:color w:val="000000"/>
                <w:sz w:val="34"/>
                <w:szCs w:val="34"/>
              </w:rPr>
              <w:t xml:space="preserve">de la </w:t>
            </w:r>
            <w:r w:rsidRPr="006F2803">
              <w:rPr>
                <w:rFonts w:cstheme="minorHAnsi"/>
                <w:color w:val="000000"/>
                <w:sz w:val="34"/>
                <w:szCs w:val="34"/>
              </w:rPr>
              <w:t>Secrétaire général</w:t>
            </w:r>
            <w:r w:rsidR="00E95647" w:rsidRPr="006F2803">
              <w:rPr>
                <w:rFonts w:cstheme="minorHAnsi"/>
                <w:color w:val="000000"/>
                <w:sz w:val="34"/>
                <w:szCs w:val="34"/>
              </w:rPr>
              <w:t>e</w:t>
            </w:r>
          </w:p>
        </w:tc>
      </w:tr>
      <w:tr w:rsidR="00D72F49" w:rsidRPr="006F2803" w14:paraId="6AD7E5E6" w14:textId="77777777" w:rsidTr="00796BDB">
        <w:trPr>
          <w:cantSplit/>
        </w:trPr>
        <w:tc>
          <w:tcPr>
            <w:tcW w:w="9214" w:type="dxa"/>
            <w:gridSpan w:val="2"/>
            <w:tcMar>
              <w:left w:w="0" w:type="dxa"/>
            </w:tcMar>
          </w:tcPr>
          <w:p w14:paraId="3863E1BD" w14:textId="52CFF2E7" w:rsidR="00D72F49" w:rsidRPr="006F2803" w:rsidRDefault="009206F7" w:rsidP="00796BDB">
            <w:pPr>
              <w:pStyle w:val="Subtitle"/>
              <w:framePr w:hSpace="0" w:wrap="auto" w:hAnchor="text" w:xAlign="left" w:yAlign="inline"/>
              <w:rPr>
                <w:sz w:val="32"/>
                <w:szCs w:val="32"/>
                <w:lang w:val="fr-FR"/>
              </w:rPr>
            </w:pPr>
            <w:r w:rsidRPr="006F2803">
              <w:rPr>
                <w:rFonts w:cstheme="minorHAnsi"/>
                <w:sz w:val="32"/>
                <w:szCs w:val="32"/>
                <w:lang w:val="fr-FR"/>
              </w:rPr>
              <w:t>PROJET D'ORDRE DU JOUR DE LA SESSION DE 2026 DU CONSEIL</w:t>
            </w:r>
          </w:p>
        </w:tc>
      </w:tr>
    </w:tbl>
    <w:p w14:paraId="4A3266F2" w14:textId="77777777" w:rsidR="009206F7" w:rsidRPr="006F2803" w:rsidRDefault="009206F7" w:rsidP="009206F7">
      <w:pPr>
        <w:jc w:val="center"/>
      </w:pPr>
    </w:p>
    <w:tbl>
      <w:tblPr>
        <w:tblW w:w="9631" w:type="dxa"/>
        <w:tblInd w:w="-10" w:type="dxa"/>
        <w:tblBorders>
          <w:top w:val="single" w:sz="8" w:space="0" w:color="000000"/>
          <w:left w:val="single" w:sz="8" w:space="0" w:color="000000"/>
          <w:bottom w:val="single" w:sz="8" w:space="0" w:color="000000"/>
          <w:right w:val="single" w:sz="8" w:space="0" w:color="000000"/>
          <w:insideH w:val="single" w:sz="4" w:space="0" w:color="808080"/>
          <w:insideV w:val="single" w:sz="4" w:space="0" w:color="808080"/>
        </w:tblBorders>
        <w:tblLayout w:type="fixed"/>
        <w:tblLook w:val="0400" w:firstRow="0" w:lastRow="0" w:firstColumn="0" w:lastColumn="0" w:noHBand="0" w:noVBand="1"/>
      </w:tblPr>
      <w:tblGrid>
        <w:gridCol w:w="1418"/>
        <w:gridCol w:w="8213"/>
      </w:tblGrid>
      <w:tr w:rsidR="009206F7" w:rsidRPr="006F2803" w14:paraId="1406D8C9" w14:textId="77777777" w:rsidTr="000046B0">
        <w:trPr>
          <w:tblHeader/>
        </w:trPr>
        <w:tc>
          <w:tcPr>
            <w:tcW w:w="1418" w:type="dxa"/>
            <w:tcBorders>
              <w:top w:val="single" w:sz="8" w:space="0" w:color="000000"/>
              <w:bottom w:val="single" w:sz="4" w:space="0" w:color="808080"/>
              <w:right w:val="single" w:sz="8" w:space="0" w:color="000000"/>
            </w:tcBorders>
            <w:shd w:val="clear" w:color="auto" w:fill="808080"/>
            <w:vAlign w:val="center"/>
          </w:tcPr>
          <w:p w14:paraId="0AA428C2" w14:textId="77777777" w:rsidR="009206F7" w:rsidRPr="006F2803" w:rsidRDefault="009206F7" w:rsidP="009206F7">
            <w:pPr>
              <w:pStyle w:val="Tablehead"/>
              <w:rPr>
                <w:color w:val="FFFFFF" w:themeColor="background1"/>
              </w:rPr>
            </w:pPr>
            <w:r w:rsidRPr="006F2803">
              <w:rPr>
                <w:color w:val="FFFFFF" w:themeColor="background1"/>
              </w:rPr>
              <w:t>Point de l'ordre du jour</w:t>
            </w:r>
          </w:p>
        </w:tc>
        <w:tc>
          <w:tcPr>
            <w:tcW w:w="8213" w:type="dxa"/>
            <w:tcBorders>
              <w:top w:val="single" w:sz="8" w:space="0" w:color="000000"/>
              <w:left w:val="single" w:sz="8" w:space="0" w:color="000000"/>
              <w:bottom w:val="single" w:sz="4" w:space="0" w:color="808080"/>
              <w:right w:val="single" w:sz="8" w:space="0" w:color="auto"/>
            </w:tcBorders>
            <w:shd w:val="clear" w:color="auto" w:fill="808080"/>
            <w:vAlign w:val="center"/>
          </w:tcPr>
          <w:p w14:paraId="56BC61F5" w14:textId="77777777" w:rsidR="009206F7" w:rsidRPr="006F2803" w:rsidRDefault="009206F7" w:rsidP="009206F7">
            <w:pPr>
              <w:pStyle w:val="Tablehead"/>
              <w:rPr>
                <w:color w:val="FFFFFF" w:themeColor="background1"/>
              </w:rPr>
            </w:pPr>
            <w:r w:rsidRPr="006F2803">
              <w:rPr>
                <w:color w:val="FFFFFF" w:themeColor="background1"/>
              </w:rPr>
              <w:t>Titre</w:t>
            </w:r>
          </w:p>
        </w:tc>
      </w:tr>
      <w:tr w:rsidR="009206F7" w:rsidRPr="006F2803" w14:paraId="35ADBE6C" w14:textId="77777777" w:rsidTr="000046B0">
        <w:tc>
          <w:tcPr>
            <w:tcW w:w="1418" w:type="dxa"/>
            <w:tcBorders>
              <w:top w:val="single" w:sz="4" w:space="0" w:color="808080"/>
              <w:bottom w:val="single" w:sz="4" w:space="0" w:color="808080"/>
              <w:right w:val="single" w:sz="4" w:space="0" w:color="auto"/>
            </w:tcBorders>
            <w:shd w:val="clear" w:color="auto" w:fill="D9D9D9"/>
          </w:tcPr>
          <w:p w14:paraId="65B75642" w14:textId="77777777" w:rsidR="009206F7" w:rsidRPr="006F2803" w:rsidRDefault="009206F7" w:rsidP="009206F7">
            <w:pPr>
              <w:pStyle w:val="Tabletext"/>
              <w:jc w:val="center"/>
              <w:rPr>
                <w:b/>
                <w:bCs/>
              </w:rPr>
            </w:pPr>
            <w:r w:rsidRPr="006F2803">
              <w:rPr>
                <w:b/>
                <w:bCs/>
              </w:rPr>
              <w:t>PL 1</w:t>
            </w:r>
          </w:p>
        </w:tc>
        <w:tc>
          <w:tcPr>
            <w:tcW w:w="8213" w:type="dxa"/>
            <w:tcBorders>
              <w:top w:val="single" w:sz="4" w:space="0" w:color="808080"/>
              <w:left w:val="single" w:sz="4" w:space="0" w:color="auto"/>
              <w:bottom w:val="single" w:sz="4" w:space="0" w:color="808080"/>
              <w:right w:val="single" w:sz="8" w:space="0" w:color="auto"/>
            </w:tcBorders>
            <w:shd w:val="clear" w:color="auto" w:fill="D9D9D9"/>
          </w:tcPr>
          <w:p w14:paraId="45750781" w14:textId="77777777" w:rsidR="009206F7" w:rsidRPr="006F2803" w:rsidRDefault="009206F7" w:rsidP="009206F7">
            <w:pPr>
              <w:pStyle w:val="Tabletext"/>
              <w:rPr>
                <w:b/>
                <w:bCs/>
              </w:rPr>
            </w:pPr>
            <w:r w:rsidRPr="006F2803">
              <w:rPr>
                <w:b/>
                <w:bCs/>
              </w:rPr>
              <w:t>Faire en sorte que l'UIT soit en adéquation avec sa mission</w:t>
            </w:r>
          </w:p>
        </w:tc>
      </w:tr>
      <w:tr w:rsidR="009206F7" w:rsidRPr="006F2803" w14:paraId="6ACA38E3" w14:textId="77777777" w:rsidTr="000046B0">
        <w:trPr>
          <w:tblHeader/>
        </w:trPr>
        <w:tc>
          <w:tcPr>
            <w:tcW w:w="1418" w:type="dxa"/>
            <w:tcBorders>
              <w:top w:val="single" w:sz="4" w:space="0" w:color="808080"/>
            </w:tcBorders>
          </w:tcPr>
          <w:p w14:paraId="656F17EA" w14:textId="77777777" w:rsidR="009206F7" w:rsidRPr="006F2803" w:rsidRDefault="009206F7" w:rsidP="009206F7">
            <w:pPr>
              <w:pStyle w:val="Tabletext"/>
              <w:jc w:val="center"/>
            </w:pPr>
          </w:p>
        </w:tc>
        <w:tc>
          <w:tcPr>
            <w:tcW w:w="8213" w:type="dxa"/>
            <w:tcBorders>
              <w:top w:val="single" w:sz="4" w:space="0" w:color="808080"/>
              <w:left w:val="nil"/>
              <w:bottom w:val="single" w:sz="4" w:space="0" w:color="808080"/>
              <w:right w:val="single" w:sz="8" w:space="0" w:color="auto"/>
            </w:tcBorders>
          </w:tcPr>
          <w:p w14:paraId="71F54E50" w14:textId="77777777" w:rsidR="009206F7" w:rsidRPr="006F2803" w:rsidRDefault="009206F7" w:rsidP="009206F7">
            <w:pPr>
              <w:pStyle w:val="Tabletext"/>
            </w:pPr>
            <w:r w:rsidRPr="006F2803">
              <w:t>État de l'Union</w:t>
            </w:r>
          </w:p>
        </w:tc>
      </w:tr>
      <w:tr w:rsidR="009206F7" w:rsidRPr="006F2803" w14:paraId="3394FE64" w14:textId="77777777" w:rsidTr="000046B0">
        <w:trPr>
          <w:trHeight w:val="327"/>
          <w:tblHeader/>
        </w:trPr>
        <w:tc>
          <w:tcPr>
            <w:tcW w:w="1418" w:type="dxa"/>
          </w:tcPr>
          <w:p w14:paraId="6AF556F8" w14:textId="0E87E845" w:rsidR="009206F7" w:rsidRPr="006F2803" w:rsidRDefault="009206F7" w:rsidP="009206F7">
            <w:pPr>
              <w:pStyle w:val="Tabletext"/>
              <w:jc w:val="center"/>
              <w:rPr>
                <w:rStyle w:val="Hyperlink"/>
              </w:rPr>
            </w:pPr>
            <w:hyperlink r:id="rId7" w:history="1">
              <w:r w:rsidRPr="006F2803">
                <w:rPr>
                  <w:rStyle w:val="Hyperlink"/>
                </w:rPr>
                <w:t>C26/35</w:t>
              </w:r>
            </w:hyperlink>
          </w:p>
        </w:tc>
        <w:tc>
          <w:tcPr>
            <w:tcW w:w="8213" w:type="dxa"/>
            <w:tcBorders>
              <w:top w:val="single" w:sz="4" w:space="0" w:color="808080"/>
              <w:left w:val="nil"/>
              <w:bottom w:val="single" w:sz="4" w:space="0" w:color="808080"/>
              <w:right w:val="single" w:sz="8" w:space="0" w:color="auto"/>
            </w:tcBorders>
          </w:tcPr>
          <w:p w14:paraId="611667B2" w14:textId="19B23888" w:rsidR="009206F7" w:rsidRPr="006F2803" w:rsidRDefault="009206F7" w:rsidP="009206F7">
            <w:pPr>
              <w:pStyle w:val="Tabletext"/>
            </w:pPr>
            <w:r w:rsidRPr="006F2803">
              <w:t>Rapport sur la mise en œuvre du Plan stratégique et les activités de l'Union, octobre 2022 – décembre 2026</w:t>
            </w:r>
          </w:p>
        </w:tc>
      </w:tr>
      <w:tr w:rsidR="009206F7" w:rsidRPr="006F2803" w14:paraId="055B9E13" w14:textId="77777777" w:rsidTr="000046B0">
        <w:tc>
          <w:tcPr>
            <w:tcW w:w="1418" w:type="dxa"/>
          </w:tcPr>
          <w:p w14:paraId="75F01D4A" w14:textId="14ED32EF" w:rsidR="009206F7" w:rsidRPr="006F2803" w:rsidRDefault="009206F7" w:rsidP="009206F7">
            <w:pPr>
              <w:pStyle w:val="Tabletext"/>
              <w:jc w:val="center"/>
              <w:rPr>
                <w:rStyle w:val="Hyperlink"/>
              </w:rPr>
            </w:pPr>
            <w:hyperlink r:id="rId8" w:history="1">
              <w:r w:rsidRPr="006F2803">
                <w:rPr>
                  <w:rStyle w:val="Hyperlink"/>
                </w:rPr>
                <w:t>C26/55</w:t>
              </w:r>
            </w:hyperlink>
          </w:p>
        </w:tc>
        <w:tc>
          <w:tcPr>
            <w:tcW w:w="8213" w:type="dxa"/>
            <w:tcBorders>
              <w:right w:val="single" w:sz="8" w:space="0" w:color="auto"/>
            </w:tcBorders>
          </w:tcPr>
          <w:p w14:paraId="17A08D5B" w14:textId="77777777" w:rsidR="009206F7" w:rsidRPr="006F2803" w:rsidRDefault="009206F7" w:rsidP="009206F7">
            <w:pPr>
              <w:pStyle w:val="Tabletext"/>
            </w:pPr>
            <w:r w:rsidRPr="006F2803">
              <w:t>Point sur la transformation de l'UIT – Bâtir une UIT efficace, réactive et parée pour l'avenir</w:t>
            </w:r>
          </w:p>
        </w:tc>
      </w:tr>
      <w:tr w:rsidR="009206F7" w:rsidRPr="006F2803" w14:paraId="32D9D89D" w14:textId="77777777" w:rsidTr="000046B0">
        <w:tc>
          <w:tcPr>
            <w:tcW w:w="1418" w:type="dxa"/>
            <w:tcBorders>
              <w:top w:val="single" w:sz="4" w:space="0" w:color="808080"/>
              <w:bottom w:val="single" w:sz="4" w:space="0" w:color="808080"/>
              <w:right w:val="single" w:sz="4" w:space="0" w:color="auto"/>
            </w:tcBorders>
            <w:shd w:val="clear" w:color="auto" w:fill="D9D9D9"/>
          </w:tcPr>
          <w:p w14:paraId="26CBF35B" w14:textId="77777777" w:rsidR="009206F7" w:rsidRPr="006F2803" w:rsidRDefault="009206F7" w:rsidP="009206F7">
            <w:pPr>
              <w:pStyle w:val="Tabletext"/>
              <w:jc w:val="center"/>
              <w:rPr>
                <w:b/>
                <w:bCs/>
              </w:rPr>
            </w:pPr>
            <w:r w:rsidRPr="006F2803">
              <w:rPr>
                <w:b/>
                <w:bCs/>
              </w:rPr>
              <w:t>PL 2</w:t>
            </w:r>
          </w:p>
        </w:tc>
        <w:tc>
          <w:tcPr>
            <w:tcW w:w="8213" w:type="dxa"/>
            <w:tcBorders>
              <w:top w:val="single" w:sz="4" w:space="0" w:color="808080"/>
              <w:left w:val="single" w:sz="4" w:space="0" w:color="auto"/>
              <w:bottom w:val="single" w:sz="4" w:space="0" w:color="808080"/>
              <w:right w:val="single" w:sz="8" w:space="0" w:color="auto"/>
            </w:tcBorders>
            <w:shd w:val="clear" w:color="auto" w:fill="D9D9D9"/>
          </w:tcPr>
          <w:p w14:paraId="7943A33A" w14:textId="77777777" w:rsidR="009206F7" w:rsidRPr="006F2803" w:rsidRDefault="009206F7" w:rsidP="009206F7">
            <w:pPr>
              <w:pStyle w:val="Tabletext"/>
              <w:rPr>
                <w:b/>
                <w:bCs/>
              </w:rPr>
            </w:pPr>
            <w:r w:rsidRPr="006F2803">
              <w:rPr>
                <w:b/>
                <w:bCs/>
              </w:rPr>
              <w:t>Une UIT unie dans l'action (Politique générale, stratégie et activités)</w:t>
            </w:r>
          </w:p>
        </w:tc>
      </w:tr>
      <w:tr w:rsidR="009206F7" w:rsidRPr="006F2803" w14:paraId="76D6CE5E" w14:textId="77777777" w:rsidTr="000046B0">
        <w:tc>
          <w:tcPr>
            <w:tcW w:w="1418" w:type="dxa"/>
          </w:tcPr>
          <w:p w14:paraId="6A57D247" w14:textId="788B363F" w:rsidR="009206F7" w:rsidRPr="006F2803" w:rsidRDefault="009206F7" w:rsidP="009206F7">
            <w:pPr>
              <w:pStyle w:val="Tabletext"/>
              <w:jc w:val="center"/>
              <w:rPr>
                <w:rStyle w:val="Hyperlink"/>
              </w:rPr>
            </w:pPr>
            <w:hyperlink r:id="rId9" w:history="1">
              <w:r w:rsidRPr="006F2803">
                <w:rPr>
                  <w:rStyle w:val="Hyperlink"/>
                </w:rPr>
                <w:t>C26/28</w:t>
              </w:r>
            </w:hyperlink>
          </w:p>
        </w:tc>
        <w:tc>
          <w:tcPr>
            <w:tcW w:w="8213" w:type="dxa"/>
            <w:tcBorders>
              <w:top w:val="single" w:sz="4" w:space="0" w:color="808080"/>
            </w:tcBorders>
          </w:tcPr>
          <w:p w14:paraId="462AE66D" w14:textId="1EF1E59E" w:rsidR="009206F7" w:rsidRPr="006F2803" w:rsidRDefault="009206F7" w:rsidP="009206F7">
            <w:pPr>
              <w:pStyle w:val="Tabletext"/>
            </w:pPr>
            <w:r w:rsidRPr="006F2803">
              <w:t>Projet de plan opérationnel quadriennal glissant de l'Union pour la période 2027-2030</w:t>
            </w:r>
          </w:p>
        </w:tc>
      </w:tr>
      <w:tr w:rsidR="009206F7" w:rsidRPr="006F2803" w14:paraId="390D3C9D" w14:textId="77777777" w:rsidTr="000046B0">
        <w:tc>
          <w:tcPr>
            <w:tcW w:w="1418" w:type="dxa"/>
          </w:tcPr>
          <w:p w14:paraId="29B7E622" w14:textId="5A227469" w:rsidR="009206F7" w:rsidRPr="006F2803" w:rsidRDefault="009206F7" w:rsidP="009206F7">
            <w:pPr>
              <w:pStyle w:val="Tabletext"/>
              <w:jc w:val="center"/>
              <w:rPr>
                <w:rStyle w:val="Hyperlink"/>
              </w:rPr>
            </w:pPr>
            <w:hyperlink r:id="rId10" w:history="1">
              <w:r w:rsidRPr="006F2803">
                <w:rPr>
                  <w:rStyle w:val="Hyperlink"/>
                </w:rPr>
                <w:t>C26/31</w:t>
              </w:r>
            </w:hyperlink>
          </w:p>
        </w:tc>
        <w:tc>
          <w:tcPr>
            <w:tcW w:w="8213" w:type="dxa"/>
            <w:tcBorders>
              <w:top w:val="single" w:sz="4" w:space="0" w:color="808080"/>
            </w:tcBorders>
          </w:tcPr>
          <w:p w14:paraId="0F04751B" w14:textId="0A3AA632" w:rsidR="009206F7" w:rsidRPr="006F2803" w:rsidRDefault="009206F7" w:rsidP="009206F7">
            <w:pPr>
              <w:pStyle w:val="Tabletext"/>
            </w:pPr>
            <w:r w:rsidRPr="006F2803">
              <w:t xml:space="preserve">Rapport du Président du Groupe de travail du Conseil chargé d'élaborer le </w:t>
            </w:r>
            <w:r w:rsidR="001C0FE1" w:rsidRPr="006F2803">
              <w:t>p</w:t>
            </w:r>
            <w:r w:rsidRPr="006F2803">
              <w:t xml:space="preserve">lan stratégique et le </w:t>
            </w:r>
            <w:r w:rsidR="001C0FE1" w:rsidRPr="006F2803">
              <w:t>p</w:t>
            </w:r>
            <w:r w:rsidRPr="006F2803">
              <w:t xml:space="preserve">lan financier pour la période 2028-2031 (GTC-SFP) et projet de </w:t>
            </w:r>
            <w:r w:rsidR="001C0FE1" w:rsidRPr="006F2803">
              <w:t>p</w:t>
            </w:r>
            <w:r w:rsidRPr="006F2803">
              <w:t>lan</w:t>
            </w:r>
            <w:r w:rsidR="00F82D4E" w:rsidRPr="006F2803">
              <w:t> </w:t>
            </w:r>
            <w:r w:rsidRPr="006F2803">
              <w:t>stratégique pour la période 2028-2031</w:t>
            </w:r>
          </w:p>
        </w:tc>
      </w:tr>
      <w:tr w:rsidR="009206F7" w:rsidRPr="006F2803" w14:paraId="14382B18" w14:textId="77777777" w:rsidTr="000046B0">
        <w:tc>
          <w:tcPr>
            <w:tcW w:w="1418" w:type="dxa"/>
          </w:tcPr>
          <w:p w14:paraId="4BDB2887" w14:textId="4A521059" w:rsidR="009206F7" w:rsidRPr="006F2803" w:rsidRDefault="009206F7" w:rsidP="009206F7">
            <w:pPr>
              <w:pStyle w:val="Tabletext"/>
              <w:jc w:val="center"/>
              <w:rPr>
                <w:rStyle w:val="Hyperlink"/>
              </w:rPr>
            </w:pPr>
            <w:hyperlink r:id="rId11" w:history="1">
              <w:r w:rsidRPr="006F2803">
                <w:rPr>
                  <w:rStyle w:val="Hyperlink"/>
                </w:rPr>
                <w:t>C26/32</w:t>
              </w:r>
            </w:hyperlink>
          </w:p>
        </w:tc>
        <w:tc>
          <w:tcPr>
            <w:tcW w:w="8213" w:type="dxa"/>
            <w:tcBorders>
              <w:top w:val="single" w:sz="4" w:space="0" w:color="808080"/>
            </w:tcBorders>
          </w:tcPr>
          <w:p w14:paraId="31AEA68D" w14:textId="308AC46C" w:rsidR="009206F7" w:rsidRPr="006F2803" w:rsidRDefault="009206F7" w:rsidP="009206F7">
            <w:pPr>
              <w:pStyle w:val="Tabletext"/>
            </w:pPr>
            <w:r w:rsidRPr="006F2803">
              <w:t xml:space="preserve">Projet de </w:t>
            </w:r>
            <w:r w:rsidR="001C0FE1" w:rsidRPr="006F2803">
              <w:t>p</w:t>
            </w:r>
            <w:r w:rsidRPr="006F2803">
              <w:t>lan financier pour la période 2028-2031</w:t>
            </w:r>
          </w:p>
        </w:tc>
      </w:tr>
      <w:tr w:rsidR="009206F7" w:rsidRPr="006F2803" w14:paraId="054DD7CF" w14:textId="77777777" w:rsidTr="000046B0">
        <w:tc>
          <w:tcPr>
            <w:tcW w:w="1418" w:type="dxa"/>
          </w:tcPr>
          <w:p w14:paraId="49D9F037" w14:textId="014B58AC" w:rsidR="009206F7" w:rsidRPr="006F2803" w:rsidRDefault="009206F7" w:rsidP="009206F7">
            <w:pPr>
              <w:pStyle w:val="Tabletext"/>
              <w:jc w:val="center"/>
              <w:rPr>
                <w:rStyle w:val="Hyperlink"/>
              </w:rPr>
            </w:pPr>
            <w:hyperlink r:id="rId12" w:history="1">
              <w:r w:rsidRPr="006F2803">
                <w:rPr>
                  <w:rStyle w:val="Hyperlink"/>
                </w:rPr>
                <w:t>C26/25</w:t>
              </w:r>
            </w:hyperlink>
          </w:p>
        </w:tc>
        <w:tc>
          <w:tcPr>
            <w:tcW w:w="8213" w:type="dxa"/>
            <w:tcBorders>
              <w:top w:val="single" w:sz="4" w:space="0" w:color="808080"/>
            </w:tcBorders>
          </w:tcPr>
          <w:p w14:paraId="48E1462C" w14:textId="77777777" w:rsidR="009206F7" w:rsidRPr="006F2803" w:rsidRDefault="009206F7" w:rsidP="009206F7">
            <w:pPr>
              <w:pStyle w:val="Tabletext"/>
            </w:pPr>
            <w:r w:rsidRPr="006F2803">
              <w:t>Renforcement de la présence régionale de l'UIT</w:t>
            </w:r>
          </w:p>
        </w:tc>
      </w:tr>
      <w:tr w:rsidR="009206F7" w:rsidRPr="006F2803" w14:paraId="4592ED06" w14:textId="77777777" w:rsidTr="000046B0">
        <w:tc>
          <w:tcPr>
            <w:tcW w:w="1418" w:type="dxa"/>
          </w:tcPr>
          <w:p w14:paraId="165CE12A" w14:textId="5EC249B9" w:rsidR="009206F7" w:rsidRPr="006F2803" w:rsidRDefault="009206F7" w:rsidP="009206F7">
            <w:pPr>
              <w:pStyle w:val="Tabletext"/>
              <w:jc w:val="center"/>
              <w:rPr>
                <w:rStyle w:val="Hyperlink"/>
              </w:rPr>
            </w:pPr>
            <w:hyperlink r:id="rId13" w:history="1">
              <w:r w:rsidRPr="006F2803">
                <w:rPr>
                  <w:rStyle w:val="Hyperlink"/>
                </w:rPr>
                <w:t>C26/24</w:t>
              </w:r>
            </w:hyperlink>
          </w:p>
        </w:tc>
        <w:tc>
          <w:tcPr>
            <w:tcW w:w="8213" w:type="dxa"/>
            <w:tcBorders>
              <w:top w:val="single" w:sz="4" w:space="0" w:color="808080"/>
            </w:tcBorders>
          </w:tcPr>
          <w:p w14:paraId="0436CE3F" w14:textId="77777777" w:rsidR="009206F7" w:rsidRPr="006F2803" w:rsidRDefault="009206F7" w:rsidP="009206F7">
            <w:pPr>
              <w:pStyle w:val="Tabletext"/>
            </w:pPr>
            <w:r w:rsidRPr="006F2803">
              <w:t>Examen de la présence régionale de l'UIT</w:t>
            </w:r>
          </w:p>
        </w:tc>
      </w:tr>
      <w:tr w:rsidR="009206F7" w:rsidRPr="006F2803" w14:paraId="713C0352" w14:textId="77777777" w:rsidTr="000046B0">
        <w:tc>
          <w:tcPr>
            <w:tcW w:w="1418" w:type="dxa"/>
          </w:tcPr>
          <w:p w14:paraId="309BEA7A" w14:textId="79CF52E4" w:rsidR="009206F7" w:rsidRPr="006F2803" w:rsidRDefault="009206F7" w:rsidP="009206F7">
            <w:pPr>
              <w:pStyle w:val="Tabletext"/>
              <w:jc w:val="center"/>
              <w:rPr>
                <w:rStyle w:val="Hyperlink"/>
              </w:rPr>
            </w:pPr>
            <w:hyperlink r:id="rId14" w:history="1">
              <w:r w:rsidRPr="006F2803">
                <w:rPr>
                  <w:rStyle w:val="Hyperlink"/>
                </w:rPr>
                <w:t>C26/15</w:t>
              </w:r>
            </w:hyperlink>
          </w:p>
        </w:tc>
        <w:tc>
          <w:tcPr>
            <w:tcW w:w="8213" w:type="dxa"/>
            <w:tcBorders>
              <w:top w:val="single" w:sz="4" w:space="0" w:color="808080"/>
            </w:tcBorders>
          </w:tcPr>
          <w:p w14:paraId="687F285A" w14:textId="77777777" w:rsidR="009206F7" w:rsidRPr="006F2803" w:rsidRDefault="009206F7" w:rsidP="009206F7">
            <w:pPr>
              <w:pStyle w:val="Tabletext"/>
            </w:pPr>
            <w:r w:rsidRPr="006F2803">
              <w:t>Rapport du Président du Groupe de travail du Conseil sur la protection en ligne des enfants (GTC-COP)</w:t>
            </w:r>
          </w:p>
        </w:tc>
      </w:tr>
      <w:tr w:rsidR="009206F7" w:rsidRPr="006F2803" w14:paraId="7C7F4FB4" w14:textId="77777777" w:rsidTr="000046B0">
        <w:tc>
          <w:tcPr>
            <w:tcW w:w="1418" w:type="dxa"/>
          </w:tcPr>
          <w:p w14:paraId="26585FF2" w14:textId="5A0FF33E" w:rsidR="009206F7" w:rsidRPr="006F2803" w:rsidRDefault="009206F7" w:rsidP="009206F7">
            <w:pPr>
              <w:pStyle w:val="Tabletext"/>
              <w:jc w:val="center"/>
              <w:rPr>
                <w:rStyle w:val="Hyperlink"/>
              </w:rPr>
            </w:pPr>
            <w:hyperlink r:id="rId15" w:history="1">
              <w:r w:rsidRPr="006F2803">
                <w:rPr>
                  <w:rStyle w:val="Hyperlink"/>
                </w:rPr>
                <w:t>C26/18</w:t>
              </w:r>
            </w:hyperlink>
          </w:p>
        </w:tc>
        <w:tc>
          <w:tcPr>
            <w:tcW w:w="8213" w:type="dxa"/>
            <w:tcBorders>
              <w:top w:val="single" w:sz="4" w:space="0" w:color="808080"/>
            </w:tcBorders>
          </w:tcPr>
          <w:p w14:paraId="276583D5" w14:textId="77777777" w:rsidR="009206F7" w:rsidRPr="006F2803" w:rsidRDefault="009206F7" w:rsidP="009206F7">
            <w:pPr>
              <w:pStyle w:val="Tabletext"/>
            </w:pPr>
            <w:r w:rsidRPr="006F2803">
              <w:t>Rapport quadriennal du GTC-COP</w:t>
            </w:r>
          </w:p>
        </w:tc>
      </w:tr>
      <w:tr w:rsidR="009206F7" w:rsidRPr="006F2803" w14:paraId="401856B4" w14:textId="77777777" w:rsidTr="000046B0">
        <w:tc>
          <w:tcPr>
            <w:tcW w:w="1418" w:type="dxa"/>
          </w:tcPr>
          <w:p w14:paraId="3B21979D" w14:textId="6029DDCD" w:rsidR="009206F7" w:rsidRPr="006F2803" w:rsidRDefault="009206F7" w:rsidP="009206F7">
            <w:pPr>
              <w:pStyle w:val="Tabletext"/>
              <w:jc w:val="center"/>
              <w:rPr>
                <w:rStyle w:val="Hyperlink"/>
              </w:rPr>
            </w:pPr>
            <w:hyperlink r:id="rId16" w:history="1">
              <w:r w:rsidRPr="006F2803">
                <w:rPr>
                  <w:rStyle w:val="Hyperlink"/>
                </w:rPr>
                <w:t>C26/12</w:t>
              </w:r>
            </w:hyperlink>
          </w:p>
        </w:tc>
        <w:tc>
          <w:tcPr>
            <w:tcW w:w="8213" w:type="dxa"/>
            <w:tcBorders>
              <w:top w:val="single" w:sz="4" w:space="0" w:color="808080"/>
            </w:tcBorders>
          </w:tcPr>
          <w:p w14:paraId="12C2392E" w14:textId="77777777" w:rsidR="009206F7" w:rsidRPr="006F2803" w:rsidRDefault="009206F7" w:rsidP="009206F7">
            <w:pPr>
              <w:pStyle w:val="Tabletext"/>
            </w:pPr>
            <w:r w:rsidRPr="006F2803">
              <w:t>Rapport de la Présidente du Groupe de travail du Conseil sur l'utilisation des langues (GTC-LANG)</w:t>
            </w:r>
          </w:p>
        </w:tc>
      </w:tr>
      <w:tr w:rsidR="009206F7" w:rsidRPr="006F2803" w14:paraId="1460074B" w14:textId="77777777" w:rsidTr="000046B0">
        <w:tc>
          <w:tcPr>
            <w:tcW w:w="1418" w:type="dxa"/>
          </w:tcPr>
          <w:p w14:paraId="00C30BB0" w14:textId="778348C7" w:rsidR="009206F7" w:rsidRPr="006F2803" w:rsidRDefault="009206F7" w:rsidP="009206F7">
            <w:pPr>
              <w:pStyle w:val="Tabletext"/>
              <w:jc w:val="center"/>
              <w:rPr>
                <w:rStyle w:val="Hyperlink"/>
              </w:rPr>
            </w:pPr>
            <w:hyperlink r:id="rId17" w:history="1">
              <w:r w:rsidRPr="006F2803">
                <w:rPr>
                  <w:rStyle w:val="Hyperlink"/>
                </w:rPr>
                <w:t>C26/13</w:t>
              </w:r>
            </w:hyperlink>
          </w:p>
        </w:tc>
        <w:tc>
          <w:tcPr>
            <w:tcW w:w="8213" w:type="dxa"/>
            <w:tcBorders>
              <w:top w:val="single" w:sz="4" w:space="0" w:color="808080"/>
            </w:tcBorders>
          </w:tcPr>
          <w:p w14:paraId="55A41FAD" w14:textId="77777777" w:rsidR="009206F7" w:rsidRPr="006F2803" w:rsidRDefault="009206F7" w:rsidP="009206F7">
            <w:pPr>
              <w:pStyle w:val="Tabletext"/>
            </w:pPr>
            <w:r w:rsidRPr="006F2803">
              <w:t>Rapport quadriennal du GTC-LANG</w:t>
            </w:r>
          </w:p>
        </w:tc>
      </w:tr>
      <w:tr w:rsidR="009206F7" w:rsidRPr="006F2803" w14:paraId="7E3A2ED1" w14:textId="77777777" w:rsidTr="000046B0">
        <w:tc>
          <w:tcPr>
            <w:tcW w:w="1418" w:type="dxa"/>
          </w:tcPr>
          <w:p w14:paraId="43048636" w14:textId="528CC794" w:rsidR="009206F7" w:rsidRPr="006F2803" w:rsidRDefault="009206F7" w:rsidP="009206F7">
            <w:pPr>
              <w:pStyle w:val="Tabletext"/>
              <w:jc w:val="center"/>
              <w:rPr>
                <w:rStyle w:val="Hyperlink"/>
              </w:rPr>
            </w:pPr>
            <w:hyperlink r:id="rId18" w:history="1">
              <w:r w:rsidRPr="006F2803">
                <w:rPr>
                  <w:rStyle w:val="Hyperlink"/>
                </w:rPr>
                <w:t>C26/51</w:t>
              </w:r>
            </w:hyperlink>
          </w:p>
        </w:tc>
        <w:tc>
          <w:tcPr>
            <w:tcW w:w="8213" w:type="dxa"/>
            <w:tcBorders>
              <w:top w:val="single" w:sz="4" w:space="0" w:color="808080"/>
            </w:tcBorders>
          </w:tcPr>
          <w:p w14:paraId="1F9DA7C7" w14:textId="77777777" w:rsidR="009206F7" w:rsidRPr="006F2803" w:rsidRDefault="009206F7" w:rsidP="009206F7">
            <w:pPr>
              <w:pStyle w:val="Tabletext"/>
            </w:pPr>
            <w:r w:rsidRPr="006F2803">
              <w:t>Rapport du Président du Groupe de travail du Conseil sur les questions de politiques publiques internationales relatives à l'Internet (GTC-Internet)</w:t>
            </w:r>
          </w:p>
        </w:tc>
      </w:tr>
      <w:tr w:rsidR="009206F7" w:rsidRPr="006F2803" w14:paraId="5C08F22D" w14:textId="77777777" w:rsidTr="000046B0">
        <w:tc>
          <w:tcPr>
            <w:tcW w:w="1418" w:type="dxa"/>
          </w:tcPr>
          <w:p w14:paraId="19230A9A" w14:textId="3A3E7B2E" w:rsidR="009206F7" w:rsidRPr="006F2803" w:rsidRDefault="009206F7" w:rsidP="009206F7">
            <w:pPr>
              <w:pStyle w:val="Tabletext"/>
              <w:jc w:val="center"/>
              <w:rPr>
                <w:rStyle w:val="Hyperlink"/>
              </w:rPr>
            </w:pPr>
            <w:hyperlink r:id="rId19" w:history="1">
              <w:r w:rsidRPr="006F2803">
                <w:rPr>
                  <w:rStyle w:val="Hyperlink"/>
                </w:rPr>
                <w:t>C26/52</w:t>
              </w:r>
            </w:hyperlink>
          </w:p>
        </w:tc>
        <w:tc>
          <w:tcPr>
            <w:tcW w:w="8213" w:type="dxa"/>
            <w:tcBorders>
              <w:top w:val="single" w:sz="4" w:space="0" w:color="808080"/>
            </w:tcBorders>
          </w:tcPr>
          <w:p w14:paraId="705A8764" w14:textId="77777777" w:rsidR="009206F7" w:rsidRPr="006F2803" w:rsidRDefault="009206F7" w:rsidP="009206F7">
            <w:pPr>
              <w:pStyle w:val="Tabletext"/>
            </w:pPr>
            <w:r w:rsidRPr="006F2803">
              <w:t>Rapport quadriennal du GTC-Internet</w:t>
            </w:r>
          </w:p>
        </w:tc>
      </w:tr>
      <w:tr w:rsidR="009206F7" w:rsidRPr="006F2803" w14:paraId="75EC2B3F" w14:textId="77777777" w:rsidTr="000046B0">
        <w:tc>
          <w:tcPr>
            <w:tcW w:w="1418" w:type="dxa"/>
          </w:tcPr>
          <w:p w14:paraId="5E3F8316" w14:textId="4DC8FA59" w:rsidR="009206F7" w:rsidRPr="006F2803" w:rsidRDefault="009206F7" w:rsidP="009206F7">
            <w:pPr>
              <w:pStyle w:val="Tabletext"/>
              <w:jc w:val="center"/>
              <w:rPr>
                <w:rStyle w:val="Hyperlink"/>
              </w:rPr>
            </w:pPr>
            <w:hyperlink r:id="rId20" w:history="1">
              <w:r w:rsidRPr="006F2803">
                <w:rPr>
                  <w:rStyle w:val="Hyperlink"/>
                </w:rPr>
                <w:t>C26/26</w:t>
              </w:r>
            </w:hyperlink>
          </w:p>
        </w:tc>
        <w:tc>
          <w:tcPr>
            <w:tcW w:w="8213" w:type="dxa"/>
            <w:tcBorders>
              <w:top w:val="single" w:sz="4" w:space="0" w:color="808080"/>
            </w:tcBorders>
          </w:tcPr>
          <w:p w14:paraId="4594BB8F" w14:textId="77777777" w:rsidR="009206F7" w:rsidRPr="006F2803" w:rsidRDefault="009206F7" w:rsidP="009206F7">
            <w:pPr>
              <w:pStyle w:val="Tabletext"/>
            </w:pPr>
            <w:r w:rsidRPr="006F2803">
              <w:t>Rapport final du Groupe d'experts sur le Règlement des télécommunications internationales (EG-RTI)</w:t>
            </w:r>
          </w:p>
        </w:tc>
      </w:tr>
      <w:tr w:rsidR="009206F7" w:rsidRPr="006F2803" w14:paraId="532DDE52" w14:textId="77777777" w:rsidTr="000046B0">
        <w:tc>
          <w:tcPr>
            <w:tcW w:w="1418" w:type="dxa"/>
          </w:tcPr>
          <w:p w14:paraId="004408FA" w14:textId="16050A51" w:rsidR="009206F7" w:rsidRPr="006F2803" w:rsidRDefault="009206F7" w:rsidP="009206F7">
            <w:pPr>
              <w:pStyle w:val="Tabletext"/>
              <w:jc w:val="center"/>
              <w:rPr>
                <w:rStyle w:val="Hyperlink"/>
              </w:rPr>
            </w:pPr>
            <w:hyperlink r:id="rId21" w:history="1">
              <w:r w:rsidRPr="006F2803">
                <w:rPr>
                  <w:rStyle w:val="Hyperlink"/>
                </w:rPr>
                <w:t>C26/8</w:t>
              </w:r>
            </w:hyperlink>
          </w:p>
        </w:tc>
        <w:tc>
          <w:tcPr>
            <w:tcW w:w="8213" w:type="dxa"/>
            <w:tcBorders>
              <w:top w:val="single" w:sz="4" w:space="0" w:color="808080"/>
            </w:tcBorders>
          </w:tcPr>
          <w:p w14:paraId="4D190050" w14:textId="2D791493" w:rsidR="009206F7" w:rsidRPr="006F2803" w:rsidRDefault="009206F7" w:rsidP="009206F7">
            <w:pPr>
              <w:pStyle w:val="Tabletext"/>
            </w:pPr>
            <w:r w:rsidRPr="006F2803">
              <w:t>Rapport de la Présidente du Groupe de travail du Conseil sur le SMSI et les ODD (GTC</w:t>
            </w:r>
            <w:r w:rsidR="00BB6E0E" w:rsidRPr="006F2803">
              <w:noBreakHyphen/>
            </w:r>
            <w:r w:rsidRPr="006F2803">
              <w:t>SMSI&amp;ODD)</w:t>
            </w:r>
          </w:p>
        </w:tc>
      </w:tr>
      <w:tr w:rsidR="009206F7" w:rsidRPr="006F2803" w14:paraId="35AE5532" w14:textId="77777777" w:rsidTr="000046B0">
        <w:tc>
          <w:tcPr>
            <w:tcW w:w="1418" w:type="dxa"/>
          </w:tcPr>
          <w:p w14:paraId="21B6CF2D" w14:textId="32E8C39A" w:rsidR="009206F7" w:rsidRPr="006F2803" w:rsidRDefault="009206F7" w:rsidP="009206F7">
            <w:pPr>
              <w:pStyle w:val="Tabletext"/>
              <w:jc w:val="center"/>
              <w:rPr>
                <w:rStyle w:val="Hyperlink"/>
              </w:rPr>
            </w:pPr>
            <w:hyperlink r:id="rId22" w:history="1">
              <w:r w:rsidRPr="006F2803">
                <w:rPr>
                  <w:rStyle w:val="Hyperlink"/>
                </w:rPr>
                <w:t>C26/10</w:t>
              </w:r>
            </w:hyperlink>
          </w:p>
        </w:tc>
        <w:tc>
          <w:tcPr>
            <w:tcW w:w="8213" w:type="dxa"/>
            <w:tcBorders>
              <w:top w:val="single" w:sz="4" w:space="0" w:color="808080"/>
            </w:tcBorders>
          </w:tcPr>
          <w:p w14:paraId="7D36AD96" w14:textId="77777777" w:rsidR="009206F7" w:rsidRPr="006F2803" w:rsidRDefault="009206F7" w:rsidP="009206F7">
            <w:pPr>
              <w:pStyle w:val="Tabletext"/>
            </w:pPr>
            <w:r w:rsidRPr="006F2803">
              <w:t>Rapport quadriennal du GTC-SMSI&amp;ODD</w:t>
            </w:r>
          </w:p>
        </w:tc>
      </w:tr>
      <w:tr w:rsidR="009206F7" w:rsidRPr="006F2803" w14:paraId="17EA9C2D" w14:textId="77777777" w:rsidTr="000046B0">
        <w:tc>
          <w:tcPr>
            <w:tcW w:w="1418" w:type="dxa"/>
          </w:tcPr>
          <w:p w14:paraId="7C0722D2" w14:textId="2CF5E510" w:rsidR="009206F7" w:rsidRPr="006F2803" w:rsidRDefault="009206F7" w:rsidP="009206F7">
            <w:pPr>
              <w:pStyle w:val="Tabletext"/>
              <w:jc w:val="center"/>
              <w:rPr>
                <w:rStyle w:val="Hyperlink"/>
              </w:rPr>
            </w:pPr>
            <w:hyperlink r:id="rId23" w:history="1">
              <w:r w:rsidRPr="006F2803">
                <w:rPr>
                  <w:rStyle w:val="Hyperlink"/>
                </w:rPr>
                <w:t>C26/58</w:t>
              </w:r>
            </w:hyperlink>
          </w:p>
        </w:tc>
        <w:tc>
          <w:tcPr>
            <w:tcW w:w="8213" w:type="dxa"/>
            <w:tcBorders>
              <w:top w:val="single" w:sz="4" w:space="0" w:color="808080"/>
            </w:tcBorders>
          </w:tcPr>
          <w:p w14:paraId="38CFD351" w14:textId="4A30CF40" w:rsidR="009206F7" w:rsidRPr="006F2803" w:rsidRDefault="009206F7" w:rsidP="009206F7">
            <w:pPr>
              <w:pStyle w:val="Tabletext"/>
            </w:pPr>
            <w:r w:rsidRPr="006F2803">
              <w:t>Rapport final et exhaustif sur les activités menées par l'UIT dans le cadre de la mise en</w:t>
            </w:r>
            <w:r w:rsidR="00270D56" w:rsidRPr="006F2803">
              <w:t> </w:t>
            </w:r>
            <w:r w:rsidRPr="006F2803">
              <w:t>œuvre des résultats du SMSI et du Programme de développement durable à</w:t>
            </w:r>
            <w:r w:rsidR="00270D56" w:rsidRPr="006F2803">
              <w:t> </w:t>
            </w:r>
            <w:r w:rsidRPr="006F2803">
              <w:t>l'horizon</w:t>
            </w:r>
            <w:r w:rsidR="00270D56" w:rsidRPr="006F2803">
              <w:t> </w:t>
            </w:r>
            <w:r w:rsidRPr="006F2803">
              <w:t>2030 ainsi que sur des propositions relatives à des activités futures</w:t>
            </w:r>
          </w:p>
        </w:tc>
      </w:tr>
      <w:tr w:rsidR="009206F7" w:rsidRPr="006F2803" w14:paraId="4DF1BB07" w14:textId="77777777" w:rsidTr="000046B0">
        <w:tc>
          <w:tcPr>
            <w:tcW w:w="1418" w:type="dxa"/>
          </w:tcPr>
          <w:p w14:paraId="1E762458" w14:textId="68086C16" w:rsidR="009206F7" w:rsidRPr="006F2803" w:rsidRDefault="009206F7" w:rsidP="009206F7">
            <w:pPr>
              <w:pStyle w:val="Tabletext"/>
              <w:jc w:val="center"/>
              <w:rPr>
                <w:rStyle w:val="Hyperlink"/>
              </w:rPr>
            </w:pPr>
            <w:hyperlink r:id="rId24" w:history="1">
              <w:r w:rsidRPr="006F2803">
                <w:rPr>
                  <w:rStyle w:val="Hyperlink"/>
                </w:rPr>
                <w:t>C26/59</w:t>
              </w:r>
            </w:hyperlink>
          </w:p>
        </w:tc>
        <w:tc>
          <w:tcPr>
            <w:tcW w:w="8213" w:type="dxa"/>
            <w:tcBorders>
              <w:top w:val="single" w:sz="4" w:space="0" w:color="808080"/>
            </w:tcBorders>
          </w:tcPr>
          <w:p w14:paraId="355D0E13" w14:textId="77777777" w:rsidR="009206F7" w:rsidRPr="006F2803" w:rsidRDefault="009206F7" w:rsidP="009206F7">
            <w:pPr>
              <w:pStyle w:val="Tabletext"/>
            </w:pPr>
            <w:r w:rsidRPr="006F2803">
              <w:t>Rapport de l'Assemblée générale des Nations Unies sur l'examen d'ensemble de la mise en œuvre des résultats du Sommet mondial sur la société de l'information</w:t>
            </w:r>
          </w:p>
        </w:tc>
      </w:tr>
      <w:tr w:rsidR="009206F7" w:rsidRPr="006F2803" w14:paraId="41C74234" w14:textId="77777777" w:rsidTr="000046B0">
        <w:tc>
          <w:tcPr>
            <w:tcW w:w="1418" w:type="dxa"/>
          </w:tcPr>
          <w:p w14:paraId="4DA0EA5D" w14:textId="25BD1F09" w:rsidR="009206F7" w:rsidRPr="006F2803" w:rsidRDefault="009206F7" w:rsidP="009206F7">
            <w:pPr>
              <w:pStyle w:val="Tabletext"/>
              <w:jc w:val="center"/>
              <w:rPr>
                <w:rStyle w:val="Hyperlink"/>
              </w:rPr>
            </w:pPr>
            <w:hyperlink r:id="rId25" w:history="1">
              <w:r w:rsidRPr="006F2803">
                <w:rPr>
                  <w:rStyle w:val="Hyperlink"/>
                </w:rPr>
                <w:t>C26/60</w:t>
              </w:r>
            </w:hyperlink>
          </w:p>
        </w:tc>
        <w:tc>
          <w:tcPr>
            <w:tcW w:w="8213" w:type="dxa"/>
            <w:tcBorders>
              <w:top w:val="single" w:sz="4" w:space="0" w:color="808080"/>
            </w:tcBorders>
          </w:tcPr>
          <w:p w14:paraId="314BBE10" w14:textId="77777777" w:rsidR="009206F7" w:rsidRPr="006F2803" w:rsidRDefault="009206F7" w:rsidP="009206F7">
            <w:pPr>
              <w:pStyle w:val="Tabletext"/>
            </w:pPr>
            <w:r w:rsidRPr="006F2803">
              <w:t>Analyse des lacunes concernant la mise à jour des Résolutions 1332 et 1334 du Conseil, de la Résolution 140 (Rév. Bucarest, 2022) de la Conférence de plénipotentiaires et du mandat du GTC-Internet à la lumière des résultats du SMSI+20</w:t>
            </w:r>
          </w:p>
        </w:tc>
      </w:tr>
      <w:tr w:rsidR="009206F7" w:rsidRPr="006F2803" w14:paraId="726AA688" w14:textId="77777777" w:rsidTr="000046B0">
        <w:tc>
          <w:tcPr>
            <w:tcW w:w="1418" w:type="dxa"/>
          </w:tcPr>
          <w:p w14:paraId="1443AF4B" w14:textId="3D57B305" w:rsidR="009206F7" w:rsidRPr="006F2803" w:rsidRDefault="009206F7" w:rsidP="009206F7">
            <w:pPr>
              <w:pStyle w:val="Tabletext"/>
              <w:jc w:val="center"/>
              <w:rPr>
                <w:rStyle w:val="Hyperlink"/>
              </w:rPr>
            </w:pPr>
            <w:hyperlink r:id="rId26" w:history="1">
              <w:r w:rsidRPr="006F2803">
                <w:rPr>
                  <w:rStyle w:val="Hyperlink"/>
                </w:rPr>
                <w:t>C26/33</w:t>
              </w:r>
            </w:hyperlink>
          </w:p>
        </w:tc>
        <w:tc>
          <w:tcPr>
            <w:tcW w:w="8213" w:type="dxa"/>
            <w:tcBorders>
              <w:top w:val="single" w:sz="4" w:space="0" w:color="808080"/>
            </w:tcBorders>
          </w:tcPr>
          <w:p w14:paraId="03A88107" w14:textId="77777777" w:rsidR="009206F7" w:rsidRPr="006F2803" w:rsidRDefault="009206F7" w:rsidP="009206F7">
            <w:pPr>
              <w:pStyle w:val="Tabletext"/>
            </w:pPr>
            <w:r w:rsidRPr="006F2803">
              <w:t>Activités de l'UIT relatives à l'Internet – Résolutions 101, 102, 133, 180 et 206</w:t>
            </w:r>
          </w:p>
        </w:tc>
      </w:tr>
      <w:tr w:rsidR="009206F7" w:rsidRPr="006F2803" w14:paraId="26EBDE53" w14:textId="77777777" w:rsidTr="000046B0">
        <w:tc>
          <w:tcPr>
            <w:tcW w:w="1418" w:type="dxa"/>
          </w:tcPr>
          <w:p w14:paraId="0083AA11" w14:textId="62CE87BB" w:rsidR="009206F7" w:rsidRPr="006F2803" w:rsidRDefault="009206F7" w:rsidP="009206F7">
            <w:pPr>
              <w:pStyle w:val="Tabletext"/>
              <w:jc w:val="center"/>
              <w:rPr>
                <w:rStyle w:val="Hyperlink"/>
              </w:rPr>
            </w:pPr>
            <w:hyperlink r:id="rId27" w:history="1">
              <w:r w:rsidRPr="006F2803">
                <w:rPr>
                  <w:rStyle w:val="Hyperlink"/>
                </w:rPr>
                <w:t>C26/17</w:t>
              </w:r>
            </w:hyperlink>
          </w:p>
        </w:tc>
        <w:tc>
          <w:tcPr>
            <w:tcW w:w="8213" w:type="dxa"/>
            <w:tcBorders>
              <w:top w:val="single" w:sz="4" w:space="0" w:color="808080"/>
            </w:tcBorders>
          </w:tcPr>
          <w:p w14:paraId="56200EFD" w14:textId="77777777" w:rsidR="009206F7" w:rsidRPr="006F2803" w:rsidRDefault="009206F7" w:rsidP="009206F7">
            <w:pPr>
              <w:pStyle w:val="Tabletext"/>
            </w:pPr>
            <w:r w:rsidRPr="006F2803">
              <w:t>Journée mondiale des télécommunications et de la société de l'information (WTISD)</w:t>
            </w:r>
          </w:p>
        </w:tc>
      </w:tr>
      <w:tr w:rsidR="009206F7" w:rsidRPr="006F2803" w14:paraId="056AE1FF" w14:textId="77777777" w:rsidTr="000046B0">
        <w:tc>
          <w:tcPr>
            <w:tcW w:w="1418" w:type="dxa"/>
          </w:tcPr>
          <w:p w14:paraId="41BCCFFF" w14:textId="048017C9" w:rsidR="009206F7" w:rsidRPr="006F2803" w:rsidRDefault="009206F7" w:rsidP="009206F7">
            <w:pPr>
              <w:pStyle w:val="Tabletext"/>
              <w:jc w:val="center"/>
              <w:rPr>
                <w:rStyle w:val="Hyperlink"/>
              </w:rPr>
            </w:pPr>
            <w:hyperlink r:id="rId28" w:history="1">
              <w:r w:rsidRPr="006F2803">
                <w:rPr>
                  <w:rStyle w:val="Hyperlink"/>
                </w:rPr>
                <w:t>C26/61</w:t>
              </w:r>
            </w:hyperlink>
          </w:p>
        </w:tc>
        <w:tc>
          <w:tcPr>
            <w:tcW w:w="8213" w:type="dxa"/>
            <w:tcBorders>
              <w:top w:val="single" w:sz="4" w:space="0" w:color="808080"/>
            </w:tcBorders>
          </w:tcPr>
          <w:p w14:paraId="03844C2C" w14:textId="007EFF67" w:rsidR="009206F7" w:rsidRPr="006F2803" w:rsidRDefault="009206F7" w:rsidP="009206F7">
            <w:pPr>
              <w:pStyle w:val="Tabletext"/>
            </w:pPr>
            <w:r w:rsidRPr="006F2803">
              <w:t>Contribution de l'UIT à l'</w:t>
            </w:r>
            <w:r w:rsidR="00270D56" w:rsidRPr="006F2803">
              <w:t>I</w:t>
            </w:r>
            <w:r w:rsidRPr="006F2803">
              <w:t>nitiative ONU80</w:t>
            </w:r>
          </w:p>
        </w:tc>
      </w:tr>
      <w:tr w:rsidR="009206F7" w:rsidRPr="006F2803" w14:paraId="5397121A" w14:textId="77777777" w:rsidTr="000046B0">
        <w:tc>
          <w:tcPr>
            <w:tcW w:w="1418" w:type="dxa"/>
          </w:tcPr>
          <w:p w14:paraId="706C94FA" w14:textId="0E55C790" w:rsidR="009206F7" w:rsidRPr="006F2803" w:rsidRDefault="009206F7" w:rsidP="009206F7">
            <w:pPr>
              <w:pStyle w:val="Tabletext"/>
              <w:jc w:val="center"/>
              <w:rPr>
                <w:rStyle w:val="Hyperlink"/>
              </w:rPr>
            </w:pPr>
            <w:hyperlink r:id="rId29" w:history="1">
              <w:r w:rsidRPr="006F2803">
                <w:rPr>
                  <w:rStyle w:val="Hyperlink"/>
                </w:rPr>
                <w:t>C26/29</w:t>
              </w:r>
            </w:hyperlink>
          </w:p>
        </w:tc>
        <w:tc>
          <w:tcPr>
            <w:tcW w:w="8213" w:type="dxa"/>
            <w:tcBorders>
              <w:top w:val="single" w:sz="4" w:space="0" w:color="808080"/>
            </w:tcBorders>
          </w:tcPr>
          <w:p w14:paraId="109C3482" w14:textId="1D55CB12" w:rsidR="009206F7" w:rsidRPr="006F2803" w:rsidRDefault="009206F7" w:rsidP="009206F7">
            <w:pPr>
              <w:pStyle w:val="Tabletext"/>
            </w:pPr>
            <w:r w:rsidRPr="006F2803">
              <w:t xml:space="preserve">Rapport sur la Résolution 214 (Rév. Bucarest, 2022) de la Conférence de plénipotentiaires </w:t>
            </w:r>
            <w:r w:rsidR="006B4AC8" w:rsidRPr="006F2803">
              <w:t>–</w:t>
            </w:r>
            <w:r w:rsidRPr="006F2803">
              <w:t xml:space="preserve"> Technologies d'intelligence artificielle et télécommunications/technologies de l'information et de la communication</w:t>
            </w:r>
          </w:p>
        </w:tc>
      </w:tr>
      <w:tr w:rsidR="009206F7" w:rsidRPr="006F2803" w14:paraId="3EB6B77E" w14:textId="77777777" w:rsidTr="000046B0">
        <w:tc>
          <w:tcPr>
            <w:tcW w:w="1418" w:type="dxa"/>
          </w:tcPr>
          <w:p w14:paraId="659E5618" w14:textId="03C74255" w:rsidR="009206F7" w:rsidRPr="006F2803" w:rsidRDefault="009206F7" w:rsidP="009206F7">
            <w:pPr>
              <w:pStyle w:val="Tabletext"/>
              <w:jc w:val="center"/>
              <w:rPr>
                <w:rStyle w:val="Hyperlink"/>
              </w:rPr>
            </w:pPr>
            <w:hyperlink r:id="rId30" w:history="1">
              <w:r w:rsidRPr="006F2803">
                <w:rPr>
                  <w:rStyle w:val="Hyperlink"/>
                </w:rPr>
                <w:t>C26/68</w:t>
              </w:r>
            </w:hyperlink>
          </w:p>
        </w:tc>
        <w:tc>
          <w:tcPr>
            <w:tcW w:w="8213" w:type="dxa"/>
            <w:tcBorders>
              <w:top w:val="single" w:sz="4" w:space="0" w:color="808080"/>
            </w:tcBorders>
          </w:tcPr>
          <w:p w14:paraId="0659D115" w14:textId="77777777" w:rsidR="009206F7" w:rsidRPr="006F2803" w:rsidRDefault="009206F7" w:rsidP="009206F7">
            <w:pPr>
              <w:pStyle w:val="Tabletext"/>
            </w:pPr>
            <w:r w:rsidRPr="006F2803">
              <w:t>Renseignements actualisés sur la suite donnée à la Résolution 1408 du Conseil de l'UIT sur l'assistance et appui à l'Ukraine pour la reconstruction de son secteur des télécommunications</w:t>
            </w:r>
          </w:p>
        </w:tc>
      </w:tr>
      <w:tr w:rsidR="009206F7" w:rsidRPr="006F2803" w14:paraId="63A41A97" w14:textId="77777777" w:rsidTr="000046B0">
        <w:tc>
          <w:tcPr>
            <w:tcW w:w="1418" w:type="dxa"/>
          </w:tcPr>
          <w:p w14:paraId="02AA44B4" w14:textId="5960CAFE" w:rsidR="009206F7" w:rsidRPr="006F2803" w:rsidRDefault="009206F7" w:rsidP="009206F7">
            <w:pPr>
              <w:pStyle w:val="Tabletext"/>
              <w:jc w:val="center"/>
              <w:rPr>
                <w:rStyle w:val="Hyperlink"/>
              </w:rPr>
            </w:pPr>
            <w:hyperlink r:id="rId31" w:history="1">
              <w:r w:rsidRPr="006F2803">
                <w:rPr>
                  <w:rStyle w:val="Hyperlink"/>
                </w:rPr>
                <w:t>C26/69</w:t>
              </w:r>
            </w:hyperlink>
          </w:p>
        </w:tc>
        <w:tc>
          <w:tcPr>
            <w:tcW w:w="8213" w:type="dxa"/>
            <w:tcBorders>
              <w:top w:val="single" w:sz="4" w:space="0" w:color="808080"/>
            </w:tcBorders>
          </w:tcPr>
          <w:p w14:paraId="591A5E64" w14:textId="715854F4" w:rsidR="009206F7" w:rsidRPr="006F2803" w:rsidRDefault="009206F7" w:rsidP="009206F7">
            <w:pPr>
              <w:pStyle w:val="Tabletext"/>
            </w:pPr>
            <w:r w:rsidRPr="006F2803">
              <w:t>Rapport d'activité sur l'assistance et l'appui à la Palestine</w:t>
            </w:r>
          </w:p>
        </w:tc>
      </w:tr>
      <w:tr w:rsidR="009206F7" w:rsidRPr="006F2803" w14:paraId="3A4BEF33" w14:textId="77777777" w:rsidTr="000046B0">
        <w:tc>
          <w:tcPr>
            <w:tcW w:w="1418" w:type="dxa"/>
          </w:tcPr>
          <w:p w14:paraId="299CF1CB" w14:textId="5DEB994D" w:rsidR="009206F7" w:rsidRPr="006F2803" w:rsidRDefault="009206F7" w:rsidP="009206F7">
            <w:pPr>
              <w:pStyle w:val="Tabletext"/>
              <w:jc w:val="center"/>
              <w:rPr>
                <w:rStyle w:val="Hyperlink"/>
              </w:rPr>
            </w:pPr>
            <w:hyperlink r:id="rId32" w:history="1">
              <w:r w:rsidRPr="006F2803">
                <w:rPr>
                  <w:rStyle w:val="Hyperlink"/>
                </w:rPr>
                <w:t>C26/64</w:t>
              </w:r>
            </w:hyperlink>
          </w:p>
        </w:tc>
        <w:tc>
          <w:tcPr>
            <w:tcW w:w="8213" w:type="dxa"/>
            <w:tcBorders>
              <w:top w:val="single" w:sz="4" w:space="0" w:color="808080"/>
            </w:tcBorders>
          </w:tcPr>
          <w:p w14:paraId="04F4B18C" w14:textId="77777777" w:rsidR="009206F7" w:rsidRPr="006F2803" w:rsidRDefault="009206F7" w:rsidP="009206F7">
            <w:pPr>
              <w:pStyle w:val="Tabletext"/>
            </w:pPr>
            <w:r w:rsidRPr="006F2803">
              <w:t>Efforts visant à protéger les télécommunications humanitaires pendant les conflits et les catastrophes</w:t>
            </w:r>
          </w:p>
        </w:tc>
      </w:tr>
      <w:tr w:rsidR="009206F7" w:rsidRPr="006F2803" w14:paraId="6F9B936E" w14:textId="77777777" w:rsidTr="000046B0">
        <w:tc>
          <w:tcPr>
            <w:tcW w:w="1418" w:type="dxa"/>
          </w:tcPr>
          <w:p w14:paraId="0E2438DE" w14:textId="2056E0FB" w:rsidR="009206F7" w:rsidRPr="006F2803" w:rsidRDefault="009206F7" w:rsidP="009206F7">
            <w:pPr>
              <w:pStyle w:val="Tabletext"/>
              <w:jc w:val="center"/>
              <w:rPr>
                <w:rStyle w:val="Hyperlink"/>
              </w:rPr>
            </w:pPr>
            <w:hyperlink r:id="rId33" w:history="1">
              <w:r w:rsidRPr="006F2803">
                <w:rPr>
                  <w:rStyle w:val="Hyperlink"/>
                </w:rPr>
                <w:t>C26/74</w:t>
              </w:r>
            </w:hyperlink>
          </w:p>
        </w:tc>
        <w:tc>
          <w:tcPr>
            <w:tcW w:w="8213" w:type="dxa"/>
            <w:tcBorders>
              <w:top w:val="single" w:sz="4" w:space="0" w:color="808080"/>
            </w:tcBorders>
          </w:tcPr>
          <w:p w14:paraId="1EA65F1D" w14:textId="4737AD3A" w:rsidR="009206F7" w:rsidRPr="006F2803" w:rsidRDefault="009206F7" w:rsidP="009206F7">
            <w:pPr>
              <w:pStyle w:val="Tabletext"/>
            </w:pPr>
            <w:r w:rsidRPr="006F2803">
              <w:t>Rapport sur la mise en œuvre de la Résolution 30 (Rév. Bucarest, 2022) de la</w:t>
            </w:r>
            <w:r w:rsidR="00270D56" w:rsidRPr="006F2803">
              <w:t> </w:t>
            </w:r>
            <w:r w:rsidRPr="006F2803">
              <w:t>Conférence</w:t>
            </w:r>
            <w:r w:rsidR="00270D56" w:rsidRPr="006F2803">
              <w:t> </w:t>
            </w:r>
            <w:r w:rsidRPr="006F2803">
              <w:t>de plénipotentiaires sur les mesures spéciales en faveur des pays les moins</w:t>
            </w:r>
            <w:r w:rsidR="00E71111" w:rsidRPr="006F2803">
              <w:t> </w:t>
            </w:r>
            <w:r w:rsidRPr="006F2803">
              <w:t>avancés (PMA), des petits États insulaires en développement (PEID), des pays en développement sans littoral (PDSL) et des pays dont l'économie est en transition pour</w:t>
            </w:r>
            <w:r w:rsidR="00E71111" w:rsidRPr="006F2803">
              <w:t> </w:t>
            </w:r>
            <w:r w:rsidRPr="006F2803">
              <w:t>2025</w:t>
            </w:r>
          </w:p>
        </w:tc>
      </w:tr>
      <w:tr w:rsidR="009206F7" w:rsidRPr="006F2803" w14:paraId="5203BA7E" w14:textId="77777777" w:rsidTr="000046B0">
        <w:tc>
          <w:tcPr>
            <w:tcW w:w="1418" w:type="dxa"/>
          </w:tcPr>
          <w:p w14:paraId="3E73D022" w14:textId="77777777" w:rsidR="009206F7" w:rsidRPr="006F2803" w:rsidRDefault="009206F7" w:rsidP="009206F7">
            <w:pPr>
              <w:pStyle w:val="Tabletext"/>
              <w:jc w:val="center"/>
            </w:pPr>
          </w:p>
        </w:tc>
        <w:tc>
          <w:tcPr>
            <w:tcW w:w="8213" w:type="dxa"/>
            <w:tcBorders>
              <w:top w:val="single" w:sz="4" w:space="0" w:color="808080"/>
            </w:tcBorders>
          </w:tcPr>
          <w:p w14:paraId="7C0474DA" w14:textId="77777777" w:rsidR="009206F7" w:rsidRPr="006F2803" w:rsidRDefault="009206F7" w:rsidP="009206F7">
            <w:pPr>
              <w:pStyle w:val="Tabletext"/>
            </w:pPr>
            <w:r w:rsidRPr="006F2803">
              <w:t>Résilience des câbles sous-marins</w:t>
            </w:r>
          </w:p>
        </w:tc>
      </w:tr>
      <w:tr w:rsidR="009206F7" w:rsidRPr="006F2803" w14:paraId="0B2E902D" w14:textId="77777777" w:rsidTr="000046B0">
        <w:tc>
          <w:tcPr>
            <w:tcW w:w="1418" w:type="dxa"/>
          </w:tcPr>
          <w:p w14:paraId="741651CE" w14:textId="77777777" w:rsidR="009206F7" w:rsidRPr="006F2803" w:rsidRDefault="009206F7" w:rsidP="009206F7">
            <w:pPr>
              <w:pStyle w:val="Tabletext"/>
              <w:jc w:val="center"/>
            </w:pPr>
          </w:p>
        </w:tc>
        <w:tc>
          <w:tcPr>
            <w:tcW w:w="8213" w:type="dxa"/>
            <w:tcBorders>
              <w:top w:val="single" w:sz="4" w:space="0" w:color="808080"/>
            </w:tcBorders>
          </w:tcPr>
          <w:p w14:paraId="174D4A78" w14:textId="77777777" w:rsidR="009206F7" w:rsidRPr="006F2803" w:rsidRDefault="009206F7" w:rsidP="009206F7">
            <w:pPr>
              <w:pStyle w:val="Tabletext"/>
            </w:pPr>
            <w:r w:rsidRPr="006F2803">
              <w:t>Rapport de la Commission permanente de l'administration et de la gestion</w:t>
            </w:r>
          </w:p>
        </w:tc>
      </w:tr>
      <w:tr w:rsidR="009206F7" w:rsidRPr="006F2803" w14:paraId="31AE5E85" w14:textId="77777777" w:rsidTr="000046B0">
        <w:tc>
          <w:tcPr>
            <w:tcW w:w="1418" w:type="dxa"/>
            <w:tcBorders>
              <w:top w:val="single" w:sz="4" w:space="0" w:color="808080"/>
              <w:bottom w:val="single" w:sz="4" w:space="0" w:color="808080"/>
              <w:right w:val="single" w:sz="4" w:space="0" w:color="auto"/>
            </w:tcBorders>
            <w:shd w:val="clear" w:color="auto" w:fill="D9D9D9"/>
          </w:tcPr>
          <w:p w14:paraId="145DB2C4" w14:textId="77777777" w:rsidR="009206F7" w:rsidRPr="006F2803" w:rsidRDefault="009206F7" w:rsidP="009206F7">
            <w:pPr>
              <w:pStyle w:val="Tabletext"/>
              <w:jc w:val="center"/>
              <w:rPr>
                <w:b/>
                <w:bCs/>
              </w:rPr>
            </w:pPr>
            <w:r w:rsidRPr="006F2803">
              <w:rPr>
                <w:b/>
                <w:bCs/>
              </w:rPr>
              <w:t>PL 3</w:t>
            </w:r>
          </w:p>
        </w:tc>
        <w:tc>
          <w:tcPr>
            <w:tcW w:w="8213" w:type="dxa"/>
            <w:tcBorders>
              <w:top w:val="single" w:sz="4" w:space="0" w:color="808080"/>
              <w:left w:val="single" w:sz="4" w:space="0" w:color="auto"/>
              <w:bottom w:val="single" w:sz="4" w:space="0" w:color="808080"/>
              <w:right w:val="single" w:sz="8" w:space="0" w:color="auto"/>
            </w:tcBorders>
            <w:shd w:val="clear" w:color="auto" w:fill="D9D9D9"/>
          </w:tcPr>
          <w:p w14:paraId="699FC751" w14:textId="77777777" w:rsidR="009206F7" w:rsidRPr="006F2803" w:rsidRDefault="009206F7" w:rsidP="009206F7">
            <w:pPr>
              <w:pStyle w:val="Tabletext"/>
              <w:rPr>
                <w:b/>
                <w:bCs/>
              </w:rPr>
            </w:pPr>
            <w:r w:rsidRPr="006F2803">
              <w:rPr>
                <w:b/>
                <w:bCs/>
              </w:rPr>
              <w:t>Amélioration de la gouvernance (questions relatives aux conférences statutaires, aux assemblées, au Conseil et aux Groupes de travail du Conseil de l'UIT, RRB)</w:t>
            </w:r>
          </w:p>
        </w:tc>
      </w:tr>
      <w:tr w:rsidR="009206F7" w:rsidRPr="006F2803" w14:paraId="0A9ED127" w14:textId="77777777" w:rsidTr="000046B0">
        <w:tc>
          <w:tcPr>
            <w:tcW w:w="1418" w:type="dxa"/>
            <w:tcBorders>
              <w:top w:val="single" w:sz="4" w:space="0" w:color="808080"/>
            </w:tcBorders>
          </w:tcPr>
          <w:p w14:paraId="096CE3F8" w14:textId="1210C9BB" w:rsidR="009206F7" w:rsidRPr="006F2803" w:rsidDel="00712592" w:rsidRDefault="009206F7" w:rsidP="009206F7">
            <w:pPr>
              <w:pStyle w:val="Tabletext"/>
              <w:jc w:val="center"/>
              <w:rPr>
                <w:rStyle w:val="Hyperlink"/>
              </w:rPr>
            </w:pPr>
            <w:hyperlink r:id="rId34" w:history="1">
              <w:r w:rsidRPr="006F2803">
                <w:rPr>
                  <w:rStyle w:val="Hyperlink"/>
                </w:rPr>
                <w:t>C26/30</w:t>
              </w:r>
            </w:hyperlink>
          </w:p>
        </w:tc>
        <w:tc>
          <w:tcPr>
            <w:tcW w:w="8213" w:type="dxa"/>
            <w:tcBorders>
              <w:top w:val="single" w:sz="4" w:space="0" w:color="808080"/>
            </w:tcBorders>
          </w:tcPr>
          <w:p w14:paraId="317257CB" w14:textId="77777777" w:rsidR="009206F7" w:rsidRPr="006F2803" w:rsidRDefault="009206F7" w:rsidP="009206F7">
            <w:pPr>
              <w:pStyle w:val="Tabletext"/>
            </w:pPr>
            <w:r w:rsidRPr="006F2803">
              <w:t>Rapport sur la Conférence mondiale de développement des télécommunications de 2025 (CMDT-25)</w:t>
            </w:r>
          </w:p>
        </w:tc>
      </w:tr>
      <w:tr w:rsidR="009206F7" w:rsidRPr="006F2803" w14:paraId="26F644C3" w14:textId="77777777" w:rsidTr="000046B0">
        <w:tc>
          <w:tcPr>
            <w:tcW w:w="1418" w:type="dxa"/>
            <w:tcBorders>
              <w:top w:val="single" w:sz="4" w:space="0" w:color="808080"/>
            </w:tcBorders>
          </w:tcPr>
          <w:p w14:paraId="09CA86CF" w14:textId="7829C187" w:rsidR="009206F7" w:rsidRPr="006F2803" w:rsidDel="00712592" w:rsidRDefault="009206F7" w:rsidP="009206F7">
            <w:pPr>
              <w:pStyle w:val="Tabletext"/>
              <w:jc w:val="center"/>
              <w:rPr>
                <w:rStyle w:val="Hyperlink"/>
              </w:rPr>
            </w:pPr>
            <w:hyperlink r:id="rId35" w:history="1">
              <w:r w:rsidRPr="006F2803">
                <w:rPr>
                  <w:rStyle w:val="Hyperlink"/>
                </w:rPr>
                <w:t>C26/5</w:t>
              </w:r>
            </w:hyperlink>
          </w:p>
        </w:tc>
        <w:tc>
          <w:tcPr>
            <w:tcW w:w="8213" w:type="dxa"/>
            <w:tcBorders>
              <w:top w:val="single" w:sz="4" w:space="0" w:color="808080"/>
            </w:tcBorders>
          </w:tcPr>
          <w:p w14:paraId="39A26B2C" w14:textId="77777777" w:rsidR="009206F7" w:rsidRPr="006F2803" w:rsidRDefault="009206F7" w:rsidP="009206F7">
            <w:pPr>
              <w:pStyle w:val="Tabletext"/>
            </w:pPr>
            <w:r w:rsidRPr="006F2803">
              <w:t>Travaux préparatoires en vue du Forum mondial des politiques de télécommunication/TIC de 2026 (FMPT-26)</w:t>
            </w:r>
          </w:p>
        </w:tc>
      </w:tr>
      <w:tr w:rsidR="009206F7" w:rsidRPr="006F2803" w14:paraId="770C3713" w14:textId="77777777" w:rsidTr="000046B0">
        <w:tc>
          <w:tcPr>
            <w:tcW w:w="1418" w:type="dxa"/>
            <w:tcBorders>
              <w:top w:val="single" w:sz="4" w:space="0" w:color="808080"/>
            </w:tcBorders>
          </w:tcPr>
          <w:p w14:paraId="50B8B525" w14:textId="07206241" w:rsidR="009206F7" w:rsidRPr="006F2803" w:rsidDel="00712592" w:rsidRDefault="009206F7" w:rsidP="009206F7">
            <w:pPr>
              <w:pStyle w:val="Tabletext"/>
              <w:jc w:val="center"/>
              <w:rPr>
                <w:rStyle w:val="Hyperlink"/>
              </w:rPr>
            </w:pPr>
            <w:hyperlink r:id="rId36" w:history="1">
              <w:r w:rsidRPr="006F2803">
                <w:rPr>
                  <w:rStyle w:val="Hyperlink"/>
                </w:rPr>
                <w:t>C26/4</w:t>
              </w:r>
            </w:hyperlink>
          </w:p>
        </w:tc>
        <w:tc>
          <w:tcPr>
            <w:tcW w:w="8213" w:type="dxa"/>
            <w:tcBorders>
              <w:top w:val="single" w:sz="4" w:space="0" w:color="808080"/>
            </w:tcBorders>
          </w:tcPr>
          <w:p w14:paraId="590A3125" w14:textId="77777777" w:rsidR="009206F7" w:rsidRPr="006F2803" w:rsidRDefault="009206F7" w:rsidP="009206F7">
            <w:pPr>
              <w:pStyle w:val="Tabletext"/>
            </w:pPr>
            <w:r w:rsidRPr="006F2803">
              <w:t>Travaux préparatoires en vue de la Conférence de plénipotentiaires de 2026 (PP-26)</w:t>
            </w:r>
          </w:p>
        </w:tc>
      </w:tr>
      <w:tr w:rsidR="009206F7" w:rsidRPr="006F2803" w14:paraId="552443B9" w14:textId="77777777" w:rsidTr="000046B0">
        <w:tc>
          <w:tcPr>
            <w:tcW w:w="1418" w:type="dxa"/>
          </w:tcPr>
          <w:p w14:paraId="2AA9BD8E" w14:textId="01FDDA73" w:rsidR="009206F7" w:rsidRPr="006F2803" w:rsidRDefault="009206F7" w:rsidP="009206F7">
            <w:pPr>
              <w:pStyle w:val="Tabletext"/>
              <w:jc w:val="center"/>
              <w:rPr>
                <w:rStyle w:val="Hyperlink"/>
              </w:rPr>
            </w:pPr>
            <w:hyperlink r:id="rId37" w:history="1">
              <w:r w:rsidRPr="006F2803">
                <w:rPr>
                  <w:rStyle w:val="Hyperlink"/>
                </w:rPr>
                <w:t>C26/6</w:t>
              </w:r>
            </w:hyperlink>
          </w:p>
        </w:tc>
        <w:tc>
          <w:tcPr>
            <w:tcW w:w="8213" w:type="dxa"/>
          </w:tcPr>
          <w:p w14:paraId="4CD9A88F" w14:textId="1FFC8103" w:rsidR="009206F7" w:rsidRPr="006F2803" w:rsidRDefault="009206F7" w:rsidP="009206F7">
            <w:pPr>
              <w:pStyle w:val="Tabletext"/>
            </w:pPr>
            <w:r w:rsidRPr="006F2803">
              <w:t>Travaux préparatoires en vue de l'Assemblée des radiocommunications (AR-27) et de la</w:t>
            </w:r>
            <w:r w:rsidR="00F82D4E" w:rsidRPr="006F2803">
              <w:t> </w:t>
            </w:r>
            <w:r w:rsidRPr="006F2803">
              <w:t>Conférence mondiale des radiocommunications de 2027 (CMR-27)</w:t>
            </w:r>
          </w:p>
        </w:tc>
      </w:tr>
      <w:tr w:rsidR="009206F7" w:rsidRPr="006F2803" w14:paraId="06B829E7" w14:textId="77777777" w:rsidTr="000046B0">
        <w:tc>
          <w:tcPr>
            <w:tcW w:w="1418" w:type="dxa"/>
          </w:tcPr>
          <w:p w14:paraId="6B46FEE0" w14:textId="2B1D2BC8" w:rsidR="009206F7" w:rsidRPr="006F2803" w:rsidRDefault="009206F7" w:rsidP="009206F7">
            <w:pPr>
              <w:pStyle w:val="Tabletext"/>
              <w:jc w:val="center"/>
              <w:rPr>
                <w:rStyle w:val="Hyperlink"/>
              </w:rPr>
            </w:pPr>
            <w:hyperlink r:id="rId38" w:history="1">
              <w:r w:rsidRPr="006F2803">
                <w:rPr>
                  <w:rStyle w:val="Hyperlink"/>
                </w:rPr>
                <w:t>C26/2</w:t>
              </w:r>
            </w:hyperlink>
          </w:p>
        </w:tc>
        <w:tc>
          <w:tcPr>
            <w:tcW w:w="8213" w:type="dxa"/>
          </w:tcPr>
          <w:p w14:paraId="1DACBC15" w14:textId="77777777" w:rsidR="009206F7" w:rsidRPr="006F2803" w:rsidRDefault="009206F7" w:rsidP="009206F7">
            <w:pPr>
              <w:pStyle w:val="Tabletext"/>
            </w:pPr>
            <w:r w:rsidRPr="006F2803">
              <w:t>Proposition de calendrier pour les sessions de 2027, 2028 et 2029 du Conseil et les séries de réunions des Groupes de travail du Conseil et des groupes d'experts pour la même période</w:t>
            </w:r>
          </w:p>
        </w:tc>
      </w:tr>
      <w:tr w:rsidR="009206F7" w:rsidRPr="006F2803" w14:paraId="01181A1C" w14:textId="77777777" w:rsidTr="000046B0">
        <w:tc>
          <w:tcPr>
            <w:tcW w:w="1418" w:type="dxa"/>
          </w:tcPr>
          <w:p w14:paraId="622C4634" w14:textId="4FD5494C" w:rsidR="009206F7" w:rsidRPr="006F2803" w:rsidRDefault="009206F7" w:rsidP="009206F7">
            <w:pPr>
              <w:pStyle w:val="Tabletext"/>
              <w:jc w:val="center"/>
              <w:rPr>
                <w:rStyle w:val="Hyperlink"/>
              </w:rPr>
            </w:pPr>
            <w:hyperlink r:id="rId39" w:history="1">
              <w:r w:rsidRPr="006F2803">
                <w:rPr>
                  <w:rStyle w:val="Hyperlink"/>
                </w:rPr>
                <w:t>C26/37</w:t>
              </w:r>
            </w:hyperlink>
          </w:p>
        </w:tc>
        <w:tc>
          <w:tcPr>
            <w:tcW w:w="8213" w:type="dxa"/>
          </w:tcPr>
          <w:p w14:paraId="578E1713" w14:textId="77777777" w:rsidR="009206F7" w:rsidRPr="006F2803" w:rsidRDefault="009206F7" w:rsidP="009206F7">
            <w:pPr>
              <w:pStyle w:val="Tabletext"/>
            </w:pPr>
            <w:r w:rsidRPr="006F2803">
              <w:t>Calendrier des conférences, assemblées et réunions futures de l'Union pour la période 2026-2029</w:t>
            </w:r>
          </w:p>
        </w:tc>
      </w:tr>
      <w:tr w:rsidR="009206F7" w:rsidRPr="006F2803" w14:paraId="022BAD46" w14:textId="77777777" w:rsidTr="000046B0">
        <w:tc>
          <w:tcPr>
            <w:tcW w:w="1418" w:type="dxa"/>
          </w:tcPr>
          <w:p w14:paraId="14AE4E5C" w14:textId="6B9B4E51" w:rsidR="009206F7" w:rsidRPr="006F2803" w:rsidRDefault="009206F7" w:rsidP="009206F7">
            <w:pPr>
              <w:pStyle w:val="Tabletext"/>
              <w:jc w:val="center"/>
              <w:rPr>
                <w:rStyle w:val="Hyperlink"/>
              </w:rPr>
            </w:pPr>
            <w:hyperlink r:id="rId40" w:history="1">
              <w:r w:rsidRPr="006F2803">
                <w:rPr>
                  <w:rStyle w:val="Hyperlink"/>
                </w:rPr>
                <w:t>C26/3</w:t>
              </w:r>
            </w:hyperlink>
          </w:p>
        </w:tc>
        <w:tc>
          <w:tcPr>
            <w:tcW w:w="8213" w:type="dxa"/>
          </w:tcPr>
          <w:p w14:paraId="7E00DD03" w14:textId="77777777" w:rsidR="009206F7" w:rsidRPr="006F2803" w:rsidRDefault="009206F7" w:rsidP="009206F7">
            <w:pPr>
              <w:pStyle w:val="Tabletext"/>
            </w:pPr>
            <w:r w:rsidRPr="006F2803">
              <w:t>Résolutions et Décisions du Conseil devenues caduques (</w:t>
            </w:r>
            <w:r w:rsidRPr="006F2803">
              <w:rPr>
                <w:i/>
                <w:iCs/>
              </w:rPr>
              <w:t>dernière séance</w:t>
            </w:r>
            <w:r w:rsidRPr="006F2803">
              <w:t>)</w:t>
            </w:r>
          </w:p>
        </w:tc>
      </w:tr>
      <w:tr w:rsidR="009206F7" w:rsidRPr="006F2803" w14:paraId="12186641" w14:textId="77777777" w:rsidTr="000046B0">
        <w:tc>
          <w:tcPr>
            <w:tcW w:w="1418" w:type="dxa"/>
            <w:tcBorders>
              <w:top w:val="single" w:sz="4" w:space="0" w:color="808080"/>
              <w:bottom w:val="single" w:sz="4" w:space="0" w:color="808080"/>
              <w:right w:val="single" w:sz="4" w:space="0" w:color="auto"/>
            </w:tcBorders>
            <w:shd w:val="clear" w:color="auto" w:fill="D9D9D9"/>
          </w:tcPr>
          <w:p w14:paraId="60A304F5" w14:textId="77777777" w:rsidR="009206F7" w:rsidRPr="006F2803" w:rsidRDefault="009206F7" w:rsidP="009206F7">
            <w:pPr>
              <w:pStyle w:val="Tabletext"/>
              <w:jc w:val="center"/>
              <w:rPr>
                <w:b/>
                <w:bCs/>
              </w:rPr>
            </w:pPr>
            <w:r w:rsidRPr="006F2803">
              <w:rPr>
                <w:b/>
                <w:bCs/>
              </w:rPr>
              <w:t>ADM 1</w:t>
            </w:r>
          </w:p>
        </w:tc>
        <w:tc>
          <w:tcPr>
            <w:tcW w:w="8213" w:type="dxa"/>
            <w:tcBorders>
              <w:top w:val="single" w:sz="4" w:space="0" w:color="808080"/>
              <w:left w:val="single" w:sz="4" w:space="0" w:color="auto"/>
              <w:bottom w:val="single" w:sz="4" w:space="0" w:color="808080"/>
              <w:right w:val="single" w:sz="8" w:space="0" w:color="auto"/>
            </w:tcBorders>
            <w:shd w:val="clear" w:color="auto" w:fill="D9D9D9"/>
          </w:tcPr>
          <w:p w14:paraId="6902237D" w14:textId="77777777" w:rsidR="009206F7" w:rsidRPr="006F2803" w:rsidRDefault="009206F7" w:rsidP="009206F7">
            <w:pPr>
              <w:pStyle w:val="Tabletext"/>
              <w:rPr>
                <w:b/>
                <w:bCs/>
              </w:rPr>
            </w:pPr>
            <w:r w:rsidRPr="006F2803">
              <w:rPr>
                <w:b/>
                <w:bCs/>
              </w:rPr>
              <w:t>Renforcement de l'excellence dans l'organisation (Budget et finance)</w:t>
            </w:r>
          </w:p>
        </w:tc>
      </w:tr>
      <w:tr w:rsidR="009206F7" w:rsidRPr="006F2803" w14:paraId="7D696F35" w14:textId="77777777" w:rsidTr="000046B0">
        <w:tc>
          <w:tcPr>
            <w:tcW w:w="1418" w:type="dxa"/>
            <w:tcBorders>
              <w:top w:val="single" w:sz="4" w:space="0" w:color="808080"/>
            </w:tcBorders>
          </w:tcPr>
          <w:p w14:paraId="4D17780C" w14:textId="63F3BB6D" w:rsidR="009206F7" w:rsidRPr="006F2803" w:rsidRDefault="009206F7" w:rsidP="009206F7">
            <w:pPr>
              <w:pStyle w:val="Tabletext"/>
              <w:jc w:val="center"/>
              <w:rPr>
                <w:rStyle w:val="Hyperlink"/>
              </w:rPr>
            </w:pPr>
            <w:hyperlink r:id="rId41" w:history="1">
              <w:r w:rsidRPr="006F2803">
                <w:rPr>
                  <w:rStyle w:val="Hyperlink"/>
                </w:rPr>
                <w:t>C26/50</w:t>
              </w:r>
            </w:hyperlink>
          </w:p>
        </w:tc>
        <w:tc>
          <w:tcPr>
            <w:tcW w:w="8213" w:type="dxa"/>
            <w:tcBorders>
              <w:top w:val="single" w:sz="4" w:space="0" w:color="808080"/>
            </w:tcBorders>
          </w:tcPr>
          <w:p w14:paraId="18653330" w14:textId="77777777" w:rsidR="009206F7" w:rsidRPr="006F2803" w:rsidRDefault="009206F7" w:rsidP="009206F7">
            <w:pPr>
              <w:pStyle w:val="Tabletext"/>
            </w:pPr>
            <w:r w:rsidRPr="006F2803">
              <w:t>Rapport de la Présidente du Groupe de travail du Conseil sur les ressources financières et les ressources humaines (GTC-FHR)</w:t>
            </w:r>
          </w:p>
        </w:tc>
      </w:tr>
      <w:tr w:rsidR="009206F7" w:rsidRPr="006F2803" w14:paraId="208CAFD6" w14:textId="77777777" w:rsidTr="000046B0">
        <w:tc>
          <w:tcPr>
            <w:tcW w:w="1418" w:type="dxa"/>
            <w:tcBorders>
              <w:top w:val="single" w:sz="4" w:space="0" w:color="808080"/>
            </w:tcBorders>
          </w:tcPr>
          <w:p w14:paraId="50DC3BFD" w14:textId="2FDEDF33" w:rsidR="009206F7" w:rsidRPr="006F2803" w:rsidRDefault="009206F7" w:rsidP="009206F7">
            <w:pPr>
              <w:pStyle w:val="Tabletext"/>
              <w:jc w:val="center"/>
              <w:rPr>
                <w:rStyle w:val="Hyperlink"/>
              </w:rPr>
            </w:pPr>
            <w:hyperlink r:id="rId42" w:history="1">
              <w:r w:rsidRPr="006F2803">
                <w:rPr>
                  <w:rStyle w:val="Hyperlink"/>
                </w:rPr>
                <w:t>C26/53</w:t>
              </w:r>
            </w:hyperlink>
          </w:p>
        </w:tc>
        <w:tc>
          <w:tcPr>
            <w:tcW w:w="8213" w:type="dxa"/>
            <w:tcBorders>
              <w:top w:val="single" w:sz="4" w:space="0" w:color="808080"/>
            </w:tcBorders>
          </w:tcPr>
          <w:p w14:paraId="2BF63CF1" w14:textId="77777777" w:rsidR="009206F7" w:rsidRPr="006F2803" w:rsidRDefault="009206F7" w:rsidP="009206F7">
            <w:pPr>
              <w:pStyle w:val="Tabletext"/>
            </w:pPr>
            <w:r w:rsidRPr="006F2803">
              <w:t>Rapport quadriennal du GTC-FHR</w:t>
            </w:r>
          </w:p>
        </w:tc>
      </w:tr>
      <w:tr w:rsidR="009206F7" w:rsidRPr="006F2803" w14:paraId="503167A1" w14:textId="77777777" w:rsidTr="000046B0">
        <w:tc>
          <w:tcPr>
            <w:tcW w:w="1418" w:type="dxa"/>
            <w:tcBorders>
              <w:top w:val="single" w:sz="4" w:space="0" w:color="808080"/>
            </w:tcBorders>
          </w:tcPr>
          <w:p w14:paraId="504266C1" w14:textId="395BCD99" w:rsidR="009206F7" w:rsidRPr="006F2803" w:rsidRDefault="009206F7" w:rsidP="009206F7">
            <w:pPr>
              <w:pStyle w:val="Tabletext"/>
              <w:jc w:val="center"/>
              <w:rPr>
                <w:rStyle w:val="Hyperlink"/>
              </w:rPr>
            </w:pPr>
            <w:hyperlink r:id="rId43" w:history="1">
              <w:r w:rsidRPr="006F2803">
                <w:rPr>
                  <w:rStyle w:val="Hyperlink"/>
                </w:rPr>
                <w:t>C26/43</w:t>
              </w:r>
            </w:hyperlink>
          </w:p>
        </w:tc>
        <w:tc>
          <w:tcPr>
            <w:tcW w:w="8213" w:type="dxa"/>
            <w:tcBorders>
              <w:top w:val="single" w:sz="4" w:space="0" w:color="808080"/>
            </w:tcBorders>
          </w:tcPr>
          <w:p w14:paraId="1E6CD4EE" w14:textId="77777777" w:rsidR="009206F7" w:rsidRPr="006F2803" w:rsidRDefault="009206F7" w:rsidP="009206F7">
            <w:pPr>
              <w:pStyle w:val="Tabletext"/>
            </w:pPr>
            <w:r w:rsidRPr="006F2803">
              <w:t>Incidences budgétaires annuelles de la suite donnée aux Résolutions de la CMDT-25</w:t>
            </w:r>
          </w:p>
        </w:tc>
      </w:tr>
      <w:tr w:rsidR="009206F7" w:rsidRPr="006F2803" w14:paraId="6F1F74B2" w14:textId="77777777" w:rsidTr="000046B0">
        <w:tc>
          <w:tcPr>
            <w:tcW w:w="1418" w:type="dxa"/>
            <w:tcBorders>
              <w:top w:val="single" w:sz="4" w:space="0" w:color="808080"/>
            </w:tcBorders>
          </w:tcPr>
          <w:p w14:paraId="12617C09" w14:textId="71E01C9D" w:rsidR="009206F7" w:rsidRPr="006F2803" w:rsidRDefault="009206F7" w:rsidP="009206F7">
            <w:pPr>
              <w:pStyle w:val="Tabletext"/>
              <w:jc w:val="center"/>
              <w:rPr>
                <w:rStyle w:val="Hyperlink"/>
              </w:rPr>
            </w:pPr>
            <w:hyperlink r:id="rId44" w:history="1">
              <w:r w:rsidRPr="006F2803">
                <w:rPr>
                  <w:rStyle w:val="Hyperlink"/>
                </w:rPr>
                <w:t>C26/9</w:t>
              </w:r>
            </w:hyperlink>
          </w:p>
        </w:tc>
        <w:tc>
          <w:tcPr>
            <w:tcW w:w="8213" w:type="dxa"/>
            <w:tcBorders>
              <w:top w:val="single" w:sz="4" w:space="0" w:color="808080"/>
            </w:tcBorders>
          </w:tcPr>
          <w:p w14:paraId="40E01201" w14:textId="5799C6FC" w:rsidR="009206F7" w:rsidRPr="006F2803" w:rsidRDefault="009206F7" w:rsidP="009206F7">
            <w:pPr>
              <w:pStyle w:val="Tabletext"/>
            </w:pPr>
            <w:r w:rsidRPr="006F2803">
              <w:t>Examen annuel des produits et des charges dans le cadre de la mise en œuvre du budget</w:t>
            </w:r>
            <w:r w:rsidR="00E94420" w:rsidRPr="006F2803">
              <w:t> </w:t>
            </w:r>
            <w:r w:rsidRPr="006F2803">
              <w:t>2026, y compris la réduction globale du budget pour la période 2026-2027</w:t>
            </w:r>
          </w:p>
        </w:tc>
      </w:tr>
      <w:tr w:rsidR="009206F7" w:rsidRPr="006F2803" w14:paraId="4C14844B" w14:textId="77777777" w:rsidTr="000046B0">
        <w:tc>
          <w:tcPr>
            <w:tcW w:w="1418" w:type="dxa"/>
            <w:tcBorders>
              <w:top w:val="single" w:sz="4" w:space="0" w:color="808080"/>
            </w:tcBorders>
          </w:tcPr>
          <w:p w14:paraId="24CCC3AE" w14:textId="7E66C4B2" w:rsidR="009206F7" w:rsidRPr="006F2803" w:rsidRDefault="009206F7" w:rsidP="009206F7">
            <w:pPr>
              <w:pStyle w:val="Tabletext"/>
              <w:jc w:val="center"/>
              <w:rPr>
                <w:rStyle w:val="Hyperlink"/>
              </w:rPr>
            </w:pPr>
            <w:hyperlink r:id="rId45" w:history="1">
              <w:r w:rsidRPr="006F2803">
                <w:rPr>
                  <w:rStyle w:val="Hyperlink"/>
                </w:rPr>
                <w:t>C26/42</w:t>
              </w:r>
            </w:hyperlink>
          </w:p>
        </w:tc>
        <w:tc>
          <w:tcPr>
            <w:tcW w:w="8213" w:type="dxa"/>
            <w:tcBorders>
              <w:top w:val="single" w:sz="4" w:space="0" w:color="808080"/>
            </w:tcBorders>
          </w:tcPr>
          <w:p w14:paraId="5E7BBD28" w14:textId="77777777" w:rsidR="009206F7" w:rsidRPr="006F2803" w:rsidRDefault="009206F7" w:rsidP="009206F7">
            <w:pPr>
              <w:pStyle w:val="Tabletext"/>
            </w:pPr>
            <w:r w:rsidRPr="006F2803">
              <w:t>Affectation des économies réalisées en 2025</w:t>
            </w:r>
          </w:p>
        </w:tc>
      </w:tr>
      <w:tr w:rsidR="009206F7" w:rsidRPr="006F2803" w14:paraId="6D93325C" w14:textId="77777777" w:rsidTr="000046B0">
        <w:tc>
          <w:tcPr>
            <w:tcW w:w="1418" w:type="dxa"/>
            <w:tcBorders>
              <w:top w:val="single" w:sz="4" w:space="0" w:color="808080"/>
            </w:tcBorders>
          </w:tcPr>
          <w:p w14:paraId="4A240624" w14:textId="0391B092" w:rsidR="009206F7" w:rsidRPr="006F2803" w:rsidRDefault="009206F7" w:rsidP="009206F7">
            <w:pPr>
              <w:pStyle w:val="Tabletext"/>
              <w:jc w:val="center"/>
              <w:rPr>
                <w:rStyle w:val="Hyperlink"/>
              </w:rPr>
            </w:pPr>
            <w:hyperlink r:id="rId46" w:history="1">
              <w:r w:rsidRPr="006F2803">
                <w:rPr>
                  <w:rStyle w:val="Hyperlink"/>
                </w:rPr>
                <w:t>C26/47</w:t>
              </w:r>
            </w:hyperlink>
          </w:p>
        </w:tc>
        <w:tc>
          <w:tcPr>
            <w:tcW w:w="8213" w:type="dxa"/>
            <w:tcBorders>
              <w:top w:val="single" w:sz="4" w:space="0" w:color="808080"/>
            </w:tcBorders>
          </w:tcPr>
          <w:p w14:paraId="630C6533" w14:textId="77777777" w:rsidR="009206F7" w:rsidRPr="006F2803" w:rsidRDefault="009206F7" w:rsidP="009206F7">
            <w:pPr>
              <w:pStyle w:val="Tabletext"/>
            </w:pPr>
            <w:r w:rsidRPr="006F2803">
              <w:t>Unités contributives – Choix de la classe de contribution provisoire</w:t>
            </w:r>
          </w:p>
        </w:tc>
      </w:tr>
      <w:tr w:rsidR="009206F7" w:rsidRPr="006F2803" w14:paraId="6D7AE049" w14:textId="77777777" w:rsidTr="000046B0">
        <w:tc>
          <w:tcPr>
            <w:tcW w:w="1418" w:type="dxa"/>
            <w:tcBorders>
              <w:top w:val="single" w:sz="4" w:space="0" w:color="808080"/>
            </w:tcBorders>
          </w:tcPr>
          <w:p w14:paraId="42FFF5A6" w14:textId="1F4B267A" w:rsidR="009206F7" w:rsidRPr="006F2803" w:rsidRDefault="009206F7" w:rsidP="009206F7">
            <w:pPr>
              <w:pStyle w:val="Tabletext"/>
              <w:jc w:val="center"/>
              <w:rPr>
                <w:rStyle w:val="Hyperlink"/>
              </w:rPr>
            </w:pPr>
            <w:hyperlink r:id="rId47" w:history="1">
              <w:r w:rsidRPr="006F2803">
                <w:rPr>
                  <w:rStyle w:val="Hyperlink"/>
                </w:rPr>
                <w:t>C26/72</w:t>
              </w:r>
            </w:hyperlink>
          </w:p>
        </w:tc>
        <w:tc>
          <w:tcPr>
            <w:tcW w:w="8213" w:type="dxa"/>
            <w:tcBorders>
              <w:top w:val="single" w:sz="4" w:space="0" w:color="808080"/>
            </w:tcBorders>
          </w:tcPr>
          <w:p w14:paraId="707FAF74" w14:textId="76E57B75" w:rsidR="009206F7" w:rsidRPr="006F2803" w:rsidRDefault="009206F7" w:rsidP="009206F7">
            <w:pPr>
              <w:pStyle w:val="Tabletext"/>
            </w:pPr>
            <w:r w:rsidRPr="006F2803">
              <w:t xml:space="preserve">Unités contributives </w:t>
            </w:r>
            <w:r w:rsidR="00C15096" w:rsidRPr="006F2803">
              <w:t>–</w:t>
            </w:r>
            <w:r w:rsidRPr="006F2803">
              <w:t xml:space="preserve"> Méthode d'examen et de révision</w:t>
            </w:r>
          </w:p>
        </w:tc>
      </w:tr>
      <w:tr w:rsidR="009206F7" w:rsidRPr="006F2803" w14:paraId="1E9470FF" w14:textId="77777777" w:rsidTr="000046B0">
        <w:tc>
          <w:tcPr>
            <w:tcW w:w="1418" w:type="dxa"/>
            <w:tcBorders>
              <w:top w:val="single" w:sz="4" w:space="0" w:color="808080"/>
            </w:tcBorders>
          </w:tcPr>
          <w:p w14:paraId="1DFB4722" w14:textId="6B1DD983" w:rsidR="009206F7" w:rsidRPr="006F2803" w:rsidRDefault="009206F7" w:rsidP="009206F7">
            <w:pPr>
              <w:pStyle w:val="Tabletext"/>
              <w:jc w:val="center"/>
              <w:rPr>
                <w:rStyle w:val="Hyperlink"/>
              </w:rPr>
            </w:pPr>
            <w:hyperlink r:id="rId48" w:history="1">
              <w:r w:rsidRPr="006F2803">
                <w:rPr>
                  <w:rStyle w:val="Hyperlink"/>
                </w:rPr>
                <w:t>C26/54</w:t>
              </w:r>
            </w:hyperlink>
          </w:p>
        </w:tc>
        <w:tc>
          <w:tcPr>
            <w:tcW w:w="8213" w:type="dxa"/>
            <w:tcBorders>
              <w:top w:val="single" w:sz="4" w:space="0" w:color="808080"/>
            </w:tcBorders>
          </w:tcPr>
          <w:p w14:paraId="4BE4AB82" w14:textId="77777777" w:rsidR="009206F7" w:rsidRPr="006F2803" w:rsidRDefault="009206F7" w:rsidP="009206F7">
            <w:pPr>
              <w:pStyle w:val="Tabletext"/>
            </w:pPr>
            <w:r w:rsidRPr="006F2803">
              <w:t>Lettre de l'Équateur concernant sa contribution</w:t>
            </w:r>
          </w:p>
        </w:tc>
      </w:tr>
      <w:tr w:rsidR="009206F7" w:rsidRPr="006F2803" w14:paraId="588AEF9E" w14:textId="77777777" w:rsidTr="000046B0">
        <w:tc>
          <w:tcPr>
            <w:tcW w:w="1418" w:type="dxa"/>
            <w:tcBorders>
              <w:top w:val="single" w:sz="4" w:space="0" w:color="808080"/>
            </w:tcBorders>
          </w:tcPr>
          <w:p w14:paraId="3FBFA726" w14:textId="6226ABED" w:rsidR="009206F7" w:rsidRPr="006F2803" w:rsidRDefault="009206F7" w:rsidP="009206F7">
            <w:pPr>
              <w:pStyle w:val="Tabletext"/>
              <w:jc w:val="center"/>
              <w:rPr>
                <w:rStyle w:val="Hyperlink"/>
              </w:rPr>
            </w:pPr>
            <w:hyperlink r:id="rId49" w:history="1">
              <w:r w:rsidRPr="006F2803">
                <w:rPr>
                  <w:rStyle w:val="Hyperlink"/>
                </w:rPr>
                <w:t>C26/19</w:t>
              </w:r>
            </w:hyperlink>
          </w:p>
        </w:tc>
        <w:tc>
          <w:tcPr>
            <w:tcW w:w="8213" w:type="dxa"/>
            <w:tcBorders>
              <w:top w:val="single" w:sz="4" w:space="0" w:color="808080"/>
            </w:tcBorders>
          </w:tcPr>
          <w:p w14:paraId="367C45B5" w14:textId="77777777" w:rsidR="009206F7" w:rsidRPr="006F2803" w:rsidRDefault="009206F7" w:rsidP="009206F7">
            <w:pPr>
              <w:pStyle w:val="Tabletext"/>
            </w:pPr>
            <w:r w:rsidRPr="006F2803">
              <w:t>Fiches de notification de réseaux à satellite – Projet de méthode</w:t>
            </w:r>
          </w:p>
        </w:tc>
      </w:tr>
      <w:tr w:rsidR="009206F7" w:rsidRPr="006F2803" w14:paraId="69226792" w14:textId="77777777" w:rsidTr="000046B0">
        <w:tc>
          <w:tcPr>
            <w:tcW w:w="1418" w:type="dxa"/>
            <w:tcBorders>
              <w:top w:val="single" w:sz="4" w:space="0" w:color="808080"/>
            </w:tcBorders>
          </w:tcPr>
          <w:p w14:paraId="65176972" w14:textId="4001FF09" w:rsidR="009206F7" w:rsidRPr="006F2803" w:rsidRDefault="009206F7" w:rsidP="009206F7">
            <w:pPr>
              <w:pStyle w:val="Tabletext"/>
              <w:jc w:val="center"/>
              <w:rPr>
                <w:rStyle w:val="Hyperlink"/>
              </w:rPr>
            </w:pPr>
            <w:hyperlink r:id="rId50" w:history="1">
              <w:r w:rsidRPr="006F2803">
                <w:rPr>
                  <w:rStyle w:val="Hyperlink"/>
                </w:rPr>
                <w:t>C26/16</w:t>
              </w:r>
            </w:hyperlink>
          </w:p>
        </w:tc>
        <w:tc>
          <w:tcPr>
            <w:tcW w:w="8213" w:type="dxa"/>
            <w:tcBorders>
              <w:top w:val="single" w:sz="4" w:space="0" w:color="808080"/>
            </w:tcBorders>
          </w:tcPr>
          <w:p w14:paraId="4E352D94" w14:textId="518FEEF9" w:rsidR="009206F7" w:rsidRPr="006F2803" w:rsidRDefault="009206F7" w:rsidP="009206F7">
            <w:pPr>
              <w:pStyle w:val="Tabletext"/>
            </w:pPr>
            <w:r w:rsidRPr="006F2803">
              <w:t>Recouvrement des coûts pour le traitement des fiches de notification des réseaux à</w:t>
            </w:r>
            <w:r w:rsidR="001D1D4F" w:rsidRPr="006F2803">
              <w:t> </w:t>
            </w:r>
            <w:r w:rsidRPr="006F2803">
              <w:t>satellite</w:t>
            </w:r>
          </w:p>
        </w:tc>
      </w:tr>
      <w:tr w:rsidR="009206F7" w:rsidRPr="006F2803" w14:paraId="55CC597C" w14:textId="77777777" w:rsidTr="000046B0">
        <w:tc>
          <w:tcPr>
            <w:tcW w:w="1418" w:type="dxa"/>
            <w:tcBorders>
              <w:top w:val="single" w:sz="4" w:space="0" w:color="808080"/>
            </w:tcBorders>
          </w:tcPr>
          <w:p w14:paraId="67EC3FF3" w14:textId="0195D93E" w:rsidR="009206F7" w:rsidRPr="006F2803" w:rsidRDefault="009206F7" w:rsidP="009206F7">
            <w:pPr>
              <w:pStyle w:val="Tabletext"/>
              <w:jc w:val="center"/>
              <w:rPr>
                <w:rStyle w:val="Hyperlink"/>
              </w:rPr>
            </w:pPr>
            <w:hyperlink r:id="rId51" w:history="1">
              <w:r w:rsidRPr="006F2803">
                <w:rPr>
                  <w:rStyle w:val="Hyperlink"/>
                </w:rPr>
                <w:t>C26/11 (R</w:t>
              </w:r>
              <w:r w:rsidR="00E71111" w:rsidRPr="006F2803">
                <w:rPr>
                  <w:rStyle w:val="Hyperlink"/>
                </w:rPr>
                <w:t>é</w:t>
              </w:r>
              <w:r w:rsidRPr="006F2803">
                <w:rPr>
                  <w:rStyle w:val="Hyperlink"/>
                </w:rPr>
                <w:t>v.1)</w:t>
              </w:r>
            </w:hyperlink>
          </w:p>
        </w:tc>
        <w:tc>
          <w:tcPr>
            <w:tcW w:w="8213" w:type="dxa"/>
            <w:tcBorders>
              <w:top w:val="single" w:sz="4" w:space="0" w:color="808080"/>
            </w:tcBorders>
          </w:tcPr>
          <w:p w14:paraId="6D5E4D67" w14:textId="77777777" w:rsidR="009206F7" w:rsidRPr="006F2803" w:rsidRDefault="009206F7" w:rsidP="009206F7">
            <w:pPr>
              <w:pStyle w:val="Tabletext"/>
            </w:pPr>
            <w:r w:rsidRPr="006F2803">
              <w:t>Arriérés et comptes spéciaux d'arriérés</w:t>
            </w:r>
          </w:p>
        </w:tc>
      </w:tr>
      <w:tr w:rsidR="009206F7" w:rsidRPr="006F2803" w14:paraId="38039FA3" w14:textId="77777777" w:rsidTr="000046B0">
        <w:tc>
          <w:tcPr>
            <w:tcW w:w="1418" w:type="dxa"/>
            <w:tcBorders>
              <w:top w:val="single" w:sz="4" w:space="0" w:color="808080"/>
            </w:tcBorders>
          </w:tcPr>
          <w:p w14:paraId="1B91C7A3" w14:textId="77777777" w:rsidR="009206F7" w:rsidRPr="006F2803" w:rsidRDefault="009206F7" w:rsidP="009206F7">
            <w:pPr>
              <w:pStyle w:val="Tabletext"/>
              <w:jc w:val="center"/>
              <w:rPr>
                <w:rStyle w:val="Hyperlink"/>
              </w:rPr>
            </w:pPr>
            <w:hyperlink r:id="rId52" w:history="1">
              <w:r w:rsidRPr="006F2803">
                <w:rPr>
                  <w:rStyle w:val="Hyperlink"/>
                </w:rPr>
                <w:t>C26/73</w:t>
              </w:r>
            </w:hyperlink>
          </w:p>
        </w:tc>
        <w:tc>
          <w:tcPr>
            <w:tcW w:w="8213" w:type="dxa"/>
            <w:tcBorders>
              <w:top w:val="single" w:sz="4" w:space="0" w:color="808080"/>
            </w:tcBorders>
          </w:tcPr>
          <w:p w14:paraId="42A466AC" w14:textId="77777777" w:rsidR="009206F7" w:rsidRPr="006F2803" w:rsidRDefault="009206F7" w:rsidP="009206F7">
            <w:pPr>
              <w:pStyle w:val="Tabletext"/>
            </w:pPr>
            <w:r w:rsidRPr="006F2803">
              <w:t>Informations actualisées sur la mise en œuvre de la stratégie de mobilisation des ressources de l'UIT</w:t>
            </w:r>
          </w:p>
        </w:tc>
      </w:tr>
      <w:tr w:rsidR="009206F7" w:rsidRPr="006F2803" w14:paraId="5A6C138D" w14:textId="77777777" w:rsidTr="000046B0">
        <w:tc>
          <w:tcPr>
            <w:tcW w:w="1418" w:type="dxa"/>
            <w:tcBorders>
              <w:top w:val="single" w:sz="4" w:space="0" w:color="808080"/>
            </w:tcBorders>
          </w:tcPr>
          <w:p w14:paraId="7E10112B" w14:textId="0BB6DB19" w:rsidR="009206F7" w:rsidRPr="006F2803" w:rsidRDefault="009206F7" w:rsidP="009206F7">
            <w:pPr>
              <w:pStyle w:val="Tabletext"/>
              <w:jc w:val="center"/>
              <w:rPr>
                <w:rStyle w:val="Hyperlink"/>
              </w:rPr>
            </w:pPr>
            <w:hyperlink r:id="rId53" w:history="1">
              <w:r w:rsidRPr="006F2803">
                <w:rPr>
                  <w:rStyle w:val="Hyperlink"/>
                </w:rPr>
                <w:t>C26/38</w:t>
              </w:r>
            </w:hyperlink>
          </w:p>
        </w:tc>
        <w:tc>
          <w:tcPr>
            <w:tcW w:w="8213" w:type="dxa"/>
            <w:tcBorders>
              <w:top w:val="single" w:sz="4" w:space="0" w:color="808080"/>
            </w:tcBorders>
          </w:tcPr>
          <w:p w14:paraId="496FA079" w14:textId="52534872" w:rsidR="009206F7" w:rsidRPr="006F2803" w:rsidRDefault="009206F7" w:rsidP="009206F7">
            <w:pPr>
              <w:pStyle w:val="Tabletext"/>
            </w:pPr>
            <w:r w:rsidRPr="006F2803">
              <w:t>Rapport d'activité sur la mise en œuvre des Décisions 600 et 601 du Conseil (numéros</w:t>
            </w:r>
            <w:r w:rsidR="002C1C32" w:rsidRPr="006F2803">
              <w:t> </w:t>
            </w:r>
            <w:r w:rsidRPr="006F2803">
              <w:t>UIFN et IIN)</w:t>
            </w:r>
          </w:p>
        </w:tc>
      </w:tr>
      <w:tr w:rsidR="009206F7" w:rsidRPr="006F2803" w14:paraId="1E5AB05C" w14:textId="77777777" w:rsidTr="000046B0">
        <w:tc>
          <w:tcPr>
            <w:tcW w:w="1418" w:type="dxa"/>
            <w:tcBorders>
              <w:top w:val="single" w:sz="4" w:space="0" w:color="808080"/>
            </w:tcBorders>
          </w:tcPr>
          <w:p w14:paraId="7F370101" w14:textId="7FC7DEE6" w:rsidR="009206F7" w:rsidRPr="006F2803" w:rsidRDefault="009206F7" w:rsidP="009206F7">
            <w:pPr>
              <w:pStyle w:val="Tabletext"/>
              <w:jc w:val="center"/>
              <w:rPr>
                <w:rStyle w:val="Hyperlink"/>
              </w:rPr>
            </w:pPr>
            <w:hyperlink r:id="rId54" w:history="1">
              <w:r w:rsidRPr="006F2803">
                <w:rPr>
                  <w:rStyle w:val="Hyperlink"/>
                </w:rPr>
                <w:t>C26/34</w:t>
              </w:r>
            </w:hyperlink>
          </w:p>
        </w:tc>
        <w:tc>
          <w:tcPr>
            <w:tcW w:w="8213" w:type="dxa"/>
            <w:tcBorders>
              <w:top w:val="single" w:sz="4" w:space="0" w:color="808080"/>
            </w:tcBorders>
          </w:tcPr>
          <w:p w14:paraId="7C2E7C12" w14:textId="77777777" w:rsidR="009206F7" w:rsidRPr="006F2803" w:rsidRDefault="009206F7" w:rsidP="009206F7">
            <w:pPr>
              <w:pStyle w:val="Tabletext"/>
            </w:pPr>
            <w:r w:rsidRPr="006F2803">
              <w:t>Fonds pour le développement des technologies de l'information et de la communication (FDTIC)</w:t>
            </w:r>
          </w:p>
        </w:tc>
      </w:tr>
      <w:tr w:rsidR="009206F7" w:rsidRPr="006F2803" w14:paraId="669BA845" w14:textId="77777777" w:rsidTr="000046B0">
        <w:tc>
          <w:tcPr>
            <w:tcW w:w="1418" w:type="dxa"/>
            <w:tcBorders>
              <w:top w:val="single" w:sz="4" w:space="0" w:color="808080"/>
            </w:tcBorders>
          </w:tcPr>
          <w:p w14:paraId="182C699B" w14:textId="60B93434" w:rsidR="009206F7" w:rsidRPr="006F2803" w:rsidRDefault="009206F7" w:rsidP="009206F7">
            <w:pPr>
              <w:pStyle w:val="Tabletext"/>
              <w:jc w:val="center"/>
              <w:rPr>
                <w:rStyle w:val="Hyperlink"/>
              </w:rPr>
            </w:pPr>
            <w:hyperlink r:id="rId55" w:history="1">
              <w:r w:rsidRPr="006F2803">
                <w:rPr>
                  <w:rStyle w:val="Hyperlink"/>
                </w:rPr>
                <w:t>C26/46</w:t>
              </w:r>
            </w:hyperlink>
          </w:p>
        </w:tc>
        <w:tc>
          <w:tcPr>
            <w:tcW w:w="8213" w:type="dxa"/>
            <w:tcBorders>
              <w:top w:val="single" w:sz="4" w:space="0" w:color="808080"/>
            </w:tcBorders>
          </w:tcPr>
          <w:p w14:paraId="7ADC0AEA" w14:textId="77777777" w:rsidR="009206F7" w:rsidRPr="006F2803" w:rsidRDefault="009206F7" w:rsidP="009206F7">
            <w:pPr>
              <w:pStyle w:val="Tabletext"/>
            </w:pPr>
            <w:r w:rsidRPr="006F2803">
              <w:t>Passif lié à l'assurance maladie après la cessation de service (ASHI)</w:t>
            </w:r>
          </w:p>
        </w:tc>
      </w:tr>
      <w:tr w:rsidR="009206F7" w:rsidRPr="006F2803" w14:paraId="457C97F1" w14:textId="77777777" w:rsidTr="000046B0">
        <w:tc>
          <w:tcPr>
            <w:tcW w:w="1418" w:type="dxa"/>
            <w:tcBorders>
              <w:top w:val="single" w:sz="4" w:space="0" w:color="808080"/>
            </w:tcBorders>
          </w:tcPr>
          <w:p w14:paraId="7C93433E" w14:textId="7F69C559" w:rsidR="009206F7" w:rsidRPr="006F2803" w:rsidRDefault="009206F7" w:rsidP="009206F7">
            <w:pPr>
              <w:pStyle w:val="Tabletext"/>
              <w:jc w:val="center"/>
              <w:rPr>
                <w:rStyle w:val="Hyperlink"/>
              </w:rPr>
            </w:pPr>
            <w:hyperlink r:id="rId56" w:history="1">
              <w:r w:rsidRPr="006F2803">
                <w:rPr>
                  <w:rStyle w:val="Hyperlink"/>
                </w:rPr>
                <w:t>C26/56</w:t>
              </w:r>
            </w:hyperlink>
          </w:p>
        </w:tc>
        <w:tc>
          <w:tcPr>
            <w:tcW w:w="8213" w:type="dxa"/>
            <w:tcBorders>
              <w:top w:val="single" w:sz="4" w:space="0" w:color="808080"/>
            </w:tcBorders>
          </w:tcPr>
          <w:p w14:paraId="38879C1B" w14:textId="77777777" w:rsidR="009206F7" w:rsidRPr="006F2803" w:rsidRDefault="009206F7" w:rsidP="009206F7">
            <w:pPr>
              <w:pStyle w:val="Tabletext"/>
            </w:pPr>
            <w:r w:rsidRPr="006F2803">
              <w:t>Nouvelles demandes d'exonération du paiement de droits pour les organisations ayant un caractère international</w:t>
            </w:r>
          </w:p>
        </w:tc>
      </w:tr>
      <w:tr w:rsidR="009206F7" w:rsidRPr="006F2803" w14:paraId="6C4214DF" w14:textId="77777777" w:rsidTr="000046B0">
        <w:tc>
          <w:tcPr>
            <w:tcW w:w="1418" w:type="dxa"/>
            <w:tcBorders>
              <w:top w:val="single" w:sz="4" w:space="0" w:color="808080"/>
            </w:tcBorders>
          </w:tcPr>
          <w:p w14:paraId="57DDD41D" w14:textId="696CE945" w:rsidR="009206F7" w:rsidRPr="006F2803" w:rsidRDefault="009206F7" w:rsidP="009206F7">
            <w:pPr>
              <w:pStyle w:val="Tabletext"/>
              <w:jc w:val="center"/>
              <w:rPr>
                <w:rStyle w:val="Hyperlink"/>
              </w:rPr>
            </w:pPr>
            <w:hyperlink r:id="rId57" w:history="1">
              <w:r w:rsidRPr="006F2803">
                <w:rPr>
                  <w:rStyle w:val="Hyperlink"/>
                </w:rPr>
                <w:t>C26/20</w:t>
              </w:r>
            </w:hyperlink>
          </w:p>
        </w:tc>
        <w:tc>
          <w:tcPr>
            <w:tcW w:w="8213" w:type="dxa"/>
            <w:tcBorders>
              <w:top w:val="single" w:sz="4" w:space="0" w:color="808080"/>
            </w:tcBorders>
          </w:tcPr>
          <w:p w14:paraId="741F3506" w14:textId="77777777" w:rsidR="009206F7" w:rsidRPr="006F2803" w:rsidRDefault="009206F7" w:rsidP="009206F7">
            <w:pPr>
              <w:pStyle w:val="Tabletext"/>
            </w:pPr>
            <w:r w:rsidRPr="006F2803">
              <w:t>Participation provisoire des entités s'occupant de questions de télécommunication aux activités de l'UIT</w:t>
            </w:r>
          </w:p>
        </w:tc>
      </w:tr>
      <w:tr w:rsidR="009206F7" w:rsidRPr="006F2803" w14:paraId="01640E4E" w14:textId="77777777" w:rsidTr="000046B0">
        <w:tc>
          <w:tcPr>
            <w:tcW w:w="1418" w:type="dxa"/>
            <w:tcBorders>
              <w:top w:val="single" w:sz="4" w:space="0" w:color="808080"/>
              <w:bottom w:val="single" w:sz="4" w:space="0" w:color="808080"/>
              <w:right w:val="single" w:sz="4" w:space="0" w:color="auto"/>
            </w:tcBorders>
            <w:shd w:val="clear" w:color="auto" w:fill="D9D9D9"/>
          </w:tcPr>
          <w:p w14:paraId="3E27AC38" w14:textId="77777777" w:rsidR="009206F7" w:rsidRPr="006F2803" w:rsidRDefault="009206F7" w:rsidP="009206F7">
            <w:pPr>
              <w:pStyle w:val="Tabletext"/>
              <w:jc w:val="center"/>
              <w:rPr>
                <w:b/>
                <w:bCs/>
              </w:rPr>
            </w:pPr>
            <w:r w:rsidRPr="006F2803">
              <w:rPr>
                <w:b/>
                <w:bCs/>
              </w:rPr>
              <w:t>ADM 2</w:t>
            </w:r>
          </w:p>
        </w:tc>
        <w:tc>
          <w:tcPr>
            <w:tcW w:w="8213" w:type="dxa"/>
            <w:tcBorders>
              <w:top w:val="single" w:sz="4" w:space="0" w:color="808080"/>
              <w:left w:val="single" w:sz="4" w:space="0" w:color="auto"/>
              <w:bottom w:val="single" w:sz="4" w:space="0" w:color="808080"/>
              <w:right w:val="single" w:sz="8" w:space="0" w:color="auto"/>
            </w:tcBorders>
            <w:shd w:val="clear" w:color="auto" w:fill="D9D9D9"/>
          </w:tcPr>
          <w:p w14:paraId="1306A7E7" w14:textId="77777777" w:rsidR="009206F7" w:rsidRPr="006F2803" w:rsidRDefault="009206F7" w:rsidP="009206F7">
            <w:pPr>
              <w:pStyle w:val="Tabletext"/>
              <w:rPr>
                <w:b/>
                <w:bCs/>
              </w:rPr>
            </w:pPr>
            <w:r w:rsidRPr="006F2803">
              <w:rPr>
                <w:b/>
                <w:bCs/>
              </w:rPr>
              <w:t>Renforcement de l'excellence dans l'organisation (Responsabilité)</w:t>
            </w:r>
          </w:p>
        </w:tc>
      </w:tr>
      <w:tr w:rsidR="009206F7" w:rsidRPr="006F2803" w14:paraId="51CDFD92" w14:textId="77777777" w:rsidTr="000046B0">
        <w:tc>
          <w:tcPr>
            <w:tcW w:w="1418" w:type="dxa"/>
            <w:tcBorders>
              <w:top w:val="single" w:sz="4" w:space="0" w:color="808080"/>
              <w:right w:val="single" w:sz="4" w:space="0" w:color="auto"/>
            </w:tcBorders>
          </w:tcPr>
          <w:p w14:paraId="76858174" w14:textId="696E1F7D" w:rsidR="009206F7" w:rsidRPr="006F2803" w:rsidRDefault="009206F7" w:rsidP="009206F7">
            <w:pPr>
              <w:pStyle w:val="Tabletext"/>
              <w:jc w:val="center"/>
              <w:rPr>
                <w:rStyle w:val="Hyperlink"/>
              </w:rPr>
            </w:pPr>
            <w:hyperlink r:id="rId58" w:history="1">
              <w:r w:rsidRPr="006F2803">
                <w:rPr>
                  <w:rStyle w:val="Hyperlink"/>
                </w:rPr>
                <w:t>C26/36</w:t>
              </w:r>
            </w:hyperlink>
          </w:p>
        </w:tc>
        <w:tc>
          <w:tcPr>
            <w:tcW w:w="8213" w:type="dxa"/>
            <w:tcBorders>
              <w:top w:val="single" w:sz="4" w:space="0" w:color="808080"/>
              <w:left w:val="single" w:sz="4" w:space="0" w:color="auto"/>
            </w:tcBorders>
          </w:tcPr>
          <w:p w14:paraId="7AC4250A" w14:textId="40886CEE" w:rsidR="009206F7" w:rsidRPr="006F2803" w:rsidRDefault="009206F7" w:rsidP="009206F7">
            <w:pPr>
              <w:pStyle w:val="Tabletext"/>
            </w:pPr>
            <w:r w:rsidRPr="006F2803">
              <w:t xml:space="preserve">Comptes non vérifiés: </w:t>
            </w:r>
            <w:r w:rsidR="002C1C32" w:rsidRPr="006F2803">
              <w:t>R</w:t>
            </w:r>
            <w:r w:rsidRPr="006F2803">
              <w:t>apport de gestion financière portant sur les comptes non vérifiés pour l'exercice 2025</w:t>
            </w:r>
          </w:p>
        </w:tc>
      </w:tr>
      <w:tr w:rsidR="009206F7" w:rsidRPr="006F2803" w14:paraId="7AAFCC23" w14:textId="77777777" w:rsidTr="000046B0">
        <w:tc>
          <w:tcPr>
            <w:tcW w:w="1418" w:type="dxa"/>
            <w:tcBorders>
              <w:top w:val="single" w:sz="4" w:space="0" w:color="808080"/>
              <w:right w:val="single" w:sz="4" w:space="0" w:color="auto"/>
            </w:tcBorders>
          </w:tcPr>
          <w:p w14:paraId="6685BD80" w14:textId="1D748730" w:rsidR="009206F7" w:rsidRPr="006F2803" w:rsidRDefault="009206F7" w:rsidP="009206F7">
            <w:pPr>
              <w:pStyle w:val="Tabletext"/>
              <w:jc w:val="center"/>
              <w:rPr>
                <w:rStyle w:val="Hyperlink"/>
              </w:rPr>
            </w:pPr>
            <w:hyperlink r:id="rId59" w:history="1">
              <w:r w:rsidRPr="006F2803">
                <w:rPr>
                  <w:rStyle w:val="Hyperlink"/>
                </w:rPr>
                <w:t>C26/40</w:t>
              </w:r>
            </w:hyperlink>
          </w:p>
        </w:tc>
        <w:tc>
          <w:tcPr>
            <w:tcW w:w="8213" w:type="dxa"/>
            <w:tcBorders>
              <w:top w:val="single" w:sz="4" w:space="0" w:color="808080"/>
              <w:left w:val="single" w:sz="4" w:space="0" w:color="auto"/>
            </w:tcBorders>
          </w:tcPr>
          <w:p w14:paraId="33C3D42F" w14:textId="23E195E6" w:rsidR="009206F7" w:rsidRPr="006F2803" w:rsidRDefault="009206F7" w:rsidP="009206F7">
            <w:pPr>
              <w:pStyle w:val="Tabletext"/>
            </w:pPr>
            <w:r w:rsidRPr="006F2803">
              <w:t xml:space="preserve">Comptes vérifiés: </w:t>
            </w:r>
            <w:r w:rsidR="002C1C32" w:rsidRPr="006F2803">
              <w:t>R</w:t>
            </w:r>
            <w:r w:rsidRPr="006F2803">
              <w:t>apport de gestion financière portant sur les comptes vérifiés pour l'exercice 2025 (</w:t>
            </w:r>
            <w:r w:rsidRPr="006F2803">
              <w:rPr>
                <w:i/>
                <w:iCs/>
              </w:rPr>
              <w:t>dernière séance</w:t>
            </w:r>
            <w:r w:rsidRPr="006F2803">
              <w:t>)</w:t>
            </w:r>
          </w:p>
        </w:tc>
      </w:tr>
      <w:tr w:rsidR="009206F7" w:rsidRPr="006F2803" w14:paraId="27FF0A0D" w14:textId="77777777" w:rsidTr="000046B0">
        <w:tc>
          <w:tcPr>
            <w:tcW w:w="1418" w:type="dxa"/>
          </w:tcPr>
          <w:p w14:paraId="45375C57" w14:textId="6DD94139" w:rsidR="009206F7" w:rsidRPr="006F2803" w:rsidRDefault="009206F7" w:rsidP="009206F7">
            <w:pPr>
              <w:pStyle w:val="Tabletext"/>
              <w:jc w:val="center"/>
              <w:rPr>
                <w:rStyle w:val="Hyperlink"/>
              </w:rPr>
            </w:pPr>
            <w:hyperlink r:id="rId60" w:history="1">
              <w:r w:rsidRPr="006F2803">
                <w:rPr>
                  <w:rStyle w:val="Hyperlink"/>
                </w:rPr>
                <w:t>C26/41</w:t>
              </w:r>
            </w:hyperlink>
          </w:p>
        </w:tc>
        <w:tc>
          <w:tcPr>
            <w:tcW w:w="8213" w:type="dxa"/>
          </w:tcPr>
          <w:p w14:paraId="77DE58BC" w14:textId="705A1DA0" w:rsidR="009206F7" w:rsidRPr="006F2803" w:rsidRDefault="009206F7" w:rsidP="009206F7">
            <w:pPr>
              <w:pStyle w:val="Tabletext"/>
            </w:pPr>
            <w:r w:rsidRPr="006F2803">
              <w:t>Rapport du Vérificateur extérieur des comptes: Comptes de l'Union pour 2025 (</w:t>
            </w:r>
            <w:r w:rsidRPr="006F2803">
              <w:rPr>
                <w:i/>
                <w:iCs/>
              </w:rPr>
              <w:t>dernière</w:t>
            </w:r>
            <w:r w:rsidR="00C15096" w:rsidRPr="006F2803">
              <w:rPr>
                <w:i/>
                <w:iCs/>
              </w:rPr>
              <w:t> </w:t>
            </w:r>
            <w:r w:rsidRPr="006F2803">
              <w:rPr>
                <w:i/>
                <w:iCs/>
              </w:rPr>
              <w:t>séance</w:t>
            </w:r>
            <w:r w:rsidRPr="006F2803">
              <w:t>)</w:t>
            </w:r>
          </w:p>
        </w:tc>
      </w:tr>
      <w:tr w:rsidR="009206F7" w:rsidRPr="006F2803" w14:paraId="587F2E74" w14:textId="77777777" w:rsidTr="000046B0">
        <w:tc>
          <w:tcPr>
            <w:tcW w:w="1418" w:type="dxa"/>
          </w:tcPr>
          <w:p w14:paraId="7E3161F8" w14:textId="0A85A123" w:rsidR="009206F7" w:rsidRPr="006F2803" w:rsidRDefault="009206F7" w:rsidP="009206F7">
            <w:pPr>
              <w:pStyle w:val="Tabletext"/>
              <w:jc w:val="center"/>
              <w:rPr>
                <w:rStyle w:val="Hyperlink"/>
              </w:rPr>
            </w:pPr>
            <w:hyperlink r:id="rId61" w:history="1">
              <w:r w:rsidRPr="006F2803">
                <w:rPr>
                  <w:rStyle w:val="Hyperlink"/>
                </w:rPr>
                <w:t>C26/44</w:t>
              </w:r>
            </w:hyperlink>
          </w:p>
        </w:tc>
        <w:tc>
          <w:tcPr>
            <w:tcW w:w="8213" w:type="dxa"/>
          </w:tcPr>
          <w:p w14:paraId="478871B6" w14:textId="555544B1" w:rsidR="009206F7" w:rsidRPr="006F2803" w:rsidRDefault="009206F7" w:rsidP="009206F7">
            <w:pPr>
              <w:pStyle w:val="Tabletext"/>
            </w:pPr>
            <w:r w:rsidRPr="006F2803">
              <w:t xml:space="preserve">Rapport de l'Unité du contrôle interne </w:t>
            </w:r>
            <w:r w:rsidR="00C15096" w:rsidRPr="006F2803">
              <w:t>–</w:t>
            </w:r>
            <w:r w:rsidRPr="006F2803">
              <w:t xml:space="preserve"> Fonction d'audit interne</w:t>
            </w:r>
          </w:p>
        </w:tc>
      </w:tr>
      <w:tr w:rsidR="009206F7" w:rsidRPr="006F2803" w14:paraId="37ADC871" w14:textId="77777777" w:rsidTr="000046B0">
        <w:tc>
          <w:tcPr>
            <w:tcW w:w="1418" w:type="dxa"/>
          </w:tcPr>
          <w:p w14:paraId="22260217" w14:textId="6F57C42C" w:rsidR="009206F7" w:rsidRPr="006F2803" w:rsidRDefault="009206F7" w:rsidP="009206F7">
            <w:pPr>
              <w:pStyle w:val="Tabletext"/>
              <w:jc w:val="center"/>
              <w:rPr>
                <w:rStyle w:val="Hyperlink"/>
              </w:rPr>
            </w:pPr>
            <w:hyperlink r:id="rId62" w:history="1">
              <w:r w:rsidRPr="006F2803">
                <w:rPr>
                  <w:rStyle w:val="Hyperlink"/>
                </w:rPr>
                <w:t>C26/39</w:t>
              </w:r>
            </w:hyperlink>
          </w:p>
        </w:tc>
        <w:tc>
          <w:tcPr>
            <w:tcW w:w="8213" w:type="dxa"/>
          </w:tcPr>
          <w:p w14:paraId="272B000D" w14:textId="03B1AD9F" w:rsidR="009206F7" w:rsidRPr="006F2803" w:rsidRDefault="009206F7" w:rsidP="009206F7">
            <w:pPr>
              <w:pStyle w:val="Tabletext"/>
            </w:pPr>
            <w:r w:rsidRPr="006F2803">
              <w:t xml:space="preserve">Rapport de l'Unité du contrôle interne </w:t>
            </w:r>
            <w:r w:rsidR="00C15096" w:rsidRPr="006F2803">
              <w:t>–</w:t>
            </w:r>
            <w:r w:rsidRPr="006F2803">
              <w:t xml:space="preserve"> Fonction d'enquête</w:t>
            </w:r>
          </w:p>
        </w:tc>
      </w:tr>
      <w:tr w:rsidR="009206F7" w:rsidRPr="006F2803" w14:paraId="59AD7F42" w14:textId="77777777" w:rsidTr="000046B0">
        <w:tc>
          <w:tcPr>
            <w:tcW w:w="1418" w:type="dxa"/>
          </w:tcPr>
          <w:p w14:paraId="20EF6919" w14:textId="2340EB05" w:rsidR="009206F7" w:rsidRPr="006F2803" w:rsidRDefault="009206F7" w:rsidP="009206F7">
            <w:pPr>
              <w:pStyle w:val="Tabletext"/>
              <w:jc w:val="center"/>
              <w:rPr>
                <w:rStyle w:val="Hyperlink"/>
              </w:rPr>
            </w:pPr>
            <w:hyperlink r:id="rId63" w:history="1">
              <w:r w:rsidRPr="006F2803">
                <w:rPr>
                  <w:rStyle w:val="Hyperlink"/>
                </w:rPr>
                <w:t>C26/45</w:t>
              </w:r>
            </w:hyperlink>
          </w:p>
        </w:tc>
        <w:tc>
          <w:tcPr>
            <w:tcW w:w="8213" w:type="dxa"/>
          </w:tcPr>
          <w:p w14:paraId="1B9FB9F4" w14:textId="77777777" w:rsidR="009206F7" w:rsidRPr="006F2803" w:rsidRDefault="009206F7" w:rsidP="009206F7">
            <w:pPr>
              <w:pStyle w:val="Tabletext"/>
            </w:pPr>
            <w:r w:rsidRPr="006F2803">
              <w:t>Plan d'évaluation biennal de l'Unité du contrôle interne (2026-2027)</w:t>
            </w:r>
          </w:p>
        </w:tc>
      </w:tr>
      <w:tr w:rsidR="009206F7" w:rsidRPr="006F2803" w14:paraId="675BB9E3" w14:textId="77777777" w:rsidTr="000046B0">
        <w:tc>
          <w:tcPr>
            <w:tcW w:w="1418" w:type="dxa"/>
          </w:tcPr>
          <w:p w14:paraId="6FF7FAF7" w14:textId="23BE0977" w:rsidR="009206F7" w:rsidRPr="006F2803" w:rsidRDefault="009206F7" w:rsidP="009206F7">
            <w:pPr>
              <w:pStyle w:val="Tabletext"/>
              <w:jc w:val="center"/>
              <w:rPr>
                <w:rStyle w:val="Hyperlink"/>
              </w:rPr>
            </w:pPr>
            <w:hyperlink r:id="rId64" w:history="1">
              <w:r w:rsidRPr="006F2803">
                <w:rPr>
                  <w:rStyle w:val="Hyperlink"/>
                </w:rPr>
                <w:t>C26/14</w:t>
              </w:r>
            </w:hyperlink>
          </w:p>
        </w:tc>
        <w:tc>
          <w:tcPr>
            <w:tcW w:w="8213" w:type="dxa"/>
          </w:tcPr>
          <w:p w14:paraId="1763B677" w14:textId="77777777" w:rsidR="009206F7" w:rsidRPr="006F2803" w:rsidRDefault="009206F7" w:rsidP="009206F7">
            <w:pPr>
              <w:pStyle w:val="Tabletext"/>
            </w:pPr>
            <w:r w:rsidRPr="006F2803">
              <w:t>Rapport du Bureau de l'éthique</w:t>
            </w:r>
          </w:p>
        </w:tc>
      </w:tr>
      <w:tr w:rsidR="009206F7" w:rsidRPr="006F2803" w14:paraId="24B4190C" w14:textId="77777777" w:rsidTr="000046B0">
        <w:tc>
          <w:tcPr>
            <w:tcW w:w="1418" w:type="dxa"/>
          </w:tcPr>
          <w:p w14:paraId="44F71E51" w14:textId="18F10881" w:rsidR="009206F7" w:rsidRPr="006F2803" w:rsidRDefault="009206F7" w:rsidP="009206F7">
            <w:pPr>
              <w:pStyle w:val="Tabletext"/>
              <w:jc w:val="center"/>
              <w:rPr>
                <w:rStyle w:val="Hyperlink"/>
              </w:rPr>
            </w:pPr>
            <w:hyperlink r:id="rId65" w:history="1">
              <w:r w:rsidRPr="006F2803">
                <w:rPr>
                  <w:rStyle w:val="Hyperlink"/>
                </w:rPr>
                <w:t>C26/49</w:t>
              </w:r>
            </w:hyperlink>
          </w:p>
        </w:tc>
        <w:tc>
          <w:tcPr>
            <w:tcW w:w="8213" w:type="dxa"/>
          </w:tcPr>
          <w:p w14:paraId="5752F5FF" w14:textId="77777777" w:rsidR="009206F7" w:rsidRPr="006F2803" w:rsidRDefault="009206F7" w:rsidP="009206F7">
            <w:pPr>
              <w:pStyle w:val="Tabletext"/>
            </w:pPr>
            <w:r w:rsidRPr="006F2803">
              <w:t>Renforcement de la gestion des risques et du système de contrôle interne</w:t>
            </w:r>
          </w:p>
        </w:tc>
      </w:tr>
      <w:tr w:rsidR="009206F7" w:rsidRPr="006F2803" w14:paraId="28028777" w14:textId="77777777" w:rsidTr="000046B0">
        <w:tc>
          <w:tcPr>
            <w:tcW w:w="1418" w:type="dxa"/>
          </w:tcPr>
          <w:p w14:paraId="2C3199EF" w14:textId="0F2A5BB5" w:rsidR="009206F7" w:rsidRPr="006F2803" w:rsidRDefault="009206F7" w:rsidP="009206F7">
            <w:pPr>
              <w:pStyle w:val="Tabletext"/>
              <w:jc w:val="center"/>
              <w:rPr>
                <w:rStyle w:val="Hyperlink"/>
              </w:rPr>
            </w:pPr>
            <w:hyperlink r:id="rId66" w:history="1">
              <w:r w:rsidRPr="006F2803">
                <w:rPr>
                  <w:rStyle w:val="Hyperlink"/>
                </w:rPr>
                <w:t>C26/22</w:t>
              </w:r>
            </w:hyperlink>
          </w:p>
        </w:tc>
        <w:tc>
          <w:tcPr>
            <w:tcW w:w="8213" w:type="dxa"/>
          </w:tcPr>
          <w:p w14:paraId="05EB1EA0" w14:textId="5039ACD5" w:rsidR="009206F7" w:rsidRPr="006F2803" w:rsidRDefault="009206F7" w:rsidP="009206F7">
            <w:pPr>
              <w:pStyle w:val="Tabletext"/>
            </w:pPr>
            <w:r w:rsidRPr="006F2803">
              <w:t xml:space="preserve">Quinzième </w:t>
            </w:r>
            <w:r w:rsidR="00F82D4E" w:rsidRPr="006F2803">
              <w:t>R</w:t>
            </w:r>
            <w:r w:rsidRPr="006F2803">
              <w:t>apport du Comité consultatif indépendant pour les questions de gestion (CCIG)</w:t>
            </w:r>
          </w:p>
        </w:tc>
      </w:tr>
      <w:tr w:rsidR="009206F7" w:rsidRPr="006F2803" w14:paraId="6B2DACC2" w14:textId="77777777" w:rsidTr="000046B0">
        <w:tc>
          <w:tcPr>
            <w:tcW w:w="1418" w:type="dxa"/>
          </w:tcPr>
          <w:p w14:paraId="0413A192" w14:textId="4BBF226A" w:rsidR="009206F7" w:rsidRPr="006F2803" w:rsidRDefault="009206F7" w:rsidP="009206F7">
            <w:pPr>
              <w:pStyle w:val="Tabletext"/>
              <w:jc w:val="center"/>
              <w:rPr>
                <w:rStyle w:val="Hyperlink"/>
              </w:rPr>
            </w:pPr>
            <w:hyperlink r:id="rId67" w:history="1">
              <w:r w:rsidRPr="006F2803">
                <w:rPr>
                  <w:rStyle w:val="Hyperlink"/>
                </w:rPr>
                <w:t>C26/57</w:t>
              </w:r>
            </w:hyperlink>
          </w:p>
        </w:tc>
        <w:tc>
          <w:tcPr>
            <w:tcW w:w="8213" w:type="dxa"/>
            <w:tcBorders>
              <w:right w:val="single" w:sz="8" w:space="0" w:color="auto"/>
            </w:tcBorders>
          </w:tcPr>
          <w:p w14:paraId="002A2081" w14:textId="29E36529" w:rsidR="009206F7" w:rsidRPr="006F2803" w:rsidRDefault="009206F7" w:rsidP="009206F7">
            <w:pPr>
              <w:pStyle w:val="Tabletext"/>
            </w:pPr>
            <w:r w:rsidRPr="006F2803">
              <w:t>Rapports du CCI sur les questions relatives à l'ensemble du système des Nations</w:t>
            </w:r>
            <w:r w:rsidR="00F82D4E" w:rsidRPr="006F2803">
              <w:t> </w:t>
            </w:r>
            <w:r w:rsidRPr="006F2803">
              <w:t>Unies pour 2025 et recommandations à l'intention des organes délibérants</w:t>
            </w:r>
          </w:p>
        </w:tc>
      </w:tr>
      <w:tr w:rsidR="009206F7" w:rsidRPr="006F2803" w14:paraId="320BC04E" w14:textId="77777777" w:rsidTr="000046B0">
        <w:tc>
          <w:tcPr>
            <w:tcW w:w="1418" w:type="dxa"/>
            <w:tcBorders>
              <w:top w:val="single" w:sz="4" w:space="0" w:color="808080"/>
              <w:bottom w:val="single" w:sz="4" w:space="0" w:color="808080"/>
              <w:right w:val="single" w:sz="4" w:space="0" w:color="auto"/>
            </w:tcBorders>
            <w:shd w:val="clear" w:color="auto" w:fill="D9D9D9"/>
          </w:tcPr>
          <w:p w14:paraId="52497BA6" w14:textId="77777777" w:rsidR="009206F7" w:rsidRPr="006F2803" w:rsidRDefault="009206F7" w:rsidP="009206F7">
            <w:pPr>
              <w:pStyle w:val="Tabletext"/>
              <w:jc w:val="center"/>
              <w:rPr>
                <w:b/>
                <w:bCs/>
              </w:rPr>
            </w:pPr>
            <w:r w:rsidRPr="006F2803">
              <w:rPr>
                <w:b/>
                <w:bCs/>
              </w:rPr>
              <w:t>ADM 3</w:t>
            </w:r>
          </w:p>
        </w:tc>
        <w:tc>
          <w:tcPr>
            <w:tcW w:w="8213" w:type="dxa"/>
            <w:tcBorders>
              <w:top w:val="single" w:sz="4" w:space="0" w:color="808080"/>
              <w:left w:val="single" w:sz="4" w:space="0" w:color="auto"/>
              <w:bottom w:val="single" w:sz="4" w:space="0" w:color="808080"/>
              <w:right w:val="single" w:sz="8" w:space="0" w:color="auto"/>
            </w:tcBorders>
            <w:shd w:val="clear" w:color="auto" w:fill="D9D9D9"/>
          </w:tcPr>
          <w:p w14:paraId="68196A31" w14:textId="62126FA0" w:rsidR="009206F7" w:rsidRPr="006F2803" w:rsidRDefault="009206F7" w:rsidP="009206F7">
            <w:pPr>
              <w:pStyle w:val="Tabletext"/>
              <w:rPr>
                <w:b/>
                <w:bCs/>
              </w:rPr>
            </w:pPr>
            <w:r w:rsidRPr="006F2803">
              <w:rPr>
                <w:b/>
                <w:bCs/>
              </w:rPr>
              <w:t>Renforcement de l'excellence dans l'organisation (environnement propice, ressources humaines, technologies de l'information, siège)</w:t>
            </w:r>
          </w:p>
        </w:tc>
      </w:tr>
      <w:tr w:rsidR="009206F7" w:rsidRPr="006F2803" w14:paraId="624CD012" w14:textId="77777777" w:rsidTr="000046B0">
        <w:tc>
          <w:tcPr>
            <w:tcW w:w="1418" w:type="dxa"/>
            <w:tcBorders>
              <w:top w:val="single" w:sz="4" w:space="0" w:color="808080"/>
            </w:tcBorders>
          </w:tcPr>
          <w:p w14:paraId="07DD3666" w14:textId="0EA2A2CE" w:rsidR="009206F7" w:rsidRPr="006F2803" w:rsidRDefault="009206F7" w:rsidP="009206F7">
            <w:pPr>
              <w:pStyle w:val="Tabletext"/>
              <w:jc w:val="center"/>
              <w:rPr>
                <w:rStyle w:val="Hyperlink"/>
              </w:rPr>
            </w:pPr>
            <w:hyperlink r:id="rId68" w:history="1">
              <w:r w:rsidRPr="006F2803">
                <w:rPr>
                  <w:rStyle w:val="Hyperlink"/>
                </w:rPr>
                <w:t>C26/66</w:t>
              </w:r>
            </w:hyperlink>
          </w:p>
        </w:tc>
        <w:tc>
          <w:tcPr>
            <w:tcW w:w="8213" w:type="dxa"/>
            <w:tcBorders>
              <w:top w:val="single" w:sz="4" w:space="0" w:color="808080"/>
            </w:tcBorders>
          </w:tcPr>
          <w:p w14:paraId="4C7C9429" w14:textId="697054D7" w:rsidR="009206F7" w:rsidRPr="006F2803" w:rsidRDefault="009206F7" w:rsidP="009206F7">
            <w:pPr>
              <w:pStyle w:val="Tabletext"/>
            </w:pPr>
            <w:r w:rsidRPr="006F2803">
              <w:t xml:space="preserve">Rapport d'activité </w:t>
            </w:r>
            <w:r w:rsidR="007F147C" w:rsidRPr="007F147C">
              <w:t xml:space="preserve">du </w:t>
            </w:r>
            <w:r w:rsidR="007638F1">
              <w:t>P</w:t>
            </w:r>
            <w:r w:rsidR="007F147C" w:rsidRPr="007F147C">
              <w:t>lan de transformation des ressources humaines et de la Résolution</w:t>
            </w:r>
            <w:r w:rsidR="007F147C">
              <w:t> </w:t>
            </w:r>
            <w:r w:rsidRPr="006F2803">
              <w:t>48 (Rév. Bucarest, 2022) de la Conférence de plénipotentiaires</w:t>
            </w:r>
          </w:p>
        </w:tc>
      </w:tr>
      <w:tr w:rsidR="009206F7" w:rsidRPr="006F2803" w14:paraId="55D3AD5D" w14:textId="77777777" w:rsidTr="000046B0">
        <w:tc>
          <w:tcPr>
            <w:tcW w:w="1418" w:type="dxa"/>
            <w:tcBorders>
              <w:top w:val="single" w:sz="4" w:space="0" w:color="808080"/>
            </w:tcBorders>
          </w:tcPr>
          <w:p w14:paraId="37D720F3" w14:textId="12DBF361" w:rsidR="009206F7" w:rsidRPr="006F2803" w:rsidRDefault="009206F7" w:rsidP="009206F7">
            <w:pPr>
              <w:pStyle w:val="Tabletext"/>
              <w:jc w:val="center"/>
              <w:rPr>
                <w:rStyle w:val="Hyperlink"/>
              </w:rPr>
            </w:pPr>
            <w:hyperlink r:id="rId69" w:history="1">
              <w:r w:rsidRPr="006F2803">
                <w:rPr>
                  <w:rStyle w:val="Hyperlink"/>
                </w:rPr>
                <w:t>C26/23</w:t>
              </w:r>
            </w:hyperlink>
          </w:p>
        </w:tc>
        <w:tc>
          <w:tcPr>
            <w:tcW w:w="8213" w:type="dxa"/>
            <w:tcBorders>
              <w:top w:val="single" w:sz="4" w:space="0" w:color="808080"/>
            </w:tcBorders>
          </w:tcPr>
          <w:p w14:paraId="5317DF05" w14:textId="2BA9A57D" w:rsidR="009206F7" w:rsidRPr="006F2803" w:rsidRDefault="009206F7" w:rsidP="009206F7">
            <w:pPr>
              <w:pStyle w:val="Tabletext"/>
            </w:pPr>
            <w:r w:rsidRPr="006F2803">
              <w:t>Modifications des conditions d'emploi dans le cadre du régime commun des Nations</w:t>
            </w:r>
            <w:r w:rsidR="00BB6E0E" w:rsidRPr="006F2803">
              <w:t> </w:t>
            </w:r>
            <w:r w:rsidRPr="006F2803">
              <w:t>Unies</w:t>
            </w:r>
          </w:p>
        </w:tc>
      </w:tr>
      <w:tr w:rsidR="009206F7" w:rsidRPr="006F2803" w14:paraId="33A46819" w14:textId="77777777" w:rsidTr="000046B0">
        <w:tc>
          <w:tcPr>
            <w:tcW w:w="1418" w:type="dxa"/>
            <w:tcBorders>
              <w:top w:val="single" w:sz="4" w:space="0" w:color="808080"/>
            </w:tcBorders>
          </w:tcPr>
          <w:p w14:paraId="34AEADDD" w14:textId="3AED0D42" w:rsidR="009206F7" w:rsidRPr="006F2803" w:rsidRDefault="009206F7" w:rsidP="009206F7">
            <w:pPr>
              <w:pStyle w:val="Tabletext"/>
              <w:jc w:val="center"/>
              <w:rPr>
                <w:rStyle w:val="Hyperlink"/>
              </w:rPr>
            </w:pPr>
            <w:hyperlink r:id="rId70" w:history="1">
              <w:r w:rsidRPr="006F2803">
                <w:rPr>
                  <w:rStyle w:val="Hyperlink"/>
                </w:rPr>
                <w:t>C26/67</w:t>
              </w:r>
            </w:hyperlink>
          </w:p>
        </w:tc>
        <w:tc>
          <w:tcPr>
            <w:tcW w:w="8213" w:type="dxa"/>
            <w:tcBorders>
              <w:top w:val="single" w:sz="4" w:space="0" w:color="808080"/>
            </w:tcBorders>
          </w:tcPr>
          <w:p w14:paraId="2C50D266" w14:textId="77777777" w:rsidR="009206F7" w:rsidRPr="006F2803" w:rsidRDefault="009206F7" w:rsidP="009206F7">
            <w:pPr>
              <w:pStyle w:val="Tabletext"/>
            </w:pPr>
            <w:r w:rsidRPr="006F2803">
              <w:t>Plan Stratégique pour les ressources humaines pour la période 2026-2027</w:t>
            </w:r>
          </w:p>
        </w:tc>
      </w:tr>
      <w:tr w:rsidR="009206F7" w:rsidRPr="006F2803" w14:paraId="77213718" w14:textId="77777777" w:rsidTr="000046B0">
        <w:tc>
          <w:tcPr>
            <w:tcW w:w="1418" w:type="dxa"/>
            <w:tcBorders>
              <w:top w:val="single" w:sz="4" w:space="0" w:color="808080"/>
            </w:tcBorders>
          </w:tcPr>
          <w:p w14:paraId="453A6724" w14:textId="0B87066F" w:rsidR="009206F7" w:rsidRPr="006F2803" w:rsidRDefault="009206F7" w:rsidP="009206F7">
            <w:pPr>
              <w:pStyle w:val="Tabletext"/>
              <w:jc w:val="center"/>
              <w:rPr>
                <w:rStyle w:val="Hyperlink"/>
              </w:rPr>
            </w:pPr>
            <w:hyperlink r:id="rId71" w:history="1">
              <w:r w:rsidRPr="006F2803">
                <w:rPr>
                  <w:rStyle w:val="Hyperlink"/>
                </w:rPr>
                <w:t>C26/7</w:t>
              </w:r>
            </w:hyperlink>
          </w:p>
        </w:tc>
        <w:tc>
          <w:tcPr>
            <w:tcW w:w="8213" w:type="dxa"/>
            <w:tcBorders>
              <w:top w:val="single" w:sz="4" w:space="0" w:color="808080"/>
            </w:tcBorders>
          </w:tcPr>
          <w:p w14:paraId="6C93A4AB" w14:textId="77777777" w:rsidR="009206F7" w:rsidRPr="006F2803" w:rsidRDefault="009206F7" w:rsidP="009206F7">
            <w:pPr>
              <w:pStyle w:val="Tabletext"/>
            </w:pPr>
            <w:r w:rsidRPr="006F2803">
              <w:t>Mise à jour sur l'état d'avancement du projet de locaux du siège de l'Union (</w:t>
            </w:r>
            <w:r w:rsidRPr="006F2803">
              <w:rPr>
                <w:i/>
                <w:iCs/>
              </w:rPr>
              <w:t>y compris examen des Décisions et Résolutions relatives au projet de locaux du Siège</w:t>
            </w:r>
            <w:r w:rsidRPr="006F2803">
              <w:t>)</w:t>
            </w:r>
          </w:p>
        </w:tc>
      </w:tr>
      <w:tr w:rsidR="009206F7" w:rsidRPr="006F2803" w14:paraId="19279099" w14:textId="77777777" w:rsidTr="000046B0">
        <w:tc>
          <w:tcPr>
            <w:tcW w:w="1418" w:type="dxa"/>
            <w:tcBorders>
              <w:top w:val="single" w:sz="4" w:space="0" w:color="808080"/>
            </w:tcBorders>
          </w:tcPr>
          <w:p w14:paraId="504B810A" w14:textId="181519F3" w:rsidR="009206F7" w:rsidRPr="006F2803" w:rsidRDefault="009206F7" w:rsidP="009206F7">
            <w:pPr>
              <w:pStyle w:val="Tabletext"/>
              <w:jc w:val="center"/>
              <w:rPr>
                <w:rStyle w:val="Hyperlink"/>
              </w:rPr>
            </w:pPr>
            <w:hyperlink r:id="rId72" w:history="1">
              <w:r w:rsidRPr="006F2803">
                <w:rPr>
                  <w:rStyle w:val="Hyperlink"/>
                </w:rPr>
                <w:t>C26/63</w:t>
              </w:r>
            </w:hyperlink>
          </w:p>
        </w:tc>
        <w:tc>
          <w:tcPr>
            <w:tcW w:w="8213" w:type="dxa"/>
            <w:tcBorders>
              <w:top w:val="single" w:sz="4" w:space="0" w:color="808080"/>
            </w:tcBorders>
          </w:tcPr>
          <w:p w14:paraId="7BA23711" w14:textId="2F6A1486" w:rsidR="009206F7" w:rsidRPr="006F2803" w:rsidRDefault="009206F7" w:rsidP="009206F7">
            <w:pPr>
              <w:pStyle w:val="Tabletext"/>
            </w:pPr>
            <w:r w:rsidRPr="006F2803">
              <w:t xml:space="preserve">Point sur le </w:t>
            </w:r>
            <w:r w:rsidR="00F82D4E" w:rsidRPr="006F2803">
              <w:t>P</w:t>
            </w:r>
            <w:r w:rsidRPr="006F2803">
              <w:t>lan stratégique pour le campus</w:t>
            </w:r>
          </w:p>
        </w:tc>
      </w:tr>
      <w:tr w:rsidR="009206F7" w:rsidRPr="006F2803" w14:paraId="48E10537" w14:textId="77777777" w:rsidTr="000046B0">
        <w:tc>
          <w:tcPr>
            <w:tcW w:w="1418" w:type="dxa"/>
            <w:tcBorders>
              <w:top w:val="single" w:sz="4" w:space="0" w:color="808080"/>
            </w:tcBorders>
          </w:tcPr>
          <w:p w14:paraId="1DE2F628" w14:textId="34107867" w:rsidR="009206F7" w:rsidRPr="006F2803" w:rsidRDefault="009206F7" w:rsidP="009206F7">
            <w:pPr>
              <w:pStyle w:val="Tabletext"/>
              <w:jc w:val="center"/>
              <w:rPr>
                <w:rStyle w:val="Hyperlink"/>
              </w:rPr>
            </w:pPr>
            <w:hyperlink r:id="rId73" w:history="1">
              <w:r w:rsidRPr="006F2803">
                <w:rPr>
                  <w:rStyle w:val="Hyperlink"/>
                </w:rPr>
                <w:t>C26/48</w:t>
              </w:r>
            </w:hyperlink>
          </w:p>
        </w:tc>
        <w:tc>
          <w:tcPr>
            <w:tcW w:w="8213" w:type="dxa"/>
            <w:tcBorders>
              <w:top w:val="single" w:sz="4" w:space="0" w:color="808080"/>
            </w:tcBorders>
          </w:tcPr>
          <w:p w14:paraId="270A1554" w14:textId="77777777" w:rsidR="009206F7" w:rsidRPr="006F2803" w:rsidRDefault="009206F7" w:rsidP="009206F7">
            <w:pPr>
              <w:pStyle w:val="Tabletext"/>
            </w:pPr>
            <w:r w:rsidRPr="006F2803">
              <w:t>Rapport du Groupe consultatif d'États Membres (Groupe MSAG)</w:t>
            </w:r>
          </w:p>
        </w:tc>
      </w:tr>
      <w:tr w:rsidR="009206F7" w:rsidRPr="006F2803" w14:paraId="13D7E99B" w14:textId="77777777" w:rsidTr="000046B0">
        <w:tc>
          <w:tcPr>
            <w:tcW w:w="1418" w:type="dxa"/>
            <w:tcBorders>
              <w:top w:val="single" w:sz="4" w:space="0" w:color="808080"/>
            </w:tcBorders>
          </w:tcPr>
          <w:p w14:paraId="7B91F6AE" w14:textId="7133B4B5" w:rsidR="009206F7" w:rsidRPr="006F2803" w:rsidRDefault="009206F7" w:rsidP="009206F7">
            <w:pPr>
              <w:pStyle w:val="Tabletext"/>
              <w:jc w:val="center"/>
              <w:rPr>
                <w:rStyle w:val="Hyperlink"/>
              </w:rPr>
            </w:pPr>
            <w:hyperlink r:id="rId74" w:history="1">
              <w:r w:rsidRPr="006F2803">
                <w:rPr>
                  <w:rStyle w:val="Hyperlink"/>
                </w:rPr>
                <w:t>C26/65</w:t>
              </w:r>
            </w:hyperlink>
          </w:p>
        </w:tc>
        <w:tc>
          <w:tcPr>
            <w:tcW w:w="8213" w:type="dxa"/>
            <w:tcBorders>
              <w:top w:val="single" w:sz="4" w:space="0" w:color="808080"/>
            </w:tcBorders>
          </w:tcPr>
          <w:p w14:paraId="29B15A0A" w14:textId="77777777" w:rsidR="009206F7" w:rsidRPr="006F2803" w:rsidRDefault="009206F7" w:rsidP="009206F7">
            <w:pPr>
              <w:pStyle w:val="Tabletext"/>
            </w:pPr>
            <w:r w:rsidRPr="006F2803">
              <w:t>Point sur la continuité des activités pendant la période de construction du nouveau bâtiment de l'UIT</w:t>
            </w:r>
          </w:p>
        </w:tc>
      </w:tr>
      <w:tr w:rsidR="009206F7" w:rsidRPr="006F2803" w14:paraId="50596150" w14:textId="77777777" w:rsidTr="000046B0">
        <w:tc>
          <w:tcPr>
            <w:tcW w:w="1418" w:type="dxa"/>
            <w:tcBorders>
              <w:top w:val="single" w:sz="4" w:space="0" w:color="808080"/>
            </w:tcBorders>
          </w:tcPr>
          <w:p w14:paraId="5D29AD15" w14:textId="1211B53C" w:rsidR="009206F7" w:rsidRPr="006F2803" w:rsidRDefault="009206F7" w:rsidP="009206F7">
            <w:pPr>
              <w:pStyle w:val="Tabletext"/>
              <w:jc w:val="center"/>
              <w:rPr>
                <w:rStyle w:val="Hyperlink"/>
              </w:rPr>
            </w:pPr>
            <w:hyperlink r:id="rId75" w:history="1">
              <w:r w:rsidRPr="006F2803">
                <w:rPr>
                  <w:rStyle w:val="Hyperlink"/>
                </w:rPr>
                <w:t>C26/27</w:t>
              </w:r>
            </w:hyperlink>
          </w:p>
        </w:tc>
        <w:tc>
          <w:tcPr>
            <w:tcW w:w="8213" w:type="dxa"/>
            <w:tcBorders>
              <w:top w:val="single" w:sz="4" w:space="0" w:color="808080"/>
            </w:tcBorders>
          </w:tcPr>
          <w:p w14:paraId="22E1ED4D" w14:textId="77777777" w:rsidR="009206F7" w:rsidRPr="006F2803" w:rsidRDefault="009206F7" w:rsidP="009206F7">
            <w:pPr>
              <w:pStyle w:val="Tabletext"/>
            </w:pPr>
            <w:r w:rsidRPr="006F2803">
              <w:t>Renforcement de la coordination intersectorielle dans l'ensemble de l'UIT</w:t>
            </w:r>
          </w:p>
        </w:tc>
      </w:tr>
      <w:tr w:rsidR="009206F7" w:rsidRPr="006F2803" w14:paraId="36783140" w14:textId="77777777" w:rsidTr="000046B0">
        <w:tc>
          <w:tcPr>
            <w:tcW w:w="1418" w:type="dxa"/>
            <w:tcBorders>
              <w:top w:val="single" w:sz="4" w:space="0" w:color="808080"/>
            </w:tcBorders>
          </w:tcPr>
          <w:p w14:paraId="0FF718B3" w14:textId="402483AB" w:rsidR="009206F7" w:rsidRPr="006F2803" w:rsidRDefault="009206F7" w:rsidP="009206F7">
            <w:pPr>
              <w:pStyle w:val="Tabletext"/>
              <w:jc w:val="center"/>
              <w:rPr>
                <w:rStyle w:val="Hyperlink"/>
              </w:rPr>
            </w:pPr>
            <w:hyperlink r:id="rId76" w:history="1">
              <w:r w:rsidRPr="006F2803">
                <w:rPr>
                  <w:rStyle w:val="Hyperlink"/>
                </w:rPr>
                <w:t>C26/62</w:t>
              </w:r>
            </w:hyperlink>
          </w:p>
        </w:tc>
        <w:tc>
          <w:tcPr>
            <w:tcW w:w="8213" w:type="dxa"/>
            <w:tcBorders>
              <w:top w:val="single" w:sz="4" w:space="0" w:color="808080"/>
            </w:tcBorders>
          </w:tcPr>
          <w:p w14:paraId="157B4E51" w14:textId="5FF33298" w:rsidR="009206F7" w:rsidRPr="006F2803" w:rsidRDefault="009206F7" w:rsidP="009206F7">
            <w:pPr>
              <w:pStyle w:val="Tabletext"/>
            </w:pPr>
            <w:r w:rsidRPr="006F2803">
              <w:t>Renforcer les bases numériques internes de l'UIT en matière de transformation: stratégie, architecture institutionnelle, gouvernance des TIC et modèle d'exploitation des</w:t>
            </w:r>
            <w:r w:rsidR="00F82D4E" w:rsidRPr="006F2803">
              <w:t> </w:t>
            </w:r>
            <w:r w:rsidRPr="006F2803">
              <w:t>technologies de l'information</w:t>
            </w:r>
          </w:p>
        </w:tc>
      </w:tr>
      <w:tr w:rsidR="009206F7" w:rsidRPr="006F2803" w14:paraId="5F49BFDF" w14:textId="77777777" w:rsidTr="000046B0">
        <w:tc>
          <w:tcPr>
            <w:tcW w:w="1418" w:type="dxa"/>
            <w:tcBorders>
              <w:top w:val="single" w:sz="4" w:space="0" w:color="808080"/>
            </w:tcBorders>
          </w:tcPr>
          <w:p w14:paraId="3C062417" w14:textId="37911710" w:rsidR="009206F7" w:rsidRPr="006F2803" w:rsidRDefault="009206F7" w:rsidP="009206F7">
            <w:pPr>
              <w:pStyle w:val="Tabletext"/>
              <w:jc w:val="center"/>
              <w:rPr>
                <w:rStyle w:val="Hyperlink"/>
              </w:rPr>
            </w:pPr>
            <w:hyperlink r:id="rId77" w:history="1">
              <w:r w:rsidRPr="006F2803">
                <w:rPr>
                  <w:rStyle w:val="Hyperlink"/>
                </w:rPr>
                <w:t>C26/70</w:t>
              </w:r>
            </w:hyperlink>
          </w:p>
        </w:tc>
        <w:tc>
          <w:tcPr>
            <w:tcW w:w="8213" w:type="dxa"/>
            <w:tcBorders>
              <w:top w:val="single" w:sz="4" w:space="0" w:color="808080"/>
            </w:tcBorders>
          </w:tcPr>
          <w:p w14:paraId="52A356E7" w14:textId="77777777" w:rsidR="009206F7" w:rsidRPr="006F2803" w:rsidRDefault="009206F7" w:rsidP="009206F7">
            <w:pPr>
              <w:pStyle w:val="Tabletext"/>
            </w:pPr>
            <w:r w:rsidRPr="006F2803">
              <w:t>Proposition de cadre pour la sélection des pays hôtes des conférences et assemblées de l'UIT</w:t>
            </w:r>
          </w:p>
        </w:tc>
      </w:tr>
      <w:tr w:rsidR="009206F7" w:rsidRPr="006F2803" w14:paraId="6CC1A3C3" w14:textId="77777777" w:rsidTr="000046B0">
        <w:tc>
          <w:tcPr>
            <w:tcW w:w="1418" w:type="dxa"/>
            <w:tcBorders>
              <w:top w:val="single" w:sz="4" w:space="0" w:color="808080"/>
            </w:tcBorders>
          </w:tcPr>
          <w:p w14:paraId="2B52B3B1" w14:textId="5D9C0283" w:rsidR="009206F7" w:rsidRPr="006F2803" w:rsidRDefault="009206F7" w:rsidP="009206F7">
            <w:pPr>
              <w:pStyle w:val="Tabletext"/>
              <w:jc w:val="center"/>
              <w:rPr>
                <w:rStyle w:val="Hyperlink"/>
              </w:rPr>
            </w:pPr>
            <w:hyperlink r:id="rId78" w:history="1">
              <w:r w:rsidRPr="006F2803">
                <w:rPr>
                  <w:rStyle w:val="Hyperlink"/>
                </w:rPr>
                <w:t>C26/71</w:t>
              </w:r>
            </w:hyperlink>
          </w:p>
        </w:tc>
        <w:tc>
          <w:tcPr>
            <w:tcW w:w="8213" w:type="dxa"/>
            <w:tcBorders>
              <w:top w:val="single" w:sz="4" w:space="0" w:color="808080"/>
            </w:tcBorders>
          </w:tcPr>
          <w:p w14:paraId="1EC45370" w14:textId="77777777" w:rsidR="009206F7" w:rsidRPr="006F2803" w:rsidRDefault="009206F7" w:rsidP="009206F7">
            <w:pPr>
              <w:pStyle w:val="Tabletext"/>
            </w:pPr>
            <w:r w:rsidRPr="006F2803">
              <w:t>Point sur les mesures visant à alléger la charge financière reposant sur les pays hôtes des conférences, réunions et activités de l'UIT</w:t>
            </w:r>
          </w:p>
        </w:tc>
      </w:tr>
      <w:tr w:rsidR="009206F7" w:rsidRPr="006F2803" w14:paraId="4B747CC9" w14:textId="77777777" w:rsidTr="000046B0">
        <w:tc>
          <w:tcPr>
            <w:tcW w:w="1418" w:type="dxa"/>
            <w:tcBorders>
              <w:top w:val="single" w:sz="4" w:space="0" w:color="808080"/>
              <w:bottom w:val="single" w:sz="4" w:space="0" w:color="808080"/>
              <w:right w:val="single" w:sz="4" w:space="0" w:color="auto"/>
            </w:tcBorders>
            <w:shd w:val="clear" w:color="auto" w:fill="D9D9D9"/>
          </w:tcPr>
          <w:p w14:paraId="5BB452E5" w14:textId="77777777" w:rsidR="009206F7" w:rsidRPr="006F2803" w:rsidRDefault="009206F7" w:rsidP="009206F7">
            <w:pPr>
              <w:pStyle w:val="Tabletext"/>
              <w:jc w:val="center"/>
              <w:rPr>
                <w:b/>
                <w:bCs/>
              </w:rPr>
            </w:pPr>
          </w:p>
        </w:tc>
        <w:tc>
          <w:tcPr>
            <w:tcW w:w="8213" w:type="dxa"/>
            <w:tcBorders>
              <w:top w:val="single" w:sz="4" w:space="0" w:color="808080"/>
              <w:left w:val="single" w:sz="4" w:space="0" w:color="auto"/>
              <w:bottom w:val="single" w:sz="4" w:space="0" w:color="808080"/>
              <w:right w:val="single" w:sz="8" w:space="0" w:color="auto"/>
            </w:tcBorders>
            <w:shd w:val="clear" w:color="auto" w:fill="D9D9D9"/>
          </w:tcPr>
          <w:p w14:paraId="2FDCFA20" w14:textId="77777777" w:rsidR="009206F7" w:rsidRPr="006F2803" w:rsidRDefault="009206F7" w:rsidP="009206F7">
            <w:pPr>
              <w:pStyle w:val="Tabletext"/>
              <w:rPr>
                <w:b/>
                <w:bCs/>
              </w:rPr>
            </w:pPr>
            <w:r w:rsidRPr="006F2803">
              <w:rPr>
                <w:b/>
                <w:bCs/>
              </w:rPr>
              <w:t>DOCUMENTS D'INFORMATION ET DIVERS</w:t>
            </w:r>
          </w:p>
        </w:tc>
      </w:tr>
      <w:tr w:rsidR="009206F7" w:rsidRPr="006F2803" w14:paraId="4207C752" w14:textId="77777777" w:rsidTr="000046B0">
        <w:tc>
          <w:tcPr>
            <w:tcW w:w="1418" w:type="dxa"/>
          </w:tcPr>
          <w:p w14:paraId="4EE3F8B8" w14:textId="77777777" w:rsidR="009206F7" w:rsidRPr="006F2803" w:rsidRDefault="009206F7" w:rsidP="009206F7">
            <w:pPr>
              <w:pStyle w:val="Tabletext"/>
              <w:jc w:val="center"/>
            </w:pPr>
          </w:p>
        </w:tc>
        <w:tc>
          <w:tcPr>
            <w:tcW w:w="8213" w:type="dxa"/>
            <w:tcBorders>
              <w:right w:val="single" w:sz="8" w:space="0" w:color="auto"/>
            </w:tcBorders>
          </w:tcPr>
          <w:p w14:paraId="1AC9928C" w14:textId="6552E079" w:rsidR="009206F7" w:rsidRPr="006F2803" w:rsidRDefault="009206F7" w:rsidP="009206F7">
            <w:pPr>
              <w:pStyle w:val="Tabletext"/>
            </w:pPr>
            <w:r w:rsidRPr="006F2803">
              <w:t>Situation des arriérés de l'Union au 31 mars 2026</w:t>
            </w:r>
          </w:p>
        </w:tc>
      </w:tr>
      <w:tr w:rsidR="009206F7" w:rsidRPr="006F2803" w14:paraId="32D7ADD6" w14:textId="77777777" w:rsidTr="000046B0">
        <w:tc>
          <w:tcPr>
            <w:tcW w:w="1418" w:type="dxa"/>
          </w:tcPr>
          <w:p w14:paraId="3F76730D" w14:textId="587BAA15" w:rsidR="009206F7" w:rsidRPr="006F2803" w:rsidRDefault="009206F7" w:rsidP="009206F7">
            <w:pPr>
              <w:pStyle w:val="Tabletext"/>
              <w:jc w:val="center"/>
              <w:rPr>
                <w:rStyle w:val="Hyperlink"/>
              </w:rPr>
            </w:pPr>
            <w:hyperlink r:id="rId79" w:history="1">
              <w:r w:rsidRPr="006F2803">
                <w:rPr>
                  <w:rStyle w:val="Hyperlink"/>
                </w:rPr>
                <w:t>INF/9</w:t>
              </w:r>
            </w:hyperlink>
          </w:p>
        </w:tc>
        <w:tc>
          <w:tcPr>
            <w:tcW w:w="8213" w:type="dxa"/>
          </w:tcPr>
          <w:p w14:paraId="3E288088" w14:textId="77777777" w:rsidR="009206F7" w:rsidRPr="006F2803" w:rsidRDefault="009206F7" w:rsidP="009206F7">
            <w:pPr>
              <w:pStyle w:val="Tabletext"/>
            </w:pPr>
            <w:r w:rsidRPr="006F2803">
              <w:t>Contribution du Conseil de l'UIT au Forum politique de haut niveau pour le développement durable (HLPF) de 2025</w:t>
            </w:r>
          </w:p>
        </w:tc>
      </w:tr>
      <w:tr w:rsidR="009206F7" w:rsidRPr="006F2803" w14:paraId="593E0789" w14:textId="77777777" w:rsidTr="000046B0">
        <w:tc>
          <w:tcPr>
            <w:tcW w:w="1418" w:type="dxa"/>
          </w:tcPr>
          <w:p w14:paraId="1734A8B6" w14:textId="77777777" w:rsidR="009206F7" w:rsidRPr="006F2803" w:rsidRDefault="009206F7" w:rsidP="009206F7">
            <w:pPr>
              <w:pStyle w:val="Tabletext"/>
              <w:jc w:val="center"/>
            </w:pPr>
          </w:p>
        </w:tc>
        <w:tc>
          <w:tcPr>
            <w:tcW w:w="8213" w:type="dxa"/>
          </w:tcPr>
          <w:p w14:paraId="5A3909E9" w14:textId="77777777" w:rsidR="009206F7" w:rsidRPr="006F2803" w:rsidRDefault="009206F7" w:rsidP="009206F7">
            <w:pPr>
              <w:pStyle w:val="Tabletext"/>
            </w:pPr>
            <w:r w:rsidRPr="006F2803">
              <w:t>Rapport sur les recettes provenant des contributions volontaires pour 2025</w:t>
            </w:r>
          </w:p>
        </w:tc>
      </w:tr>
      <w:tr w:rsidR="009206F7" w:rsidRPr="006F2803" w14:paraId="574025C0" w14:textId="77777777" w:rsidTr="000046B0">
        <w:tc>
          <w:tcPr>
            <w:tcW w:w="1418" w:type="dxa"/>
          </w:tcPr>
          <w:p w14:paraId="3BB3EF15" w14:textId="5B29CDA3" w:rsidR="009206F7" w:rsidRPr="006F2803" w:rsidRDefault="009206F7" w:rsidP="009206F7">
            <w:pPr>
              <w:pStyle w:val="Tabletext"/>
              <w:jc w:val="center"/>
              <w:rPr>
                <w:rStyle w:val="Hyperlink"/>
              </w:rPr>
            </w:pPr>
            <w:hyperlink r:id="rId80" w:history="1">
              <w:r w:rsidRPr="006F2803">
                <w:rPr>
                  <w:rStyle w:val="Hyperlink"/>
                </w:rPr>
                <w:t>INF/7</w:t>
              </w:r>
            </w:hyperlink>
          </w:p>
        </w:tc>
        <w:tc>
          <w:tcPr>
            <w:tcW w:w="8213" w:type="dxa"/>
          </w:tcPr>
          <w:p w14:paraId="00E7CA15" w14:textId="77777777" w:rsidR="009206F7" w:rsidRPr="006F2803" w:rsidRDefault="009206F7" w:rsidP="009206F7">
            <w:pPr>
              <w:pStyle w:val="Tabletext"/>
            </w:pPr>
            <w:r w:rsidRPr="006F2803">
              <w:t>Collaboration avec le système des Nations Unies</w:t>
            </w:r>
          </w:p>
        </w:tc>
      </w:tr>
      <w:tr w:rsidR="009206F7" w:rsidRPr="006F2803" w14:paraId="099EFD8E" w14:textId="77777777" w:rsidTr="000046B0">
        <w:tc>
          <w:tcPr>
            <w:tcW w:w="1418" w:type="dxa"/>
          </w:tcPr>
          <w:p w14:paraId="52F51157" w14:textId="77777777" w:rsidR="009206F7" w:rsidRPr="006F2803" w:rsidRDefault="009206F7" w:rsidP="009206F7">
            <w:pPr>
              <w:pStyle w:val="Tabletext"/>
              <w:jc w:val="center"/>
            </w:pPr>
          </w:p>
        </w:tc>
        <w:tc>
          <w:tcPr>
            <w:tcW w:w="8213" w:type="dxa"/>
          </w:tcPr>
          <w:p w14:paraId="1EA70CB3" w14:textId="77777777" w:rsidR="009206F7" w:rsidRPr="006F2803" w:rsidRDefault="009206F7" w:rsidP="009206F7">
            <w:pPr>
              <w:pStyle w:val="Tabletext"/>
            </w:pPr>
            <w:r w:rsidRPr="006F2803">
              <w:t>Présidents et Vice-Présidents des Groupes de travail du Conseil, des Groupes d'experts et des Groupes d'experts informels</w:t>
            </w:r>
          </w:p>
        </w:tc>
      </w:tr>
      <w:tr w:rsidR="009206F7" w:rsidRPr="006F2803" w14:paraId="0A2C8952" w14:textId="77777777" w:rsidTr="000046B0">
        <w:tc>
          <w:tcPr>
            <w:tcW w:w="1418" w:type="dxa"/>
          </w:tcPr>
          <w:p w14:paraId="3371F1D9" w14:textId="77777777" w:rsidR="009206F7" w:rsidRPr="006F2803" w:rsidRDefault="009206F7" w:rsidP="009206F7">
            <w:pPr>
              <w:pStyle w:val="Tabletext"/>
              <w:jc w:val="center"/>
            </w:pPr>
          </w:p>
        </w:tc>
        <w:tc>
          <w:tcPr>
            <w:tcW w:w="8213" w:type="dxa"/>
          </w:tcPr>
          <w:p w14:paraId="3557F3B0" w14:textId="77777777" w:rsidR="009206F7" w:rsidRPr="006F2803" w:rsidRDefault="009206F7" w:rsidP="009206F7">
            <w:pPr>
              <w:pStyle w:val="Tabletext"/>
            </w:pPr>
            <w:r w:rsidRPr="006F2803">
              <w:t>Projet de programme de gestion du temps pour la PP-26</w:t>
            </w:r>
          </w:p>
        </w:tc>
      </w:tr>
      <w:tr w:rsidR="009206F7" w:rsidRPr="006F2803" w14:paraId="3DA7EE9A" w14:textId="77777777" w:rsidTr="000046B0">
        <w:tc>
          <w:tcPr>
            <w:tcW w:w="1418" w:type="dxa"/>
          </w:tcPr>
          <w:p w14:paraId="699CD538" w14:textId="16014619" w:rsidR="009206F7" w:rsidRPr="006F2803" w:rsidRDefault="009206F7" w:rsidP="009206F7">
            <w:pPr>
              <w:pStyle w:val="Tabletext"/>
              <w:jc w:val="center"/>
              <w:rPr>
                <w:rStyle w:val="Hyperlink"/>
              </w:rPr>
            </w:pPr>
            <w:hyperlink r:id="rId81" w:history="1">
              <w:r w:rsidRPr="006F2803">
                <w:rPr>
                  <w:rStyle w:val="Hyperlink"/>
                </w:rPr>
                <w:t>INF/1</w:t>
              </w:r>
            </w:hyperlink>
          </w:p>
        </w:tc>
        <w:tc>
          <w:tcPr>
            <w:tcW w:w="8213" w:type="dxa"/>
          </w:tcPr>
          <w:p w14:paraId="40ACBBA8" w14:textId="77777777" w:rsidR="009206F7" w:rsidRPr="006F2803" w:rsidRDefault="009206F7" w:rsidP="009206F7">
            <w:pPr>
              <w:pStyle w:val="Tabletext"/>
            </w:pPr>
            <w:r w:rsidRPr="006F2803">
              <w:t>Lignes directrices relatives à l'harmonisation des Résolutions et des Décisions de la Conférence de plénipotentiaires</w:t>
            </w:r>
          </w:p>
        </w:tc>
      </w:tr>
      <w:tr w:rsidR="009206F7" w:rsidRPr="006F2803" w14:paraId="1D6DDD4A" w14:textId="77777777" w:rsidTr="000046B0">
        <w:tc>
          <w:tcPr>
            <w:tcW w:w="1418" w:type="dxa"/>
          </w:tcPr>
          <w:p w14:paraId="6E796A3A" w14:textId="35636794" w:rsidR="009206F7" w:rsidRPr="006F2803" w:rsidRDefault="009206F7" w:rsidP="009206F7">
            <w:pPr>
              <w:pStyle w:val="Tabletext"/>
              <w:jc w:val="center"/>
              <w:rPr>
                <w:rStyle w:val="Hyperlink"/>
              </w:rPr>
            </w:pPr>
            <w:hyperlink r:id="rId82" w:history="1">
              <w:r w:rsidRPr="006F2803">
                <w:rPr>
                  <w:rStyle w:val="Hyperlink"/>
                </w:rPr>
                <w:t>INF/2</w:t>
              </w:r>
            </w:hyperlink>
          </w:p>
        </w:tc>
        <w:tc>
          <w:tcPr>
            <w:tcW w:w="8213" w:type="dxa"/>
          </w:tcPr>
          <w:p w14:paraId="42ED1C92" w14:textId="0FAFC630" w:rsidR="009206F7" w:rsidRPr="006F2803" w:rsidRDefault="009206F7" w:rsidP="009206F7">
            <w:pPr>
              <w:pStyle w:val="Tabletext"/>
            </w:pPr>
            <w:r w:rsidRPr="006F2803">
              <w:t xml:space="preserve">Enquête sur la motivation du personnel de l'UIT </w:t>
            </w:r>
            <w:r w:rsidR="00BB6E0E" w:rsidRPr="006F2803">
              <w:t>–</w:t>
            </w:r>
            <w:r w:rsidRPr="006F2803">
              <w:t xml:space="preserve"> Rapport sur les résultats</w:t>
            </w:r>
          </w:p>
        </w:tc>
      </w:tr>
      <w:tr w:rsidR="009206F7" w:rsidRPr="006F2803" w14:paraId="76FD6C0A" w14:textId="77777777" w:rsidTr="000046B0">
        <w:tc>
          <w:tcPr>
            <w:tcW w:w="1418" w:type="dxa"/>
          </w:tcPr>
          <w:p w14:paraId="1ACF27F7" w14:textId="77777777" w:rsidR="009206F7" w:rsidRPr="006F2803" w:rsidRDefault="009206F7" w:rsidP="009206F7">
            <w:pPr>
              <w:pStyle w:val="Tabletext"/>
              <w:jc w:val="center"/>
            </w:pPr>
          </w:p>
        </w:tc>
        <w:tc>
          <w:tcPr>
            <w:tcW w:w="8213" w:type="dxa"/>
          </w:tcPr>
          <w:p w14:paraId="183CFE88" w14:textId="77777777" w:rsidR="009206F7" w:rsidRPr="006F2803" w:rsidRDefault="009206F7" w:rsidP="009206F7">
            <w:pPr>
              <w:pStyle w:val="Tabletext"/>
            </w:pPr>
            <w:r w:rsidRPr="006F2803">
              <w:t>Rapport sur les recommandations de Dalberg concernant l'examen organisationnel du Secrétariat général</w:t>
            </w:r>
          </w:p>
        </w:tc>
      </w:tr>
      <w:tr w:rsidR="009206F7" w:rsidRPr="006F2803" w14:paraId="0BAD3066" w14:textId="77777777" w:rsidTr="000046B0">
        <w:tc>
          <w:tcPr>
            <w:tcW w:w="1418" w:type="dxa"/>
          </w:tcPr>
          <w:p w14:paraId="7326A428" w14:textId="5BCC06F1" w:rsidR="009206F7" w:rsidRPr="006F2803" w:rsidRDefault="009206F7" w:rsidP="009206F7">
            <w:pPr>
              <w:pStyle w:val="Tabletext"/>
              <w:jc w:val="center"/>
            </w:pPr>
            <w:hyperlink r:id="rId83" w:history="1">
              <w:r w:rsidRPr="006F2803">
                <w:rPr>
                  <w:rStyle w:val="Hyperlink"/>
                  <w:rFonts w:eastAsia="Times New Roman" w:cs="Times New Roman"/>
                  <w:szCs w:val="20"/>
                </w:rPr>
                <w:t>INF/5</w:t>
              </w:r>
            </w:hyperlink>
          </w:p>
        </w:tc>
        <w:tc>
          <w:tcPr>
            <w:tcW w:w="8213" w:type="dxa"/>
          </w:tcPr>
          <w:p w14:paraId="2C747B5C" w14:textId="77777777" w:rsidR="009206F7" w:rsidRPr="006F2803" w:rsidRDefault="009206F7" w:rsidP="009206F7">
            <w:pPr>
              <w:pStyle w:val="Tabletext"/>
            </w:pPr>
            <w:r w:rsidRPr="006F2803">
              <w:t xml:space="preserve">Suivi des recommandations formulées dans le cadre de la vérification </w:t>
            </w:r>
            <w:proofErr w:type="spellStart"/>
            <w:r w:rsidRPr="006F2803">
              <w:t>juricomptable</w:t>
            </w:r>
            <w:proofErr w:type="spellEnd"/>
            <w:r w:rsidRPr="006F2803">
              <w:t xml:space="preserve"> et par l'Unité de l'audit interne</w:t>
            </w:r>
          </w:p>
        </w:tc>
      </w:tr>
      <w:tr w:rsidR="009206F7" w:rsidRPr="006F2803" w14:paraId="174F9343" w14:textId="77777777" w:rsidTr="000046B0">
        <w:tc>
          <w:tcPr>
            <w:tcW w:w="1418" w:type="dxa"/>
          </w:tcPr>
          <w:p w14:paraId="0E266078" w14:textId="34640E4D" w:rsidR="009206F7" w:rsidRPr="006F2803" w:rsidRDefault="009206F7" w:rsidP="009206F7">
            <w:pPr>
              <w:pStyle w:val="Tabletext"/>
              <w:jc w:val="center"/>
            </w:pPr>
            <w:hyperlink r:id="rId84" w:history="1">
              <w:r w:rsidRPr="006F2803">
                <w:rPr>
                  <w:rStyle w:val="Hyperlink"/>
                  <w:rFonts w:eastAsia="Times New Roman" w:cs="Times New Roman"/>
                  <w:szCs w:val="20"/>
                </w:rPr>
                <w:t>INF/12</w:t>
              </w:r>
            </w:hyperlink>
          </w:p>
        </w:tc>
        <w:tc>
          <w:tcPr>
            <w:tcW w:w="8213" w:type="dxa"/>
          </w:tcPr>
          <w:p w14:paraId="714FA3E6" w14:textId="77777777" w:rsidR="009206F7" w:rsidRPr="006F2803" w:rsidRDefault="009206F7" w:rsidP="009206F7">
            <w:pPr>
              <w:pStyle w:val="Tabletext"/>
            </w:pPr>
            <w:r w:rsidRPr="006F2803">
              <w:t>Analyse financière des séries de réunions des Groupes de travail du Conseil</w:t>
            </w:r>
          </w:p>
        </w:tc>
      </w:tr>
      <w:tr w:rsidR="009206F7" w:rsidRPr="006F2803" w14:paraId="72C23AF9" w14:textId="77777777" w:rsidTr="000046B0">
        <w:tc>
          <w:tcPr>
            <w:tcW w:w="1418" w:type="dxa"/>
          </w:tcPr>
          <w:p w14:paraId="62D1299C" w14:textId="3152C96F" w:rsidR="009206F7" w:rsidRPr="006F2803" w:rsidRDefault="009206F7" w:rsidP="009206F7">
            <w:pPr>
              <w:pStyle w:val="Tabletext"/>
              <w:jc w:val="center"/>
            </w:pPr>
            <w:hyperlink r:id="rId85" w:history="1">
              <w:r w:rsidRPr="006F2803">
                <w:rPr>
                  <w:rStyle w:val="Hyperlink"/>
                  <w:rFonts w:eastAsia="Times New Roman" w:cs="Times New Roman"/>
                  <w:szCs w:val="20"/>
                </w:rPr>
                <w:t>INF/3</w:t>
              </w:r>
            </w:hyperlink>
          </w:p>
        </w:tc>
        <w:tc>
          <w:tcPr>
            <w:tcW w:w="8213" w:type="dxa"/>
          </w:tcPr>
          <w:p w14:paraId="0D362F53" w14:textId="77777777" w:rsidR="009206F7" w:rsidRPr="006F2803" w:rsidRDefault="009206F7" w:rsidP="009206F7">
            <w:pPr>
              <w:pStyle w:val="Tabletext"/>
            </w:pPr>
            <w:r w:rsidRPr="006F2803">
              <w:t>Progrès accomplis dans la mise en œuvre des projets financés par le Fonds pour le développement des technologies de l'information et de la communication (FDTIC)</w:t>
            </w:r>
          </w:p>
        </w:tc>
      </w:tr>
      <w:tr w:rsidR="009206F7" w:rsidRPr="006F2803" w14:paraId="20A34082" w14:textId="77777777" w:rsidTr="000046B0">
        <w:tc>
          <w:tcPr>
            <w:tcW w:w="1418" w:type="dxa"/>
          </w:tcPr>
          <w:p w14:paraId="205D48A9" w14:textId="4D8D468E" w:rsidR="009206F7" w:rsidRPr="006F2803" w:rsidRDefault="009206F7" w:rsidP="009206F7">
            <w:pPr>
              <w:pStyle w:val="Tabletext"/>
              <w:jc w:val="center"/>
            </w:pPr>
            <w:hyperlink r:id="rId86" w:history="1">
              <w:r w:rsidRPr="006F2803">
                <w:rPr>
                  <w:rStyle w:val="Hyperlink"/>
                  <w:rFonts w:eastAsia="Times New Roman" w:cs="Times New Roman"/>
                  <w:szCs w:val="20"/>
                </w:rPr>
                <w:t>INF/8</w:t>
              </w:r>
            </w:hyperlink>
          </w:p>
        </w:tc>
        <w:tc>
          <w:tcPr>
            <w:tcW w:w="8213" w:type="dxa"/>
          </w:tcPr>
          <w:p w14:paraId="35B94BF2" w14:textId="71D23C77" w:rsidR="009206F7" w:rsidRPr="006F2803" w:rsidRDefault="009206F7" w:rsidP="009206F7">
            <w:pPr>
              <w:pStyle w:val="Tabletext"/>
            </w:pPr>
            <w:r w:rsidRPr="006F2803">
              <w:t xml:space="preserve">Annexes du Document C26/71 </w:t>
            </w:r>
            <w:r w:rsidR="00BB6E0E" w:rsidRPr="006F2803">
              <w:t>–</w:t>
            </w:r>
            <w:r w:rsidRPr="006F2803">
              <w:t xml:space="preserve"> Point sur les mesures visant à alléger la charge financière reposant sur les pays hôtes des conférences, réunions et activités de l'UIT</w:t>
            </w:r>
          </w:p>
        </w:tc>
      </w:tr>
      <w:tr w:rsidR="009206F7" w:rsidRPr="006F2803" w14:paraId="3D85B6ED" w14:textId="77777777" w:rsidTr="000046B0">
        <w:tc>
          <w:tcPr>
            <w:tcW w:w="1418" w:type="dxa"/>
          </w:tcPr>
          <w:p w14:paraId="31EE7A8B" w14:textId="1A6C18A8" w:rsidR="009206F7" w:rsidRPr="006F2803" w:rsidRDefault="009206F7" w:rsidP="009206F7">
            <w:pPr>
              <w:pStyle w:val="Tabletext"/>
              <w:jc w:val="center"/>
            </w:pPr>
            <w:hyperlink r:id="rId87" w:history="1">
              <w:r w:rsidRPr="006F2803">
                <w:rPr>
                  <w:rStyle w:val="Hyperlink"/>
                  <w:rFonts w:eastAsia="Times New Roman" w:cs="Times New Roman"/>
                  <w:szCs w:val="20"/>
                </w:rPr>
                <w:t>INF/4</w:t>
              </w:r>
            </w:hyperlink>
          </w:p>
        </w:tc>
        <w:tc>
          <w:tcPr>
            <w:tcW w:w="8213" w:type="dxa"/>
          </w:tcPr>
          <w:p w14:paraId="24DFECA2" w14:textId="78F7DEC9" w:rsidR="009206F7" w:rsidRPr="006F2803" w:rsidRDefault="009206F7" w:rsidP="009206F7">
            <w:pPr>
              <w:pStyle w:val="Tabletext"/>
            </w:pPr>
            <w:r w:rsidRPr="006F2803">
              <w:t>Informations complémentaires sur la proposition de cadre pour la sélection des pays</w:t>
            </w:r>
            <w:r w:rsidR="00EF5B6B" w:rsidRPr="006F2803">
              <w:t> </w:t>
            </w:r>
            <w:r w:rsidRPr="006F2803">
              <w:t>hôtes des conférences et assemblées de l'UIT</w:t>
            </w:r>
          </w:p>
        </w:tc>
      </w:tr>
      <w:tr w:rsidR="009206F7" w:rsidRPr="006F2803" w14:paraId="51D9ECDD" w14:textId="77777777" w:rsidTr="000046B0">
        <w:tc>
          <w:tcPr>
            <w:tcW w:w="1418" w:type="dxa"/>
          </w:tcPr>
          <w:p w14:paraId="4DC78527" w14:textId="32298841" w:rsidR="009206F7" w:rsidRPr="006F2803" w:rsidRDefault="009206F7" w:rsidP="009206F7">
            <w:pPr>
              <w:pStyle w:val="Tabletext"/>
              <w:jc w:val="center"/>
            </w:pPr>
            <w:hyperlink r:id="rId88" w:history="1">
              <w:r w:rsidRPr="006F2803">
                <w:rPr>
                  <w:rStyle w:val="Hyperlink"/>
                  <w:rFonts w:eastAsia="Times New Roman" w:cs="Times New Roman"/>
                  <w:szCs w:val="20"/>
                </w:rPr>
                <w:t>INF/10</w:t>
              </w:r>
            </w:hyperlink>
          </w:p>
        </w:tc>
        <w:tc>
          <w:tcPr>
            <w:tcW w:w="8213" w:type="dxa"/>
          </w:tcPr>
          <w:p w14:paraId="7A4C07F3" w14:textId="77777777" w:rsidR="009206F7" w:rsidRPr="006F2803" w:rsidRDefault="009206F7" w:rsidP="009206F7">
            <w:pPr>
              <w:pStyle w:val="Tabletext"/>
            </w:pPr>
            <w:r w:rsidRPr="006F2803">
              <w:t>Examen de la présence régionale de l'UIT</w:t>
            </w:r>
          </w:p>
        </w:tc>
      </w:tr>
      <w:tr w:rsidR="009206F7" w:rsidRPr="006F2803" w14:paraId="545017AF" w14:textId="77777777" w:rsidTr="000046B0">
        <w:tc>
          <w:tcPr>
            <w:tcW w:w="1418" w:type="dxa"/>
          </w:tcPr>
          <w:p w14:paraId="3060B03B" w14:textId="3DABD39A" w:rsidR="009206F7" w:rsidRPr="006F2803" w:rsidRDefault="009206F7" w:rsidP="009206F7">
            <w:pPr>
              <w:pStyle w:val="Tabletext"/>
              <w:jc w:val="center"/>
            </w:pPr>
            <w:hyperlink r:id="rId89" w:history="1">
              <w:r w:rsidRPr="006F2803">
                <w:rPr>
                  <w:rStyle w:val="Hyperlink"/>
                  <w:rFonts w:eastAsia="Times New Roman" w:cs="Times New Roman"/>
                  <w:szCs w:val="20"/>
                </w:rPr>
                <w:t>INF/13</w:t>
              </w:r>
            </w:hyperlink>
          </w:p>
        </w:tc>
        <w:tc>
          <w:tcPr>
            <w:tcW w:w="8213" w:type="dxa"/>
          </w:tcPr>
          <w:p w14:paraId="08558807" w14:textId="77777777" w:rsidR="009206F7" w:rsidRPr="006F2803" w:rsidRDefault="009206F7" w:rsidP="009206F7">
            <w:pPr>
              <w:pStyle w:val="Tabletext"/>
            </w:pPr>
            <w:r w:rsidRPr="006F2803">
              <w:t>Lignes directrices pour aider les délégations à préparer leurs déclarations de politique générale à la Conférence de plénipotentiaires de 2026</w:t>
            </w:r>
          </w:p>
        </w:tc>
      </w:tr>
      <w:tr w:rsidR="009206F7" w:rsidRPr="006F2803" w14:paraId="04249F80" w14:textId="77777777" w:rsidTr="000046B0">
        <w:tc>
          <w:tcPr>
            <w:tcW w:w="1418" w:type="dxa"/>
          </w:tcPr>
          <w:p w14:paraId="1FA975AF" w14:textId="0305F647" w:rsidR="009206F7" w:rsidRPr="006F2803" w:rsidRDefault="009206F7" w:rsidP="009206F7">
            <w:pPr>
              <w:pStyle w:val="Tabletext"/>
              <w:jc w:val="center"/>
            </w:pPr>
            <w:hyperlink r:id="rId90" w:history="1">
              <w:r w:rsidRPr="006F2803">
                <w:rPr>
                  <w:rStyle w:val="Hyperlink"/>
                  <w:rFonts w:eastAsia="Times New Roman" w:cs="Times New Roman"/>
                  <w:szCs w:val="20"/>
                </w:rPr>
                <w:t>INF/14</w:t>
              </w:r>
            </w:hyperlink>
          </w:p>
        </w:tc>
        <w:tc>
          <w:tcPr>
            <w:tcW w:w="8213" w:type="dxa"/>
          </w:tcPr>
          <w:p w14:paraId="43147DA3" w14:textId="77777777" w:rsidR="009206F7" w:rsidRPr="006F2803" w:rsidRDefault="009206F7" w:rsidP="009206F7">
            <w:pPr>
              <w:pStyle w:val="Tabletext"/>
            </w:pPr>
            <w:r w:rsidRPr="006F2803">
              <w:t>Informations additionnelles sur la mise en œuvre de la stratégie de mobilisation des ressources de l'UIT</w:t>
            </w:r>
          </w:p>
        </w:tc>
      </w:tr>
      <w:tr w:rsidR="009206F7" w:rsidRPr="006F2803" w14:paraId="7F185F0F" w14:textId="77777777" w:rsidTr="000046B0">
        <w:tc>
          <w:tcPr>
            <w:tcW w:w="1418" w:type="dxa"/>
          </w:tcPr>
          <w:p w14:paraId="0C079758" w14:textId="3C610EEE" w:rsidR="009206F7" w:rsidRPr="006F2803" w:rsidRDefault="009206F7" w:rsidP="009206F7">
            <w:pPr>
              <w:pStyle w:val="Tabletext"/>
              <w:jc w:val="center"/>
            </w:pPr>
            <w:hyperlink r:id="rId91" w:history="1">
              <w:r w:rsidRPr="006F2803">
                <w:rPr>
                  <w:rStyle w:val="Hyperlink"/>
                  <w:rFonts w:eastAsia="Times New Roman" w:cs="Times New Roman"/>
                  <w:szCs w:val="20"/>
                </w:rPr>
                <w:t>INF/6</w:t>
              </w:r>
            </w:hyperlink>
          </w:p>
        </w:tc>
        <w:tc>
          <w:tcPr>
            <w:tcW w:w="8213" w:type="dxa"/>
          </w:tcPr>
          <w:p w14:paraId="1A45B408" w14:textId="77777777" w:rsidR="009206F7" w:rsidRPr="006F2803" w:rsidRDefault="009206F7" w:rsidP="009206F7">
            <w:pPr>
              <w:pStyle w:val="Tabletext"/>
            </w:pPr>
            <w:r w:rsidRPr="006F2803">
              <w:t>Vue d'ensemble des bases pour la transformation numérique de l'UIT (2026-2027)</w:t>
            </w:r>
          </w:p>
        </w:tc>
      </w:tr>
      <w:tr w:rsidR="009206F7" w:rsidRPr="006F2803" w14:paraId="40D57738" w14:textId="77777777" w:rsidTr="000046B0">
        <w:tc>
          <w:tcPr>
            <w:tcW w:w="1418" w:type="dxa"/>
          </w:tcPr>
          <w:p w14:paraId="6503BF94" w14:textId="77777777" w:rsidR="009206F7" w:rsidRPr="006F2803" w:rsidRDefault="009206F7" w:rsidP="009206F7">
            <w:pPr>
              <w:pStyle w:val="Tabletext"/>
              <w:jc w:val="center"/>
            </w:pPr>
          </w:p>
        </w:tc>
        <w:tc>
          <w:tcPr>
            <w:tcW w:w="8213" w:type="dxa"/>
          </w:tcPr>
          <w:p w14:paraId="5BD977CA" w14:textId="5A358845" w:rsidR="009206F7" w:rsidRPr="006F2803" w:rsidRDefault="009206F7" w:rsidP="009206F7">
            <w:pPr>
              <w:pStyle w:val="Tabletext"/>
            </w:pPr>
            <w:r w:rsidRPr="006F2803">
              <w:t>Point sur la mise en œuvre par l'UIT des recommandations du Corps</w:t>
            </w:r>
            <w:r w:rsidR="00337F0D" w:rsidRPr="006F2803">
              <w:t> </w:t>
            </w:r>
            <w:r w:rsidRPr="006F2803">
              <w:t>commun</w:t>
            </w:r>
            <w:r w:rsidR="00337F0D" w:rsidRPr="006F2803">
              <w:t> </w:t>
            </w:r>
            <w:r w:rsidRPr="006F2803">
              <w:t>d'inspection (CCI) des Nations Unies</w:t>
            </w:r>
          </w:p>
        </w:tc>
      </w:tr>
      <w:tr w:rsidR="009206F7" w:rsidRPr="006F2803" w14:paraId="4E2CC52F" w14:textId="77777777" w:rsidTr="000046B0">
        <w:tc>
          <w:tcPr>
            <w:tcW w:w="1418" w:type="dxa"/>
          </w:tcPr>
          <w:p w14:paraId="584B7C54" w14:textId="77777777" w:rsidR="009206F7" w:rsidRPr="006F2803" w:rsidRDefault="009206F7" w:rsidP="009206F7">
            <w:pPr>
              <w:pStyle w:val="Tabletext"/>
              <w:jc w:val="center"/>
            </w:pPr>
          </w:p>
        </w:tc>
        <w:tc>
          <w:tcPr>
            <w:tcW w:w="8213" w:type="dxa"/>
          </w:tcPr>
          <w:p w14:paraId="62ED8C50" w14:textId="77777777" w:rsidR="009206F7" w:rsidRPr="006F2803" w:rsidRDefault="009206F7" w:rsidP="009206F7">
            <w:pPr>
              <w:pStyle w:val="Tabletext"/>
            </w:pPr>
            <w:r w:rsidRPr="006F2803">
              <w:t>Déclaration du Conseil du personnel</w:t>
            </w:r>
          </w:p>
        </w:tc>
      </w:tr>
    </w:tbl>
    <w:p w14:paraId="45DC79BE" w14:textId="77777777" w:rsidR="00897553" w:rsidRPr="006F2803" w:rsidRDefault="006A11AE" w:rsidP="002D2336">
      <w:pPr>
        <w:jc w:val="center"/>
      </w:pPr>
      <w:r w:rsidRPr="006F2803">
        <w:t>______________</w:t>
      </w:r>
    </w:p>
    <w:sectPr w:rsidR="00897553" w:rsidRPr="006F2803" w:rsidSect="00D72F49">
      <w:headerReference w:type="even" r:id="rId92"/>
      <w:footerReference w:type="even" r:id="rId93"/>
      <w:footerReference w:type="default" r:id="rId94"/>
      <w:headerReference w:type="first" r:id="rId95"/>
      <w:footerReference w:type="first" r:id="rId96"/>
      <w:pgSz w:w="11907" w:h="16840" w:code="9"/>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3A779" w14:textId="77777777" w:rsidR="00115C80" w:rsidRDefault="00115C80">
      <w:r>
        <w:separator/>
      </w:r>
    </w:p>
  </w:endnote>
  <w:endnote w:type="continuationSeparator" w:id="0">
    <w:p w14:paraId="1E8B4A19" w14:textId="77777777" w:rsidR="00115C80" w:rsidRDefault="00115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F08BA" w14:textId="230D6F7F" w:rsidR="00732045" w:rsidRDefault="00115C80">
    <w:pPr>
      <w:pStyle w:val="Footer"/>
    </w:pPr>
    <w:fldSimple w:instr=" FILENAME \p \* MERGEFORMAT ">
      <w:r>
        <w:t>Document1</w:t>
      </w:r>
    </w:fldSimple>
    <w:r w:rsidR="00732045">
      <w:tab/>
    </w:r>
    <w:r w:rsidR="002F1B76">
      <w:fldChar w:fldCharType="begin"/>
    </w:r>
    <w:r w:rsidR="00732045">
      <w:instrText xml:space="preserve"> savedate \@ dd.MM.yy </w:instrText>
    </w:r>
    <w:r w:rsidR="002F1B76">
      <w:fldChar w:fldCharType="separate"/>
    </w:r>
    <w:r w:rsidR="005B40ED">
      <w:t>14.04.26</w:t>
    </w:r>
    <w:r w:rsidR="002F1B76">
      <w:fldChar w:fldCharType="end"/>
    </w:r>
    <w:r w:rsidR="00732045">
      <w:tab/>
    </w:r>
    <w:r w:rsidR="002F1B76">
      <w:fldChar w:fldCharType="begin"/>
    </w:r>
    <w:r w:rsidR="00732045">
      <w:instrText xml:space="preserve"> printdate \@ dd.MM.yy </w:instrText>
    </w:r>
    <w:r w:rsidR="002F1B76">
      <w:fldChar w:fldCharType="separate"/>
    </w:r>
    <w:r>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35E26511" w14:textId="77777777" w:rsidTr="00E31DCE">
      <w:trPr>
        <w:jc w:val="center"/>
      </w:trPr>
      <w:tc>
        <w:tcPr>
          <w:tcW w:w="1803" w:type="dxa"/>
          <w:vAlign w:val="center"/>
        </w:tcPr>
        <w:p w14:paraId="36D1FB5B" w14:textId="09E26C18" w:rsidR="00A51849" w:rsidRDefault="00BB6E0E" w:rsidP="00A51849">
          <w:pPr>
            <w:pStyle w:val="Header"/>
            <w:jc w:val="left"/>
            <w:rPr>
              <w:noProof/>
            </w:rPr>
          </w:pPr>
          <w:r>
            <w:rPr>
              <w:noProof/>
            </w:rPr>
            <w:t>2600815</w:t>
          </w:r>
        </w:p>
      </w:tc>
      <w:tc>
        <w:tcPr>
          <w:tcW w:w="8261" w:type="dxa"/>
        </w:tcPr>
        <w:p w14:paraId="30A49B31" w14:textId="75E4C7F6"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E4448E">
            <w:rPr>
              <w:bCs/>
            </w:rPr>
            <w:t>6</w:t>
          </w:r>
          <w:r w:rsidRPr="00623AE3">
            <w:rPr>
              <w:bCs/>
            </w:rPr>
            <w:t>/</w:t>
          </w:r>
          <w:r w:rsidR="00BB6E0E">
            <w:rPr>
              <w:bCs/>
            </w:rPr>
            <w:t>1</w:t>
          </w:r>
          <w:r w:rsidRPr="00623AE3">
            <w:rPr>
              <w:bCs/>
            </w:rPr>
            <w:t>-</w:t>
          </w:r>
          <w:r w:rsidR="00973F53">
            <w:rPr>
              <w:bCs/>
            </w:rPr>
            <w:t>F</w:t>
          </w:r>
          <w:r>
            <w:rPr>
              <w:bCs/>
            </w:rPr>
            <w:tab/>
          </w:r>
          <w:r>
            <w:fldChar w:fldCharType="begin"/>
          </w:r>
          <w:r>
            <w:instrText>PAGE</w:instrText>
          </w:r>
          <w:r>
            <w:fldChar w:fldCharType="separate"/>
          </w:r>
          <w:r>
            <w:t>1</w:t>
          </w:r>
          <w:r>
            <w:rPr>
              <w:noProof/>
            </w:rPr>
            <w:fldChar w:fldCharType="end"/>
          </w:r>
        </w:p>
      </w:tc>
    </w:tr>
  </w:tbl>
  <w:p w14:paraId="494C14D7" w14:textId="77777777" w:rsidR="00732045" w:rsidRPr="00A51849" w:rsidRDefault="00732045" w:rsidP="00FC6D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5AB482E6" w14:textId="77777777" w:rsidTr="00E31DCE">
      <w:trPr>
        <w:jc w:val="center"/>
      </w:trPr>
      <w:tc>
        <w:tcPr>
          <w:tcW w:w="1803" w:type="dxa"/>
          <w:vAlign w:val="center"/>
        </w:tcPr>
        <w:p w14:paraId="16FD4F44" w14:textId="77777777" w:rsidR="00A51849" w:rsidRPr="00FC6D7D" w:rsidRDefault="00E4448E" w:rsidP="00A51849">
          <w:pPr>
            <w:pStyle w:val="Header"/>
            <w:jc w:val="left"/>
            <w:rPr>
              <w:noProof/>
              <w:color w:val="0563C1"/>
            </w:rPr>
          </w:pPr>
          <w:hyperlink r:id="rId1" w:anchor="/fr" w:history="1">
            <w:r>
              <w:rPr>
                <w:rStyle w:val="Hyperlink"/>
              </w:rPr>
              <w:t>council.itu.int/2026</w:t>
            </w:r>
          </w:hyperlink>
        </w:p>
      </w:tc>
      <w:tc>
        <w:tcPr>
          <w:tcW w:w="8261" w:type="dxa"/>
        </w:tcPr>
        <w:p w14:paraId="0ED69F93" w14:textId="7BF2769A"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E4448E">
            <w:rPr>
              <w:bCs/>
            </w:rPr>
            <w:t>6</w:t>
          </w:r>
          <w:r w:rsidRPr="00623AE3">
            <w:rPr>
              <w:bCs/>
            </w:rPr>
            <w:t>/</w:t>
          </w:r>
          <w:r w:rsidR="00BB6E0E">
            <w:rPr>
              <w:bCs/>
            </w:rPr>
            <w:t>1</w:t>
          </w:r>
          <w:r w:rsidRPr="00623AE3">
            <w:rPr>
              <w:bCs/>
            </w:rPr>
            <w:t>-</w:t>
          </w:r>
          <w:r w:rsidR="00D72F49">
            <w:rPr>
              <w:bCs/>
            </w:rPr>
            <w:t>F</w:t>
          </w:r>
          <w:r>
            <w:rPr>
              <w:bCs/>
            </w:rPr>
            <w:tab/>
          </w:r>
          <w:r>
            <w:fldChar w:fldCharType="begin"/>
          </w:r>
          <w:r>
            <w:instrText>PAGE</w:instrText>
          </w:r>
          <w:r>
            <w:fldChar w:fldCharType="separate"/>
          </w:r>
          <w:r>
            <w:t>1</w:t>
          </w:r>
          <w:r>
            <w:rPr>
              <w:noProof/>
            </w:rPr>
            <w:fldChar w:fldCharType="end"/>
          </w:r>
        </w:p>
      </w:tc>
    </w:tr>
  </w:tbl>
  <w:p w14:paraId="5A0E89BE" w14:textId="77777777" w:rsidR="00732045" w:rsidRPr="00A51849" w:rsidRDefault="00732045" w:rsidP="00FC6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B3056" w14:textId="77777777" w:rsidR="00115C80" w:rsidRDefault="00115C80">
      <w:r>
        <w:t>____________________</w:t>
      </w:r>
    </w:p>
  </w:footnote>
  <w:footnote w:type="continuationSeparator" w:id="0">
    <w:p w14:paraId="254D6213" w14:textId="77777777" w:rsidR="00115C80" w:rsidRDefault="00115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4F776"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646665DF" w14:textId="77777777" w:rsidR="00732045" w:rsidRDefault="00732045">
    <w:pPr>
      <w:pStyle w:val="Header"/>
    </w:pPr>
    <w:r>
      <w:t>C2001/#-F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2942F" w14:textId="77777777" w:rsidR="00A51849" w:rsidRPr="001342E0" w:rsidRDefault="001342E0" w:rsidP="001342E0">
    <w:pPr>
      <w:pStyle w:val="Header"/>
    </w:pPr>
    <w:r>
      <w:rPr>
        <w:noProof/>
      </w:rPr>
      <w:drawing>
        <wp:inline distT="0" distB="0" distL="0" distR="0" wp14:anchorId="5ED8E9FD" wp14:editId="1D4E8F16">
          <wp:extent cx="5760085" cy="840740"/>
          <wp:effectExtent l="0" t="0" r="0" b="0"/>
          <wp:docPr id="322889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89409" name="Picture 322889409"/>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8364A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FC17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52E2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324F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BEA3A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3050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D0D2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22DA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4A9B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22DCA6"/>
    <w:lvl w:ilvl="0">
      <w:start w:val="1"/>
      <w:numFmt w:val="bullet"/>
      <w:lvlText w:val=""/>
      <w:lvlJc w:val="left"/>
      <w:pPr>
        <w:tabs>
          <w:tab w:val="num" w:pos="360"/>
        </w:tabs>
        <w:ind w:left="360" w:hanging="360"/>
      </w:pPr>
      <w:rPr>
        <w:rFonts w:ascii="Symbol" w:hAnsi="Symbol" w:hint="default"/>
      </w:rPr>
    </w:lvl>
  </w:abstractNum>
  <w:num w:numId="1" w16cid:durableId="204144983">
    <w:abstractNumId w:val="9"/>
  </w:num>
  <w:num w:numId="2" w16cid:durableId="1042679003">
    <w:abstractNumId w:val="7"/>
  </w:num>
  <w:num w:numId="3" w16cid:durableId="1710033290">
    <w:abstractNumId w:val="6"/>
  </w:num>
  <w:num w:numId="4" w16cid:durableId="1466967443">
    <w:abstractNumId w:val="5"/>
  </w:num>
  <w:num w:numId="5" w16cid:durableId="1019041869">
    <w:abstractNumId w:val="4"/>
  </w:num>
  <w:num w:numId="6" w16cid:durableId="1994942309">
    <w:abstractNumId w:val="8"/>
  </w:num>
  <w:num w:numId="7" w16cid:durableId="1943762712">
    <w:abstractNumId w:val="3"/>
  </w:num>
  <w:num w:numId="8" w16cid:durableId="1210023807">
    <w:abstractNumId w:val="2"/>
  </w:num>
  <w:num w:numId="9" w16cid:durableId="976300499">
    <w:abstractNumId w:val="1"/>
  </w:num>
  <w:num w:numId="10" w16cid:durableId="153841235">
    <w:abstractNumId w:val="0"/>
  </w:num>
  <w:num w:numId="11" w16cid:durableId="401220439">
    <w:abstractNumId w:val="8"/>
  </w:num>
  <w:num w:numId="12" w16cid:durableId="1266042031">
    <w:abstractNumId w:val="3"/>
  </w:num>
  <w:num w:numId="13" w16cid:durableId="1286500294">
    <w:abstractNumId w:val="2"/>
  </w:num>
  <w:num w:numId="14" w16cid:durableId="1804274698">
    <w:abstractNumId w:val="1"/>
  </w:num>
  <w:num w:numId="15" w16cid:durableId="232618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C80"/>
    <w:rsid w:val="00076A2C"/>
    <w:rsid w:val="000D0D0A"/>
    <w:rsid w:val="00103163"/>
    <w:rsid w:val="00106B19"/>
    <w:rsid w:val="001133EF"/>
    <w:rsid w:val="00115C80"/>
    <w:rsid w:val="00115D93"/>
    <w:rsid w:val="001247A8"/>
    <w:rsid w:val="001342E0"/>
    <w:rsid w:val="001370B2"/>
    <w:rsid w:val="001378C0"/>
    <w:rsid w:val="001658F9"/>
    <w:rsid w:val="0018694A"/>
    <w:rsid w:val="0019129B"/>
    <w:rsid w:val="001A3287"/>
    <w:rsid w:val="001A6508"/>
    <w:rsid w:val="001C0FE1"/>
    <w:rsid w:val="001D1D4F"/>
    <w:rsid w:val="001D4C31"/>
    <w:rsid w:val="001E4D21"/>
    <w:rsid w:val="00207CD1"/>
    <w:rsid w:val="00226657"/>
    <w:rsid w:val="002477A2"/>
    <w:rsid w:val="00263A51"/>
    <w:rsid w:val="00267E02"/>
    <w:rsid w:val="00270D56"/>
    <w:rsid w:val="00271321"/>
    <w:rsid w:val="00277DEA"/>
    <w:rsid w:val="002A5D44"/>
    <w:rsid w:val="002C1C32"/>
    <w:rsid w:val="002C3F32"/>
    <w:rsid w:val="002C4E3D"/>
    <w:rsid w:val="002D2336"/>
    <w:rsid w:val="002D78A8"/>
    <w:rsid w:val="002E0BC4"/>
    <w:rsid w:val="002F1B76"/>
    <w:rsid w:val="0033568E"/>
    <w:rsid w:val="00337F0D"/>
    <w:rsid w:val="00355FF5"/>
    <w:rsid w:val="00361350"/>
    <w:rsid w:val="003C3FAE"/>
    <w:rsid w:val="004038CB"/>
    <w:rsid w:val="0040546F"/>
    <w:rsid w:val="004177BD"/>
    <w:rsid w:val="0042404A"/>
    <w:rsid w:val="0044618F"/>
    <w:rsid w:val="00465C35"/>
    <w:rsid w:val="0046769A"/>
    <w:rsid w:val="00475FB3"/>
    <w:rsid w:val="00483F01"/>
    <w:rsid w:val="004C37A9"/>
    <w:rsid w:val="004D1D50"/>
    <w:rsid w:val="004F259E"/>
    <w:rsid w:val="004F633A"/>
    <w:rsid w:val="00504C7F"/>
    <w:rsid w:val="00511F1D"/>
    <w:rsid w:val="00520F36"/>
    <w:rsid w:val="00524E8D"/>
    <w:rsid w:val="00534E13"/>
    <w:rsid w:val="00540615"/>
    <w:rsid w:val="00540A6D"/>
    <w:rsid w:val="00553536"/>
    <w:rsid w:val="00566679"/>
    <w:rsid w:val="00571EEA"/>
    <w:rsid w:val="00575417"/>
    <w:rsid w:val="005768E1"/>
    <w:rsid w:val="005B1938"/>
    <w:rsid w:val="005B40ED"/>
    <w:rsid w:val="005C3890"/>
    <w:rsid w:val="005F7BFE"/>
    <w:rsid w:val="00600017"/>
    <w:rsid w:val="00602682"/>
    <w:rsid w:val="006235CA"/>
    <w:rsid w:val="0062366E"/>
    <w:rsid w:val="006643AB"/>
    <w:rsid w:val="006A11AE"/>
    <w:rsid w:val="006B224B"/>
    <w:rsid w:val="006B4AC8"/>
    <w:rsid w:val="006F0A53"/>
    <w:rsid w:val="006F2803"/>
    <w:rsid w:val="0071402E"/>
    <w:rsid w:val="007210CD"/>
    <w:rsid w:val="00732045"/>
    <w:rsid w:val="0073275D"/>
    <w:rsid w:val="007369DB"/>
    <w:rsid w:val="007638F1"/>
    <w:rsid w:val="0077110E"/>
    <w:rsid w:val="007956C2"/>
    <w:rsid w:val="00796BDB"/>
    <w:rsid w:val="007A187E"/>
    <w:rsid w:val="007C72C2"/>
    <w:rsid w:val="007D4436"/>
    <w:rsid w:val="007F147C"/>
    <w:rsid w:val="007F257A"/>
    <w:rsid w:val="007F3665"/>
    <w:rsid w:val="00800037"/>
    <w:rsid w:val="0082299A"/>
    <w:rsid w:val="0083391C"/>
    <w:rsid w:val="0084546D"/>
    <w:rsid w:val="00861D73"/>
    <w:rsid w:val="00882919"/>
    <w:rsid w:val="00897553"/>
    <w:rsid w:val="008A4E87"/>
    <w:rsid w:val="008D76E6"/>
    <w:rsid w:val="009206F7"/>
    <w:rsid w:val="0092392D"/>
    <w:rsid w:val="0093234A"/>
    <w:rsid w:val="00956A78"/>
    <w:rsid w:val="0097363B"/>
    <w:rsid w:val="00973F53"/>
    <w:rsid w:val="0098348E"/>
    <w:rsid w:val="009A6BAA"/>
    <w:rsid w:val="009A76A8"/>
    <w:rsid w:val="009C307F"/>
    <w:rsid w:val="009C353C"/>
    <w:rsid w:val="009D5955"/>
    <w:rsid w:val="009F0FB8"/>
    <w:rsid w:val="00A01F4F"/>
    <w:rsid w:val="00A109AF"/>
    <w:rsid w:val="00A125FB"/>
    <w:rsid w:val="00A2113E"/>
    <w:rsid w:val="00A23A51"/>
    <w:rsid w:val="00A24607"/>
    <w:rsid w:val="00A25CD3"/>
    <w:rsid w:val="00A51849"/>
    <w:rsid w:val="00A709FE"/>
    <w:rsid w:val="00A73C60"/>
    <w:rsid w:val="00A82767"/>
    <w:rsid w:val="00AA1B54"/>
    <w:rsid w:val="00AA332F"/>
    <w:rsid w:val="00AA7BBB"/>
    <w:rsid w:val="00AB64A8"/>
    <w:rsid w:val="00AC0266"/>
    <w:rsid w:val="00AC0F1D"/>
    <w:rsid w:val="00AD24EC"/>
    <w:rsid w:val="00B11CAD"/>
    <w:rsid w:val="00B27B00"/>
    <w:rsid w:val="00B309F9"/>
    <w:rsid w:val="00B32B60"/>
    <w:rsid w:val="00B51005"/>
    <w:rsid w:val="00B61619"/>
    <w:rsid w:val="00BB38C1"/>
    <w:rsid w:val="00BB4545"/>
    <w:rsid w:val="00BB6E0E"/>
    <w:rsid w:val="00BD5873"/>
    <w:rsid w:val="00BF4B60"/>
    <w:rsid w:val="00C049D7"/>
    <w:rsid w:val="00C04BE3"/>
    <w:rsid w:val="00C15096"/>
    <w:rsid w:val="00C25D29"/>
    <w:rsid w:val="00C2625E"/>
    <w:rsid w:val="00C27A7C"/>
    <w:rsid w:val="00C42437"/>
    <w:rsid w:val="00C96B5C"/>
    <w:rsid w:val="00CA08ED"/>
    <w:rsid w:val="00CC6EAA"/>
    <w:rsid w:val="00CE5172"/>
    <w:rsid w:val="00CF0534"/>
    <w:rsid w:val="00CF183B"/>
    <w:rsid w:val="00CF5210"/>
    <w:rsid w:val="00D375CD"/>
    <w:rsid w:val="00D37B53"/>
    <w:rsid w:val="00D553A2"/>
    <w:rsid w:val="00D72F49"/>
    <w:rsid w:val="00D774D3"/>
    <w:rsid w:val="00D904E8"/>
    <w:rsid w:val="00DA08C3"/>
    <w:rsid w:val="00DB5A3E"/>
    <w:rsid w:val="00DC22AA"/>
    <w:rsid w:val="00DD1A99"/>
    <w:rsid w:val="00DE62C6"/>
    <w:rsid w:val="00DF74DD"/>
    <w:rsid w:val="00E25AD0"/>
    <w:rsid w:val="00E4428F"/>
    <w:rsid w:val="00E4448E"/>
    <w:rsid w:val="00E47427"/>
    <w:rsid w:val="00E71111"/>
    <w:rsid w:val="00E93668"/>
    <w:rsid w:val="00E94420"/>
    <w:rsid w:val="00E95647"/>
    <w:rsid w:val="00EB6350"/>
    <w:rsid w:val="00ED799B"/>
    <w:rsid w:val="00EF5B6B"/>
    <w:rsid w:val="00F15B57"/>
    <w:rsid w:val="00F35EF4"/>
    <w:rsid w:val="00F37FE5"/>
    <w:rsid w:val="00F427DB"/>
    <w:rsid w:val="00F82D4E"/>
    <w:rsid w:val="00FA5EB1"/>
    <w:rsid w:val="00FA7439"/>
    <w:rsid w:val="00FC4EC0"/>
    <w:rsid w:val="00FC6D7D"/>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7D81EA"/>
  <w15:docId w15:val="{C390ACEA-DD95-4636-8459-A61EE72C8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66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ED799B"/>
    <w:pPr>
      <w:keepNext/>
      <w:keepLines/>
      <w:spacing w:before="360"/>
      <w:ind w:left="567" w:hanging="567"/>
      <w:outlineLvl w:val="0"/>
    </w:pPr>
    <w:rPr>
      <w:b/>
      <w:sz w:val="28"/>
    </w:rPr>
  </w:style>
  <w:style w:type="paragraph" w:styleId="Heading2">
    <w:name w:val="heading 2"/>
    <w:basedOn w:val="Heading1"/>
    <w:next w:val="Normal"/>
    <w:qFormat/>
    <w:rsid w:val="00ED799B"/>
    <w:pPr>
      <w:spacing w:before="200"/>
      <w:outlineLvl w:val="1"/>
    </w:pPr>
    <w:rPr>
      <w:sz w:val="24"/>
    </w:rPr>
  </w:style>
  <w:style w:type="paragraph" w:styleId="Heading3">
    <w:name w:val="heading 3"/>
    <w:basedOn w:val="Heading1"/>
    <w:next w:val="Normal"/>
    <w:qFormat/>
    <w:rsid w:val="00ED799B"/>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19129B"/>
  </w:style>
  <w:style w:type="paragraph" w:styleId="TOC3">
    <w:name w:val="toc 3"/>
    <w:basedOn w:val="TOC1"/>
    <w:next w:val="Normal"/>
    <w:rsid w:val="001658F9"/>
  </w:style>
  <w:style w:type="paragraph" w:styleId="TOC2">
    <w:name w:val="toc 2"/>
    <w:basedOn w:val="TOC1"/>
    <w:next w:val="Normal"/>
    <w:rsid w:val="001658F9"/>
    <w:pPr>
      <w:spacing w:before="160"/>
    </w:pPr>
  </w:style>
  <w:style w:type="paragraph" w:styleId="TOC1">
    <w:name w:val="toc 1"/>
    <w:basedOn w:val="Normal"/>
    <w:rsid w:val="001658F9"/>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19129B"/>
  </w:style>
  <w:style w:type="paragraph" w:styleId="TOC6">
    <w:name w:val="toc 6"/>
    <w:basedOn w:val="TOC5"/>
    <w:next w:val="Normal"/>
    <w:rsid w:val="0019129B"/>
  </w:style>
  <w:style w:type="paragraph" w:styleId="TOC5">
    <w:name w:val="toc 5"/>
    <w:basedOn w:val="TOC4"/>
    <w:next w:val="Normal"/>
    <w:rsid w:val="0019129B"/>
    <w:rPr>
      <w:lang w:val="fr-CH"/>
    </w:rPr>
  </w:style>
  <w:style w:type="paragraph" w:styleId="TOC4">
    <w:name w:val="toc 4"/>
    <w:basedOn w:val="TOC1"/>
    <w:next w:val="Normal"/>
    <w:rsid w:val="0019129B"/>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ED799B"/>
    <w:pPr>
      <w:keepLines/>
      <w:tabs>
        <w:tab w:val="left" w:pos="256"/>
      </w:tabs>
      <w:ind w:left="256" w:hanging="256"/>
    </w:pPr>
    <w:rPr>
      <w:sz w:val="22"/>
    </w:rPr>
  </w:style>
  <w:style w:type="paragraph" w:styleId="NormalIndent">
    <w:name w:val="Normal Indent"/>
    <w:basedOn w:val="Normal"/>
    <w:rsid w:val="00732045"/>
    <w:pPr>
      <w:ind w:left="567"/>
    </w:pPr>
  </w:style>
  <w:style w:type="paragraph" w:customStyle="1" w:styleId="enumlev1">
    <w:name w:val="enumlev1"/>
    <w:basedOn w:val="Normal"/>
    <w:rsid w:val="009D5955"/>
    <w:pPr>
      <w:spacing w:before="80"/>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9D595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ED799B"/>
    <w:pPr>
      <w:spacing w:before="160"/>
      <w:ind w:left="0" w:firstLine="0"/>
      <w:outlineLvl w:val="0"/>
    </w:pPr>
  </w:style>
  <w:style w:type="paragraph" w:customStyle="1" w:styleId="Title1">
    <w:name w:val="Title 1"/>
    <w:basedOn w:val="Normal"/>
    <w:next w:val="Normalaftertitle"/>
    <w:rsid w:val="0071402E"/>
    <w:pPr>
      <w:spacing w:before="360"/>
      <w:jc w:val="center"/>
    </w:pPr>
    <w:rPr>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71402E"/>
    <w:pPr>
      <w:spacing w:before="80"/>
    </w:pPr>
    <w:rPr>
      <w:sz w:val="22"/>
    </w:r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aliases w:val="CEO_Hyperlink"/>
    <w:basedOn w:val="DefaultParagraphFont"/>
    <w:rsid w:val="00FC6D7D"/>
    <w:rPr>
      <w:rFonts w:eastAsiaTheme="minorHAnsi" w:cstheme="minorBidi"/>
      <w:color w:val="4F81BD" w:themeColor="accent1"/>
      <w:szCs w:val="22"/>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BB38C1"/>
    <w:pPr>
      <w:keepNext/>
      <w:keepLines/>
      <w:spacing w:before="720"/>
      <w:jc w:val="center"/>
    </w:pPr>
    <w:rPr>
      <w:caps/>
      <w:sz w:val="28"/>
    </w:rPr>
  </w:style>
  <w:style w:type="paragraph" w:customStyle="1" w:styleId="Annexref">
    <w:name w:val="Annex_ref"/>
    <w:basedOn w:val="Normal"/>
    <w:next w:val="Annextitle"/>
    <w:rsid w:val="00BB38C1"/>
    <w:pPr>
      <w:keepNext/>
      <w:keepLines/>
      <w:jc w:val="center"/>
    </w:pPr>
    <w:rPr>
      <w:sz w:val="28"/>
    </w:rPr>
  </w:style>
  <w:style w:type="paragraph" w:customStyle="1" w:styleId="Annextitle">
    <w:name w:val="Annex_title"/>
    <w:basedOn w:val="Normal"/>
    <w:next w:val="Normalaftertitle"/>
    <w:rsid w:val="00BB38C1"/>
    <w:pPr>
      <w:keepNext/>
      <w:keepLines/>
      <w:spacing w:before="240" w:after="240"/>
      <w:jc w:val="center"/>
    </w:pPr>
    <w:rPr>
      <w:b/>
      <w:sz w:val="28"/>
    </w:rPr>
  </w:style>
  <w:style w:type="paragraph" w:customStyle="1" w:styleId="AppendixNo">
    <w:name w:val="Appendix_No"/>
    <w:basedOn w:val="AnnexNo"/>
    <w:next w:val="Appendixref"/>
    <w:rsid w:val="00BB38C1"/>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aftertitle"/>
    <w:rsid w:val="00BB38C1"/>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BB38C1"/>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B38C1"/>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aftertitle"/>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Normal"/>
    <w:rsid w:val="009D5955"/>
    <w:pPr>
      <w:spacing w:after="240"/>
      <w:jc w:val="center"/>
    </w:pPr>
  </w:style>
  <w:style w:type="paragraph" w:customStyle="1" w:styleId="Figurelegend">
    <w:name w:val="Figure_legend"/>
    <w:basedOn w:val="Normal"/>
    <w:next w:val="Normal"/>
    <w:rsid w:val="009D5955"/>
    <w:pPr>
      <w:spacing w:before="20" w:after="240"/>
    </w:pPr>
    <w:rPr>
      <w:sz w:val="18"/>
    </w:rPr>
  </w:style>
  <w:style w:type="paragraph" w:customStyle="1" w:styleId="TableNo">
    <w:name w:val="Table_No"/>
    <w:basedOn w:val="Normal"/>
    <w:next w:val="Tabletitle"/>
    <w:rsid w:val="0071402E"/>
    <w:pPr>
      <w:keepNext/>
      <w:keepLines/>
      <w:spacing w:before="480" w:after="120"/>
      <w:jc w:val="center"/>
    </w:pPr>
    <w:rPr>
      <w:caps/>
    </w:rPr>
  </w:style>
  <w:style w:type="paragraph" w:customStyle="1" w:styleId="Tabletitle">
    <w:name w:val="Table_title"/>
    <w:basedOn w:val="TableNo"/>
    <w:next w:val="Tabletext"/>
    <w:rsid w:val="0071402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9D5955"/>
    <w:pPr>
      <w:spacing w:before="120" w:after="0"/>
    </w:pPr>
  </w:style>
  <w:style w:type="paragraph" w:customStyle="1" w:styleId="Figurewithouttitle">
    <w:name w:val="Figure_without_title"/>
    <w:basedOn w:val="Figure"/>
    <w:next w:val="Normal"/>
    <w:rsid w:val="00ED799B"/>
  </w:style>
  <w:style w:type="paragraph" w:customStyle="1" w:styleId="Headingi">
    <w:name w:val="Heading_i"/>
    <w:basedOn w:val="Heading3"/>
    <w:next w:val="Normal"/>
    <w:rsid w:val="00ED799B"/>
    <w:pPr>
      <w:spacing w:before="160"/>
      <w:ind w:left="0" w:firstLine="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1402E"/>
    <w:pPr>
      <w:keepNext/>
      <w:keepLines/>
      <w:spacing w:before="720"/>
      <w:jc w:val="center"/>
    </w:pPr>
    <w:rPr>
      <w:caps/>
      <w:sz w:val="28"/>
    </w:rPr>
  </w:style>
  <w:style w:type="paragraph" w:customStyle="1" w:styleId="Rectitle">
    <w:name w:val="Rec_title"/>
    <w:basedOn w:val="Normal"/>
    <w:next w:val="Heading1"/>
    <w:rsid w:val="0071402E"/>
    <w:pPr>
      <w:keepNext/>
      <w:keepLines/>
      <w:jc w:val="center"/>
    </w:pPr>
    <w:rPr>
      <w:b/>
      <w:sz w:val="28"/>
    </w:rPr>
  </w:style>
  <w:style w:type="paragraph" w:customStyle="1" w:styleId="Recref">
    <w:name w:val="Rec_ref"/>
    <w:basedOn w:val="Rectitle"/>
    <w:next w:val="Recdate"/>
    <w:rsid w:val="005C3890"/>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71402E"/>
  </w:style>
  <w:style w:type="paragraph" w:customStyle="1" w:styleId="QuestionNo">
    <w:name w:val="Question_No"/>
    <w:basedOn w:val="RecNo"/>
    <w:next w:val="Questiontitle"/>
    <w:rsid w:val="0071402E"/>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71402E"/>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1402E"/>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71402E"/>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1402E"/>
    <w:pPr>
      <w:tabs>
        <w:tab w:val="clear" w:pos="1134"/>
        <w:tab w:val="clear" w:pos="1701"/>
        <w:tab w:val="clear" w:pos="2268"/>
        <w:tab w:val="clear" w:pos="2835"/>
        <w:tab w:val="left" w:pos="284"/>
        <w:tab w:val="left" w:pos="851"/>
      </w:tabs>
      <w:spacing w:before="40" w:after="40"/>
    </w:pPr>
    <w:rPr>
      <w:sz w:val="22"/>
    </w:rPr>
  </w:style>
  <w:style w:type="paragraph" w:customStyle="1" w:styleId="Tablehead">
    <w:name w:val="Table_head"/>
    <w:basedOn w:val="Tabletext"/>
    <w:rsid w:val="0071402E"/>
    <w:pPr>
      <w:keepNext/>
      <w:keepLines/>
      <w:spacing w:before="80" w:after="80"/>
      <w:jc w:val="center"/>
    </w:pPr>
    <w:rPr>
      <w:b/>
    </w:rPr>
  </w:style>
  <w:style w:type="paragraph" w:customStyle="1" w:styleId="Tablelegend">
    <w:name w:val="Table_legend"/>
    <w:basedOn w:val="Tabletext"/>
    <w:rsid w:val="0071402E"/>
    <w:pPr>
      <w:ind w:left="284" w:hanging="284"/>
    </w:pPr>
    <w:rPr>
      <w:sz w:val="20"/>
    </w:rPr>
  </w:style>
  <w:style w:type="paragraph" w:customStyle="1" w:styleId="Tableref">
    <w:name w:val="Table_ref"/>
    <w:basedOn w:val="Normal"/>
    <w:next w:val="Tabletitle"/>
    <w:rsid w:val="0071402E"/>
    <w:pPr>
      <w:keepNext/>
      <w:keepLines/>
      <w:jc w:val="center"/>
    </w:pPr>
    <w:rPr>
      <w:sz w:val="20"/>
    </w:rPr>
  </w:style>
  <w:style w:type="paragraph" w:customStyle="1" w:styleId="Title2">
    <w:name w:val="Title 2"/>
    <w:basedOn w:val="Title1"/>
    <w:next w:val="Normalaftertitle"/>
    <w:rsid w:val="006B224B"/>
    <w:pPr>
      <w:keepNext/>
      <w:keepLines/>
      <w:spacing w:before="240"/>
    </w:pPr>
    <w:rPr>
      <w:b/>
      <w:caps w:val="0"/>
    </w:rPr>
  </w:style>
  <w:style w:type="paragraph" w:customStyle="1" w:styleId="Title3">
    <w:name w:val="Title 3"/>
    <w:basedOn w:val="Title2"/>
    <w:next w:val="Normalaftertitle"/>
    <w:rsid w:val="006B224B"/>
    <w:rPr>
      <w:b w:val="0"/>
      <w:caps/>
    </w:rPr>
  </w:style>
  <w:style w:type="paragraph" w:customStyle="1" w:styleId="Title4">
    <w:name w:val="Title 4"/>
    <w:basedOn w:val="Annextitle"/>
    <w:next w:val="Normal"/>
    <w:rsid w:val="00CE5172"/>
    <w:pPr>
      <w:spacing w:after="120"/>
    </w:pPr>
    <w:rPr>
      <w:b w:val="0"/>
    </w:rPr>
  </w:style>
  <w:style w:type="paragraph" w:customStyle="1" w:styleId="FigureNo">
    <w:name w:val="Figure_No"/>
    <w:basedOn w:val="Normal"/>
    <w:next w:val="Figuretitle"/>
    <w:rsid w:val="009D5955"/>
    <w:pPr>
      <w:keepNext/>
      <w:keepLines/>
      <w:spacing w:before="48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PlaceholderText">
    <w:name w:val="Placeholder Text"/>
    <w:basedOn w:val="DefaultParagraphFont"/>
    <w:uiPriority w:val="99"/>
    <w:semiHidden/>
    <w:rsid w:val="00FC6D7D"/>
    <w:rPr>
      <w:color w:val="666666"/>
    </w:rPr>
  </w:style>
  <w:style w:type="character" w:styleId="UnresolvedMention">
    <w:name w:val="Unresolved Mention"/>
    <w:basedOn w:val="DefaultParagraphFont"/>
    <w:uiPriority w:val="99"/>
    <w:semiHidden/>
    <w:unhideWhenUsed/>
    <w:rsid w:val="00FC6D7D"/>
    <w:rPr>
      <w:color w:val="605E5C"/>
      <w:shd w:val="clear" w:color="auto" w:fill="E1DFDD"/>
    </w:rPr>
  </w:style>
  <w:style w:type="paragraph" w:customStyle="1" w:styleId="Referencetext">
    <w:name w:val="Reference_text"/>
    <w:basedOn w:val="Normal"/>
    <w:rsid w:val="00CE5172"/>
    <w:pPr>
      <w:framePr w:hSpace="181" w:wrap="around" w:vAnchor="page" w:hAnchor="page" w:x="1589" w:y="2314"/>
      <w:spacing w:after="160"/>
    </w:pPr>
    <w:rPr>
      <w:i/>
      <w:iCs/>
      <w:sz w:val="22"/>
      <w:szCs w:val="22"/>
    </w:rPr>
  </w:style>
  <w:style w:type="paragraph" w:customStyle="1" w:styleId="AnnexNoTitle">
    <w:name w:val="Annex_NoTitle"/>
    <w:basedOn w:val="Normal"/>
    <w:next w:val="Normal"/>
    <w:rsid w:val="009206F7"/>
    <w:pPr>
      <w:keepNext/>
      <w:keepLines/>
      <w:tabs>
        <w:tab w:val="clear" w:pos="567"/>
        <w:tab w:val="clear" w:pos="1134"/>
        <w:tab w:val="clear" w:pos="1701"/>
        <w:tab w:val="clear" w:pos="2268"/>
        <w:tab w:val="clear" w:pos="2835"/>
        <w:tab w:val="left" w:pos="794"/>
        <w:tab w:val="left" w:pos="1191"/>
        <w:tab w:val="left" w:pos="1588"/>
        <w:tab w:val="left" w:pos="1985"/>
      </w:tabs>
      <w:spacing w:before="720" w:after="120" w:line="280" w:lineRule="exact"/>
      <w:jc w:val="center"/>
    </w:pPr>
    <w:rPr>
      <w:rFonts w:cs="Calibri"/>
      <w:b/>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itu.int/md/S26-CL-C-0033/fr" TargetMode="External"/><Relationship Id="rId21" Type="http://schemas.openxmlformats.org/officeDocument/2006/relationships/hyperlink" Target="https://www.itu.int/md/S26-CL-C-0008/fr" TargetMode="External"/><Relationship Id="rId42" Type="http://schemas.openxmlformats.org/officeDocument/2006/relationships/hyperlink" Target="https://www.itu.int/md/S26-CL-C-0053/fr" TargetMode="External"/><Relationship Id="rId47" Type="http://schemas.openxmlformats.org/officeDocument/2006/relationships/hyperlink" Target="https://www.itu.int/md/S26-CL-C-0072/fr" TargetMode="External"/><Relationship Id="rId63" Type="http://schemas.openxmlformats.org/officeDocument/2006/relationships/hyperlink" Target="https://www.itu.int/md/S26-CL-C-0045/fr" TargetMode="External"/><Relationship Id="rId68" Type="http://schemas.openxmlformats.org/officeDocument/2006/relationships/hyperlink" Target="https://www.itu.int/md/S26-CL-C-0066/fr" TargetMode="External"/><Relationship Id="rId84" Type="http://schemas.openxmlformats.org/officeDocument/2006/relationships/hyperlink" Target="https://www.itu.int/md/S26-CL-INF-0012/fr" TargetMode="External"/><Relationship Id="rId89" Type="http://schemas.openxmlformats.org/officeDocument/2006/relationships/hyperlink" Target="https://www.itu.int/md/S26-CL-INF-0013/fr" TargetMode="External"/><Relationship Id="rId16" Type="http://schemas.openxmlformats.org/officeDocument/2006/relationships/hyperlink" Target="https://www.itu.int/md/S26-CL-C-0012/fr" TargetMode="External"/><Relationship Id="rId11" Type="http://schemas.openxmlformats.org/officeDocument/2006/relationships/hyperlink" Target="https://www.itu.int/md/S26-CL-C-0032/fr" TargetMode="External"/><Relationship Id="rId32" Type="http://schemas.openxmlformats.org/officeDocument/2006/relationships/hyperlink" Target="https://www.itu.int/md/S26-CL-C-0064/fr" TargetMode="External"/><Relationship Id="rId37" Type="http://schemas.openxmlformats.org/officeDocument/2006/relationships/hyperlink" Target="https://www.itu.int/md/S26-CL-C-0006/fr" TargetMode="External"/><Relationship Id="rId53" Type="http://schemas.openxmlformats.org/officeDocument/2006/relationships/hyperlink" Target="https://www.itu.int/md/S26-CL-C-0038/fr" TargetMode="External"/><Relationship Id="rId58" Type="http://schemas.openxmlformats.org/officeDocument/2006/relationships/hyperlink" Target="https://www.itu.int/md/S26-CL-C-0036/fr" TargetMode="External"/><Relationship Id="rId74" Type="http://schemas.openxmlformats.org/officeDocument/2006/relationships/hyperlink" Target="https://www.itu.int/md/S26-CL-C-0065/fr" TargetMode="External"/><Relationship Id="rId79" Type="http://schemas.openxmlformats.org/officeDocument/2006/relationships/hyperlink" Target="https://www.itu.int/md/S26-CL-INF-0009/fr" TargetMode="External"/><Relationship Id="rId5" Type="http://schemas.openxmlformats.org/officeDocument/2006/relationships/footnotes" Target="footnotes.xml"/><Relationship Id="rId90" Type="http://schemas.openxmlformats.org/officeDocument/2006/relationships/hyperlink" Target="https://www.itu.int/md/S26-CL-INF-0014/fr" TargetMode="External"/><Relationship Id="rId95" Type="http://schemas.openxmlformats.org/officeDocument/2006/relationships/header" Target="header2.xml"/><Relationship Id="rId22" Type="http://schemas.openxmlformats.org/officeDocument/2006/relationships/hyperlink" Target="https://www.itu.int/md/S26-CL-C-0010/fr" TargetMode="External"/><Relationship Id="rId27" Type="http://schemas.openxmlformats.org/officeDocument/2006/relationships/hyperlink" Target="https://www.itu.int/md/S26-CL-C-0017/fr" TargetMode="External"/><Relationship Id="rId43" Type="http://schemas.openxmlformats.org/officeDocument/2006/relationships/hyperlink" Target="https://www.itu.int/md/S26-CL-C-0043/fr" TargetMode="External"/><Relationship Id="rId48" Type="http://schemas.openxmlformats.org/officeDocument/2006/relationships/hyperlink" Target="https://www.itu.int/md/S26-CL-C-0054/fr" TargetMode="External"/><Relationship Id="rId64" Type="http://schemas.openxmlformats.org/officeDocument/2006/relationships/hyperlink" Target="https://www.itu.int/md/S26-CL-C-0014/fr" TargetMode="External"/><Relationship Id="rId69" Type="http://schemas.openxmlformats.org/officeDocument/2006/relationships/hyperlink" Target="https://www.itu.int/md/S26-CL-C-0023/fr" TargetMode="External"/><Relationship Id="rId80" Type="http://schemas.openxmlformats.org/officeDocument/2006/relationships/hyperlink" Target="https://www.itu.int/md/S26-CL-INF-0007/fr" TargetMode="External"/><Relationship Id="rId85" Type="http://schemas.openxmlformats.org/officeDocument/2006/relationships/hyperlink" Target="https://www.itu.int/md/S26-CL-INF-0003/fr" TargetMode="External"/><Relationship Id="rId3" Type="http://schemas.openxmlformats.org/officeDocument/2006/relationships/settings" Target="settings.xml"/><Relationship Id="rId12" Type="http://schemas.openxmlformats.org/officeDocument/2006/relationships/hyperlink" Target="https://www.itu.int/md/S26-CL-C-0025/fr" TargetMode="External"/><Relationship Id="rId17" Type="http://schemas.openxmlformats.org/officeDocument/2006/relationships/hyperlink" Target="https://www.itu.int/md/S26-CL-C-0013/fr" TargetMode="External"/><Relationship Id="rId25" Type="http://schemas.openxmlformats.org/officeDocument/2006/relationships/hyperlink" Target="https://www.itu.int/md/S26-CL-C-0060/fr" TargetMode="External"/><Relationship Id="rId33" Type="http://schemas.openxmlformats.org/officeDocument/2006/relationships/hyperlink" Target="https://www.itu.int/md/S26-CL-C-0074/fr" TargetMode="External"/><Relationship Id="rId38" Type="http://schemas.openxmlformats.org/officeDocument/2006/relationships/hyperlink" Target="https://www.itu.int/md/S26-CL-C-0002/fr" TargetMode="External"/><Relationship Id="rId46" Type="http://schemas.openxmlformats.org/officeDocument/2006/relationships/hyperlink" Target="https://www.itu.int/md/S26-CL-C-0047/fr" TargetMode="External"/><Relationship Id="rId59" Type="http://schemas.openxmlformats.org/officeDocument/2006/relationships/hyperlink" Target="https://www.itu.int/md/S26-CL-C-0040/fr" TargetMode="External"/><Relationship Id="rId67" Type="http://schemas.openxmlformats.org/officeDocument/2006/relationships/hyperlink" Target="https://www.itu.int/md/S26-CL-C-0057/fr" TargetMode="External"/><Relationship Id="rId20" Type="http://schemas.openxmlformats.org/officeDocument/2006/relationships/hyperlink" Target="https://www.itu.int/md/S26-CL-C-0026/fr" TargetMode="External"/><Relationship Id="rId41" Type="http://schemas.openxmlformats.org/officeDocument/2006/relationships/hyperlink" Target="https://www.itu.int/md/S26-CL-C-0050/fr" TargetMode="External"/><Relationship Id="rId54" Type="http://schemas.openxmlformats.org/officeDocument/2006/relationships/hyperlink" Target="https://www.itu.int/md/S26-CL-C-0034/fr" TargetMode="External"/><Relationship Id="rId62" Type="http://schemas.openxmlformats.org/officeDocument/2006/relationships/hyperlink" Target="https://www.itu.int/md/S26-CL-C-0039/fr" TargetMode="External"/><Relationship Id="rId70" Type="http://schemas.openxmlformats.org/officeDocument/2006/relationships/hyperlink" Target="https://www.itu.int/md/S26-CL-C-0067/fr" TargetMode="External"/><Relationship Id="rId75" Type="http://schemas.openxmlformats.org/officeDocument/2006/relationships/hyperlink" Target="https://www.itu.int/md/S26-CL-C-0027/fr" TargetMode="External"/><Relationship Id="rId83" Type="http://schemas.openxmlformats.org/officeDocument/2006/relationships/hyperlink" Target="https://www.itu.int/md/S26-CL-INF-0005/fr" TargetMode="External"/><Relationship Id="rId88" Type="http://schemas.openxmlformats.org/officeDocument/2006/relationships/hyperlink" Target="https://www.itu.int/md/S26-CL-INF-0010/fr" TargetMode="External"/><Relationship Id="rId91" Type="http://schemas.openxmlformats.org/officeDocument/2006/relationships/hyperlink" Target="https://www.itu.int/md/S26-CL-INF-0006/fr" TargetMode="External"/><Relationship Id="rId9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itu.int/md/S26-CL-C-0018/fr" TargetMode="External"/><Relationship Id="rId23" Type="http://schemas.openxmlformats.org/officeDocument/2006/relationships/hyperlink" Target="https://www.itu.int/md/S26-CL-C-0058/fr" TargetMode="External"/><Relationship Id="rId28" Type="http://schemas.openxmlformats.org/officeDocument/2006/relationships/hyperlink" Target="https://www.itu.int/md/S26-CL-C-0061/fr" TargetMode="External"/><Relationship Id="rId36" Type="http://schemas.openxmlformats.org/officeDocument/2006/relationships/hyperlink" Target="https://www.itu.int/md/S26-CL-C-0004/fr" TargetMode="External"/><Relationship Id="rId49" Type="http://schemas.openxmlformats.org/officeDocument/2006/relationships/hyperlink" Target="https://www.itu.int/md/S26-CL-C-0019/fr" TargetMode="External"/><Relationship Id="rId57" Type="http://schemas.openxmlformats.org/officeDocument/2006/relationships/hyperlink" Target="https://www.itu.int/md/S26-CL-C-0020/fr" TargetMode="External"/><Relationship Id="rId10" Type="http://schemas.openxmlformats.org/officeDocument/2006/relationships/hyperlink" Target="https://www.itu.int/md/S26-CL-C-0031/fr" TargetMode="External"/><Relationship Id="rId31" Type="http://schemas.openxmlformats.org/officeDocument/2006/relationships/hyperlink" Target="https://www.itu.int/md/S26-CL-C-0069/fr" TargetMode="External"/><Relationship Id="rId44" Type="http://schemas.openxmlformats.org/officeDocument/2006/relationships/hyperlink" Target="https://www.itu.int/md/S26-CL-C-0009/fr" TargetMode="External"/><Relationship Id="rId52" Type="http://schemas.openxmlformats.org/officeDocument/2006/relationships/hyperlink" Target="https://www.itu.int/md/S26-CL-C-0073/en" TargetMode="External"/><Relationship Id="rId60" Type="http://schemas.openxmlformats.org/officeDocument/2006/relationships/hyperlink" Target="https://www.itu.int/md/S26-CL-C-0041/fr" TargetMode="External"/><Relationship Id="rId65" Type="http://schemas.openxmlformats.org/officeDocument/2006/relationships/hyperlink" Target="https://www.itu.int/md/S26-CL-C-0049/fr" TargetMode="External"/><Relationship Id="rId73" Type="http://schemas.openxmlformats.org/officeDocument/2006/relationships/hyperlink" Target="https://www.itu.int/md/S26-CL-C-0048/fr" TargetMode="External"/><Relationship Id="rId78" Type="http://schemas.openxmlformats.org/officeDocument/2006/relationships/hyperlink" Target="https://www.itu.int/md/S26-CL-C-0071/fr" TargetMode="External"/><Relationship Id="rId81" Type="http://schemas.openxmlformats.org/officeDocument/2006/relationships/hyperlink" Target="https://www.itu.int/md/S26-CL-INF-0001/fr" TargetMode="External"/><Relationship Id="rId86" Type="http://schemas.openxmlformats.org/officeDocument/2006/relationships/hyperlink" Target="https://www.itu.int/md/S26-CL-INF-0008/fr" TargetMode="External"/><Relationship Id="rId9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itu.int/md/S26-CL-C-0028/fr" TargetMode="External"/><Relationship Id="rId13" Type="http://schemas.openxmlformats.org/officeDocument/2006/relationships/hyperlink" Target="https://www.itu.int/md/S26-CL-C-0024/fr" TargetMode="External"/><Relationship Id="rId18" Type="http://schemas.openxmlformats.org/officeDocument/2006/relationships/hyperlink" Target="https://www.itu.int/md/S26-CL-C-0051/fr" TargetMode="External"/><Relationship Id="rId39" Type="http://schemas.openxmlformats.org/officeDocument/2006/relationships/hyperlink" Target="https://www.itu.int/md/S26-CL-C-0037/fr" TargetMode="External"/><Relationship Id="rId34" Type="http://schemas.openxmlformats.org/officeDocument/2006/relationships/hyperlink" Target="https://www.itu.int/md/S26-CL-C-0030/fr" TargetMode="External"/><Relationship Id="rId50" Type="http://schemas.openxmlformats.org/officeDocument/2006/relationships/hyperlink" Target="https://www.itu.int/md/S26-CL-C-0016/fr" TargetMode="External"/><Relationship Id="rId55" Type="http://schemas.openxmlformats.org/officeDocument/2006/relationships/hyperlink" Target="https://www.itu.int/md/S26-CL-C-0046/fr" TargetMode="External"/><Relationship Id="rId76" Type="http://schemas.openxmlformats.org/officeDocument/2006/relationships/hyperlink" Target="https://www.itu.int/md/S26-CL-C-0062/fr" TargetMode="External"/><Relationship Id="rId97" Type="http://schemas.openxmlformats.org/officeDocument/2006/relationships/fontTable" Target="fontTable.xml"/><Relationship Id="rId7" Type="http://schemas.openxmlformats.org/officeDocument/2006/relationships/hyperlink" Target="https://www.itu.int/md/S26-CL-C-0035/fr" TargetMode="External"/><Relationship Id="rId71" Type="http://schemas.openxmlformats.org/officeDocument/2006/relationships/hyperlink" Target="https://www.itu.int/md/S26-CL-C-0007/fr" TargetMode="External"/><Relationship Id="rId92" Type="http://schemas.openxmlformats.org/officeDocument/2006/relationships/header" Target="header1.xml"/><Relationship Id="rId2" Type="http://schemas.openxmlformats.org/officeDocument/2006/relationships/styles" Target="styles.xml"/><Relationship Id="rId29" Type="http://schemas.openxmlformats.org/officeDocument/2006/relationships/hyperlink" Target="https://www.itu.int/md/S26-CL-C-0029/en" TargetMode="External"/><Relationship Id="rId24" Type="http://schemas.openxmlformats.org/officeDocument/2006/relationships/hyperlink" Target="https://www.itu.int/md/S26-CL-C-0059/fr" TargetMode="External"/><Relationship Id="rId40" Type="http://schemas.openxmlformats.org/officeDocument/2006/relationships/hyperlink" Target="https://www.itu.int/md/S26-CL-C-0003/fr" TargetMode="External"/><Relationship Id="rId45" Type="http://schemas.openxmlformats.org/officeDocument/2006/relationships/hyperlink" Target="https://www.itu.int/md/S26-CL-C-0042/fr" TargetMode="External"/><Relationship Id="rId66" Type="http://schemas.openxmlformats.org/officeDocument/2006/relationships/hyperlink" Target="https://www.itu.int/md/S26-CL-C-0022/fr" TargetMode="External"/><Relationship Id="rId87" Type="http://schemas.openxmlformats.org/officeDocument/2006/relationships/hyperlink" Target="https://www.itu.int/md/S26-CL-INF-0004/fr" TargetMode="External"/><Relationship Id="rId61" Type="http://schemas.openxmlformats.org/officeDocument/2006/relationships/hyperlink" Target="https://www.itu.int/md/S26-CL-C-0044/fr" TargetMode="External"/><Relationship Id="rId82" Type="http://schemas.openxmlformats.org/officeDocument/2006/relationships/hyperlink" Target="https://www.itu.int/md/S26-CL-INF-0002/fr" TargetMode="External"/><Relationship Id="rId19" Type="http://schemas.openxmlformats.org/officeDocument/2006/relationships/hyperlink" Target="https://www.itu.int/md/S26-CL-C-0052/fr" TargetMode="External"/><Relationship Id="rId14" Type="http://schemas.openxmlformats.org/officeDocument/2006/relationships/hyperlink" Target="https://www.itu.int/md/S26-CL-C-0015/fr" TargetMode="External"/><Relationship Id="rId30" Type="http://schemas.openxmlformats.org/officeDocument/2006/relationships/hyperlink" Target="https://www.itu.int/md/S26-CL-C-0068/fr" TargetMode="External"/><Relationship Id="rId35" Type="http://schemas.openxmlformats.org/officeDocument/2006/relationships/hyperlink" Target="https://www.itu.int/md/S26-CL-C-0005/fr" TargetMode="External"/><Relationship Id="rId56" Type="http://schemas.openxmlformats.org/officeDocument/2006/relationships/hyperlink" Target="https://www.itu.int/md/S26-CL-C-0056/fr" TargetMode="External"/><Relationship Id="rId77" Type="http://schemas.openxmlformats.org/officeDocument/2006/relationships/hyperlink" Target="https://www.itu.int/md/S26-CL-C-0070/fr" TargetMode="External"/><Relationship Id="rId8" Type="http://schemas.openxmlformats.org/officeDocument/2006/relationships/hyperlink" Target="https://www.itu.int/md/S26-CL-C-0055/fr" TargetMode="External"/><Relationship Id="rId51" Type="http://schemas.openxmlformats.org/officeDocument/2006/relationships/hyperlink" Target="https://www.itu.int/md/S26-CL-C-0011/fr" TargetMode="External"/><Relationship Id="rId72" Type="http://schemas.openxmlformats.org/officeDocument/2006/relationships/hyperlink" Target="https://www.itu.int/md/S26-CL-C-0063/fr" TargetMode="External"/><Relationship Id="rId93" Type="http://schemas.openxmlformats.org/officeDocument/2006/relationships/footer" Target="footer1.xml"/><Relationship Id="rId98"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SG\PF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PF_Council26</Template>
  <TotalTime>1</TotalTime>
  <Pages>5</Pages>
  <Words>2168</Words>
  <Characters>13358</Characters>
  <Application>Microsoft Office Word</Application>
  <DocSecurity>0</DocSecurity>
  <Lines>430</Lines>
  <Paragraphs>419</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15107</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Conseil 2026 de l'UIT</dc:subject>
  <dc:creator>French</dc:creator>
  <cp:keywords>C26; C2026; Council 2026; PP26</cp:keywords>
  <dc:description/>
  <cp:lastModifiedBy>GBS</cp:lastModifiedBy>
  <cp:revision>2</cp:revision>
  <cp:lastPrinted>2000-07-18T08:55:00Z</cp:lastPrinted>
  <dcterms:created xsi:type="dcterms:W3CDTF">2026-04-26T11:53:00Z</dcterms:created>
  <dcterms:modified xsi:type="dcterms:W3CDTF">2026-04-26T11:53:00Z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3b117b70c20e9b2783321a6b7cab6c2f080bb257cb74c6787543e88ec12dc3bd</vt:lpwstr>
  </property>
</Properties>
</file>