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3"/>
        <w:gridCol w:w="2978"/>
      </w:tblGrid>
      <w:tr w:rsidR="007B0AA0" w14:paraId="02C7D9C0" w14:textId="77777777" w:rsidTr="00670734">
        <w:tc>
          <w:tcPr>
            <w:tcW w:w="6093" w:type="dxa"/>
          </w:tcPr>
          <w:p w14:paraId="6174FED4" w14:textId="34017709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8" w:type="dxa"/>
          </w:tcPr>
          <w:p w14:paraId="6060F5F0" w14:textId="5C703E55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</w:t>
            </w:r>
            <w:r w:rsidR="000116AF">
              <w:rPr>
                <w:b/>
                <w:bCs/>
                <w:lang w:bidi="ar-EG"/>
              </w:rPr>
              <w:t>6</w:t>
            </w:r>
            <w:r w:rsidRPr="007B0AA0">
              <w:rPr>
                <w:b/>
                <w:bCs/>
                <w:lang w:bidi="ar-EG"/>
              </w:rPr>
              <w:t>/</w:t>
            </w:r>
            <w:r w:rsidR="00670734">
              <w:rPr>
                <w:b/>
                <w:bCs/>
                <w:lang w:bidi="ar-EG"/>
              </w:rPr>
              <w:t>1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43A329A0" w14:textId="77777777" w:rsidTr="00670734">
        <w:tc>
          <w:tcPr>
            <w:tcW w:w="6093" w:type="dxa"/>
          </w:tcPr>
          <w:p w14:paraId="47F93AE5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8" w:type="dxa"/>
          </w:tcPr>
          <w:p w14:paraId="3F553A1C" w14:textId="0D6342AC" w:rsidR="007B0AA0" w:rsidRPr="007B0AA0" w:rsidRDefault="00670734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‏2‏ أبريل‏ 2026</w:t>
            </w:r>
          </w:p>
        </w:tc>
      </w:tr>
      <w:tr w:rsidR="007B0AA0" w14:paraId="777CB916" w14:textId="77777777" w:rsidTr="00670734">
        <w:tc>
          <w:tcPr>
            <w:tcW w:w="6093" w:type="dxa"/>
          </w:tcPr>
          <w:p w14:paraId="6580B6B7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8" w:type="dxa"/>
          </w:tcPr>
          <w:p w14:paraId="15EE7149" w14:textId="77777777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50487E38" w14:textId="77777777" w:rsidTr="00670734">
        <w:tc>
          <w:tcPr>
            <w:tcW w:w="6093" w:type="dxa"/>
          </w:tcPr>
          <w:p w14:paraId="06D56A58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2978" w:type="dxa"/>
          </w:tcPr>
          <w:p w14:paraId="445D746E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2BD5EF62" w14:textId="77777777" w:rsidTr="00471908">
        <w:tc>
          <w:tcPr>
            <w:tcW w:w="9071" w:type="dxa"/>
            <w:gridSpan w:val="2"/>
          </w:tcPr>
          <w:p w14:paraId="081F1785" w14:textId="4A9F90C9" w:rsidR="007B0AA0" w:rsidRDefault="00670734" w:rsidP="00670734">
            <w:pPr>
              <w:pStyle w:val="Source"/>
              <w:jc w:val="left"/>
              <w:rPr>
                <w:lang w:bidi="ar-EG"/>
              </w:rPr>
            </w:pPr>
            <w:r w:rsidRPr="00670734">
              <w:rPr>
                <w:rFonts w:hint="eastAsia"/>
                <w:rtl/>
                <w:lang w:bidi="ar-EG"/>
              </w:rPr>
              <w:t>مذكرة</w:t>
            </w:r>
            <w:r w:rsidRPr="00670734">
              <w:rPr>
                <w:rtl/>
                <w:lang w:bidi="ar-EG"/>
              </w:rPr>
              <w:t xml:space="preserve"> </w:t>
            </w:r>
            <w:r w:rsidRPr="00670734">
              <w:rPr>
                <w:rFonts w:hint="eastAsia"/>
                <w:rtl/>
                <w:lang w:bidi="ar-EG"/>
              </w:rPr>
              <w:t>من</w:t>
            </w:r>
            <w:r w:rsidRPr="00670734">
              <w:rPr>
                <w:rtl/>
                <w:lang w:bidi="ar-EG"/>
              </w:rPr>
              <w:t xml:space="preserve"> </w:t>
            </w:r>
            <w:r w:rsidRPr="00670734">
              <w:rPr>
                <w:rFonts w:hint="eastAsia"/>
                <w:rtl/>
                <w:lang w:bidi="ar-EG"/>
              </w:rPr>
              <w:t>الأمينة</w:t>
            </w:r>
            <w:r w:rsidRPr="00670734">
              <w:rPr>
                <w:rtl/>
                <w:lang w:bidi="ar-EG"/>
              </w:rPr>
              <w:t xml:space="preserve"> </w:t>
            </w:r>
            <w:r w:rsidRPr="00670734">
              <w:rPr>
                <w:rFonts w:hint="eastAsia"/>
                <w:rtl/>
                <w:lang w:bidi="ar-EG"/>
              </w:rPr>
              <w:t>العامة</w:t>
            </w:r>
          </w:p>
        </w:tc>
      </w:tr>
      <w:tr w:rsidR="007B0AA0" w14:paraId="33B2DCD5" w14:textId="77777777" w:rsidTr="00471908">
        <w:tc>
          <w:tcPr>
            <w:tcW w:w="9071" w:type="dxa"/>
            <w:gridSpan w:val="2"/>
          </w:tcPr>
          <w:p w14:paraId="494D4091" w14:textId="0B2CF998" w:rsidR="007B0AA0" w:rsidRPr="005546CF" w:rsidRDefault="00670734" w:rsidP="00670734">
            <w:pPr>
              <w:pStyle w:val="Subtitle0"/>
              <w:rPr>
                <w:sz w:val="32"/>
                <w:szCs w:val="32"/>
              </w:rPr>
            </w:pPr>
            <w:r w:rsidRPr="00670734">
              <w:rPr>
                <w:rFonts w:hint="eastAsia"/>
                <w:sz w:val="32"/>
                <w:szCs w:val="32"/>
                <w:rtl/>
                <w:lang w:bidi="ar-SA"/>
              </w:rPr>
              <w:t>مشروع</w:t>
            </w:r>
            <w:r w:rsidRPr="00670734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670734">
              <w:rPr>
                <w:rFonts w:hint="eastAsia"/>
                <w:sz w:val="32"/>
                <w:szCs w:val="32"/>
                <w:rtl/>
                <w:lang w:bidi="ar-SA"/>
              </w:rPr>
              <w:t>جدول</w:t>
            </w:r>
            <w:r w:rsidRPr="00670734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670734">
              <w:rPr>
                <w:rFonts w:hint="eastAsia"/>
                <w:sz w:val="32"/>
                <w:szCs w:val="32"/>
                <w:rtl/>
                <w:lang w:bidi="ar-SA"/>
              </w:rPr>
              <w:t>أعمال</w:t>
            </w:r>
            <w:r w:rsidRPr="00670734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670734">
              <w:rPr>
                <w:rFonts w:hint="eastAsia"/>
                <w:sz w:val="32"/>
                <w:szCs w:val="32"/>
                <w:rtl/>
                <w:lang w:bidi="ar-SA"/>
              </w:rPr>
              <w:t>دورة</w:t>
            </w:r>
            <w:r w:rsidRPr="00670734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670734">
              <w:rPr>
                <w:rFonts w:hint="eastAsia"/>
                <w:sz w:val="32"/>
                <w:szCs w:val="32"/>
                <w:rtl/>
                <w:lang w:bidi="ar-SA"/>
              </w:rPr>
              <w:t>المجلس</w:t>
            </w:r>
            <w:r w:rsidRPr="00670734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670734">
              <w:rPr>
                <w:rFonts w:hint="eastAsia"/>
                <w:sz w:val="32"/>
                <w:szCs w:val="32"/>
                <w:rtl/>
                <w:lang w:bidi="ar-SA"/>
              </w:rPr>
              <w:t>لعام</w:t>
            </w:r>
            <w:r w:rsidRPr="00670734">
              <w:rPr>
                <w:sz w:val="32"/>
                <w:szCs w:val="32"/>
                <w:rtl/>
                <w:lang w:bidi="ar-SA"/>
              </w:rPr>
              <w:t xml:space="preserve"> 2026</w:t>
            </w:r>
          </w:p>
        </w:tc>
      </w:tr>
    </w:tbl>
    <w:tbl>
      <w:tblPr>
        <w:bidiVisual/>
        <w:tblW w:w="954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8460"/>
      </w:tblGrid>
      <w:tr w:rsidR="00670734" w:rsidRPr="002E1304" w14:paraId="08AB1656" w14:textId="77777777" w:rsidTr="00471908">
        <w:trPr>
          <w:tblHeader/>
        </w:trPr>
        <w:tc>
          <w:tcPr>
            <w:tcW w:w="1080" w:type="dxa"/>
            <w:tcBorders>
              <w:top w:val="single" w:sz="8" w:space="0" w:color="000000" w:themeColor="text1"/>
              <w:bottom w:val="single" w:sz="4" w:space="0" w:color="808080" w:themeColor="background1" w:themeShade="80"/>
              <w:right w:val="single" w:sz="8" w:space="0" w:color="000000" w:themeColor="text1"/>
            </w:tcBorders>
            <w:shd w:val="clear" w:color="auto" w:fill="808080" w:themeFill="background1" w:themeFillShade="80"/>
          </w:tcPr>
          <w:p w14:paraId="14800DD9" w14:textId="77777777" w:rsidR="00670734" w:rsidRPr="00471908" w:rsidRDefault="00670734" w:rsidP="00471908">
            <w:pPr>
              <w:pStyle w:val="Tablehead"/>
              <w:rPr>
                <w:bCs w:val="0"/>
                <w:color w:val="FFFFFF" w:themeColor="background1"/>
                <w:rtl/>
                <w:lang w:val="ar-SA" w:eastAsia="zh-TW"/>
              </w:rPr>
            </w:pPr>
            <w:r w:rsidRPr="00471908">
              <w:rPr>
                <w:color w:val="FFFFFF" w:themeColor="background1"/>
                <w:rtl/>
              </w:rPr>
              <w:t>بند جدول الأعمال</w:t>
            </w:r>
          </w:p>
        </w:tc>
        <w:tc>
          <w:tcPr>
            <w:tcW w:w="84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808080" w:themeFill="background1" w:themeFillShade="80"/>
          </w:tcPr>
          <w:p w14:paraId="0FA0034B" w14:textId="77777777" w:rsidR="00670734" w:rsidRPr="00471908" w:rsidRDefault="00670734" w:rsidP="00471908">
            <w:pPr>
              <w:pStyle w:val="Tablehead"/>
              <w:rPr>
                <w:bCs w:val="0"/>
                <w:color w:val="FFFFFF" w:themeColor="background1"/>
                <w:rtl/>
                <w:lang w:val="ar-SA" w:eastAsia="zh-TW"/>
              </w:rPr>
            </w:pPr>
            <w:r w:rsidRPr="00471908">
              <w:rPr>
                <w:color w:val="FFFFFF" w:themeColor="background1"/>
                <w:rtl/>
              </w:rPr>
              <w:t>العنوان</w:t>
            </w:r>
          </w:p>
        </w:tc>
      </w:tr>
      <w:tr w:rsidR="00670734" w:rsidRPr="002E1304" w14:paraId="2C2901C1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26849CAA" w14:textId="03A8769F" w:rsidR="00670734" w:rsidRPr="00471908" w:rsidRDefault="00471908" w:rsidP="00471908">
            <w:pPr>
              <w:pStyle w:val="Tabletexte"/>
              <w:jc w:val="center"/>
              <w:rPr>
                <w:b/>
                <w:bCs/>
                <w:rtl/>
                <w:lang w:val="ar-SA" w:eastAsia="zh-TW"/>
              </w:rPr>
            </w:pPr>
            <w:r>
              <w:rPr>
                <w:b/>
                <w:bCs/>
              </w:rPr>
              <w:t>PL-1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487ADACF" w14:textId="77777777" w:rsidR="00670734" w:rsidRPr="00471908" w:rsidRDefault="00670734" w:rsidP="00471908">
            <w:pPr>
              <w:pStyle w:val="Tabletexte"/>
              <w:rPr>
                <w:b/>
                <w:bCs/>
                <w:rtl/>
                <w:lang w:val="ar-SA" w:eastAsia="zh-TW"/>
              </w:rPr>
            </w:pPr>
            <w:r w:rsidRPr="00471908">
              <w:rPr>
                <w:b/>
                <w:bCs/>
                <w:rtl/>
              </w:rPr>
              <w:t>بناء اتحاد دولي للاتصالات يفي بالغرض</w:t>
            </w:r>
          </w:p>
        </w:tc>
      </w:tr>
      <w:tr w:rsidR="00670734" w:rsidRPr="002E1304" w14:paraId="2AB8776F" w14:textId="77777777" w:rsidTr="001A6AF4">
        <w:trPr>
          <w:cantSplit/>
          <w:tblHeader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3C3518B0" w14:textId="77777777" w:rsidR="00670734" w:rsidRPr="002E1304" w:rsidRDefault="00670734" w:rsidP="00471908">
            <w:pPr>
              <w:pStyle w:val="Tabletexte"/>
              <w:jc w:val="center"/>
            </w:pP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auto"/>
            </w:tcBorders>
          </w:tcPr>
          <w:p w14:paraId="5C00EE07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حالة الاتحاد</w:t>
            </w:r>
          </w:p>
        </w:tc>
      </w:tr>
      <w:tr w:rsidR="00670734" w:rsidRPr="002E1304" w14:paraId="1756B2B8" w14:textId="77777777" w:rsidTr="001A6AF4">
        <w:trPr>
          <w:cantSplit/>
          <w:tblHeader/>
        </w:trPr>
        <w:tc>
          <w:tcPr>
            <w:tcW w:w="1080" w:type="dxa"/>
          </w:tcPr>
          <w:p w14:paraId="01CA9E97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8" w:history="1">
              <w:r w:rsidRPr="00686380">
                <w:rPr>
                  <w:rStyle w:val="Hyperlink"/>
                </w:rPr>
                <w:t>C26/35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auto"/>
            </w:tcBorders>
          </w:tcPr>
          <w:p w14:paraId="5532C259" w14:textId="545419CA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670734">
              <w:rPr>
                <w:rtl/>
              </w:rPr>
              <w:t xml:space="preserve">تقرير عن تنفيذ الخطة الاستراتيجية للاتحاد وأنشطته، أكتوبر 2022 - </w:t>
            </w:r>
            <w:r w:rsidR="00686BA1">
              <w:rPr>
                <w:rFonts w:hint="cs"/>
                <w:rtl/>
              </w:rPr>
              <w:t>ديسمبر</w:t>
            </w:r>
            <w:r w:rsidR="00686BA1" w:rsidRPr="00670734">
              <w:rPr>
                <w:rtl/>
              </w:rPr>
              <w:t xml:space="preserve"> </w:t>
            </w:r>
            <w:r w:rsidRPr="002E1304">
              <w:rPr>
                <w:rtl/>
              </w:rPr>
              <w:t>2026</w:t>
            </w:r>
          </w:p>
        </w:tc>
      </w:tr>
      <w:tr w:rsidR="00670734" w:rsidRPr="002E1304" w14:paraId="0881A229" w14:textId="77777777" w:rsidTr="001A6AF4">
        <w:trPr>
          <w:cantSplit/>
        </w:trPr>
        <w:tc>
          <w:tcPr>
            <w:tcW w:w="1080" w:type="dxa"/>
          </w:tcPr>
          <w:p w14:paraId="7412F3EA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9" w:history="1">
              <w:r w:rsidRPr="00686380">
                <w:rPr>
                  <w:rStyle w:val="Hyperlink"/>
                </w:rPr>
                <w:t>C26/55</w:t>
              </w:r>
            </w:hyperlink>
          </w:p>
        </w:tc>
        <w:tc>
          <w:tcPr>
            <w:tcW w:w="8460" w:type="dxa"/>
            <w:tcBorders>
              <w:right w:val="single" w:sz="8" w:space="0" w:color="auto"/>
            </w:tcBorders>
          </w:tcPr>
          <w:p w14:paraId="16244542" w14:textId="7F085F45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معلومات محدّثة بشأن عملية التحول للاتحاد - بناء اتحاد فعاّل ومرن وملائم للمستقبل</w:t>
            </w:r>
          </w:p>
        </w:tc>
      </w:tr>
      <w:tr w:rsidR="00670734" w:rsidRPr="002E1304" w14:paraId="7EE1D4E8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7036C6AC" w14:textId="531E593E" w:rsidR="00670734" w:rsidRPr="00471908" w:rsidRDefault="00471908" w:rsidP="00471908">
            <w:pPr>
              <w:pStyle w:val="Tabletexte"/>
              <w:jc w:val="center"/>
              <w:rPr>
                <w:b/>
                <w:bCs/>
                <w:rtl/>
                <w:lang w:val="ar-SA" w:eastAsia="zh-TW"/>
              </w:rPr>
            </w:pPr>
            <w:r>
              <w:rPr>
                <w:b/>
                <w:bCs/>
              </w:rPr>
              <w:t>PL-2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0070B524" w14:textId="77777777" w:rsidR="00670734" w:rsidRPr="00471908" w:rsidRDefault="00670734" w:rsidP="00471908">
            <w:pPr>
              <w:pStyle w:val="Tabletexte"/>
              <w:rPr>
                <w:b/>
                <w:bCs/>
                <w:rtl/>
                <w:lang w:val="ar-SA" w:eastAsia="zh-TW"/>
              </w:rPr>
            </w:pPr>
            <w:r w:rsidRPr="00471908">
              <w:rPr>
                <w:b/>
                <w:bCs/>
                <w:rtl/>
              </w:rPr>
              <w:t>الأداء كاتحاد واحد (السياسة العامة والاستراتيجية والأنشطة)</w:t>
            </w:r>
          </w:p>
        </w:tc>
      </w:tr>
      <w:tr w:rsidR="00670734" w:rsidRPr="002E1304" w14:paraId="6FD6AAE2" w14:textId="77777777" w:rsidTr="001A6AF4">
        <w:trPr>
          <w:cantSplit/>
        </w:trPr>
        <w:tc>
          <w:tcPr>
            <w:tcW w:w="1080" w:type="dxa"/>
          </w:tcPr>
          <w:p w14:paraId="38B1B647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10" w:history="1">
              <w:r w:rsidRPr="00686380">
                <w:rPr>
                  <w:rStyle w:val="Hyperlink"/>
                </w:rPr>
                <w:t>C26/28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14AA99B0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 xml:space="preserve">مشروع الخطة التشغيلية الرباعية المتجددة للاتحاد للفترة 2027-2030 </w:t>
            </w:r>
          </w:p>
        </w:tc>
      </w:tr>
      <w:tr w:rsidR="00670734" w:rsidRPr="002E1304" w14:paraId="6D288C3B" w14:textId="77777777" w:rsidTr="001A6AF4">
        <w:trPr>
          <w:cantSplit/>
        </w:trPr>
        <w:tc>
          <w:tcPr>
            <w:tcW w:w="1080" w:type="dxa"/>
          </w:tcPr>
          <w:p w14:paraId="196697EA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11" w:history="1">
              <w:r w:rsidRPr="00686380">
                <w:rPr>
                  <w:rStyle w:val="Hyperlink"/>
                </w:rPr>
                <w:t>C26/31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0FDEB092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تقرير رئيس فريق العمل التابع للمجلس والمعني بالخطتين الاستراتيجية والمالية للفترة 20</w:t>
            </w:r>
            <w:r>
              <w:rPr>
                <w:rtl/>
              </w:rPr>
              <w:t>28</w:t>
            </w:r>
            <w:r w:rsidRPr="002E1304">
              <w:rPr>
                <w:rtl/>
              </w:rPr>
              <w:t>-20</w:t>
            </w:r>
            <w:r>
              <w:rPr>
                <w:rtl/>
              </w:rPr>
              <w:t>31</w:t>
            </w:r>
            <w:r w:rsidRPr="002E1304">
              <w:rPr>
                <w:rtl/>
              </w:rPr>
              <w:t xml:space="preserve"> (CWG-SFP)، متضمناً مشروع الخطة الاستراتيجية 20</w:t>
            </w:r>
            <w:r>
              <w:rPr>
                <w:rtl/>
              </w:rPr>
              <w:t>28</w:t>
            </w:r>
            <w:r w:rsidRPr="002E1304">
              <w:rPr>
                <w:rtl/>
              </w:rPr>
              <w:t>-20</w:t>
            </w:r>
            <w:r>
              <w:rPr>
                <w:rtl/>
              </w:rPr>
              <w:t>31</w:t>
            </w:r>
          </w:p>
        </w:tc>
      </w:tr>
      <w:tr w:rsidR="00670734" w:rsidRPr="002E1304" w14:paraId="5C0216EF" w14:textId="77777777" w:rsidTr="001A6AF4">
        <w:trPr>
          <w:cantSplit/>
        </w:trPr>
        <w:tc>
          <w:tcPr>
            <w:tcW w:w="1080" w:type="dxa"/>
          </w:tcPr>
          <w:p w14:paraId="4798A04E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12" w:history="1">
              <w:r w:rsidRPr="00686380">
                <w:rPr>
                  <w:rStyle w:val="Hyperlink"/>
                </w:rPr>
                <w:t>C26/32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454AA754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مشروع الخطة المالية للفترة 2028-2031</w:t>
            </w:r>
          </w:p>
        </w:tc>
      </w:tr>
      <w:tr w:rsidR="00670734" w:rsidRPr="002E1304" w14:paraId="5501606A" w14:textId="77777777" w:rsidTr="001A6AF4">
        <w:trPr>
          <w:cantSplit/>
        </w:trPr>
        <w:tc>
          <w:tcPr>
            <w:tcW w:w="1080" w:type="dxa"/>
          </w:tcPr>
          <w:p w14:paraId="5736AB5C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13" w:history="1">
              <w:r w:rsidRPr="00686380">
                <w:rPr>
                  <w:rStyle w:val="Hyperlink"/>
                </w:rPr>
                <w:t>C26/25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6758CEC6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تقوية الحضور الإقليمي للاتحاد</w:t>
            </w:r>
          </w:p>
        </w:tc>
      </w:tr>
      <w:tr w:rsidR="00670734" w:rsidRPr="002E1304" w14:paraId="3AC05B05" w14:textId="77777777" w:rsidTr="001A6AF4">
        <w:trPr>
          <w:cantSplit/>
        </w:trPr>
        <w:tc>
          <w:tcPr>
            <w:tcW w:w="1080" w:type="dxa"/>
          </w:tcPr>
          <w:p w14:paraId="30DC9E39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14" w:history="1">
              <w:r w:rsidRPr="00686380">
                <w:rPr>
                  <w:rStyle w:val="Hyperlink"/>
                </w:rPr>
                <w:t>C26/24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1AAEB0C6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استعراض الحضور الإقليمي للاتحاد</w:t>
            </w:r>
          </w:p>
        </w:tc>
      </w:tr>
      <w:tr w:rsidR="00670734" w:rsidRPr="002E1304" w14:paraId="0BE49811" w14:textId="77777777" w:rsidTr="001A6AF4">
        <w:trPr>
          <w:cantSplit/>
        </w:trPr>
        <w:tc>
          <w:tcPr>
            <w:tcW w:w="1080" w:type="dxa"/>
          </w:tcPr>
          <w:p w14:paraId="0070A669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15" w:history="1">
              <w:r w:rsidRPr="00686380">
                <w:rPr>
                  <w:rStyle w:val="Hyperlink"/>
                </w:rPr>
                <w:t>C26/15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7CACCA94" w14:textId="79981545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تقرير رئيس فريق العمل التابع للمجلس والمعني بحماية الأطفال على الإنترنت </w:t>
            </w:r>
            <w:r>
              <w:t>(</w:t>
            </w:r>
            <w:r w:rsidRPr="00670734">
              <w:t>CWG-COP)</w:t>
            </w:r>
          </w:p>
        </w:tc>
      </w:tr>
      <w:tr w:rsidR="00670734" w:rsidRPr="002E1304" w14:paraId="1459BE66" w14:textId="77777777" w:rsidTr="001A6AF4">
        <w:trPr>
          <w:cantSplit/>
        </w:trPr>
        <w:tc>
          <w:tcPr>
            <w:tcW w:w="1080" w:type="dxa"/>
          </w:tcPr>
          <w:p w14:paraId="5BAA6C69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16" w:history="1">
              <w:r w:rsidRPr="00686380">
                <w:rPr>
                  <w:rStyle w:val="Hyperlink"/>
                </w:rPr>
                <w:t>C26/18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340DE6BD" w14:textId="396E4408" w:rsidR="00670734" w:rsidRPr="00670734" w:rsidRDefault="00670734" w:rsidP="00471908">
            <w:pPr>
              <w:pStyle w:val="Tabletexte"/>
              <w:rPr>
                <w:spacing w:val="-2"/>
                <w:rtl/>
                <w:lang w:val="ar-SA" w:eastAsia="zh-TW"/>
              </w:rPr>
            </w:pPr>
            <w:r w:rsidRPr="00670734">
              <w:rPr>
                <w:spacing w:val="-2"/>
                <w:rtl/>
              </w:rPr>
              <w:t>تقرير فترة السنوات الأربع لفريق العمل التابع للمجلس والمعني بحماية الأطفال على الإنترنت</w:t>
            </w:r>
          </w:p>
        </w:tc>
      </w:tr>
      <w:tr w:rsidR="00670734" w:rsidRPr="002E1304" w14:paraId="38A22AA5" w14:textId="77777777" w:rsidTr="001A6AF4">
        <w:trPr>
          <w:cantSplit/>
        </w:trPr>
        <w:tc>
          <w:tcPr>
            <w:tcW w:w="1080" w:type="dxa"/>
          </w:tcPr>
          <w:p w14:paraId="51EA0B72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17" w:history="1">
              <w:r w:rsidRPr="00686380">
                <w:rPr>
                  <w:rStyle w:val="Hyperlink"/>
                </w:rPr>
                <w:t>C26/12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1AC5FDB1" w14:textId="79472EF8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تقرير رئيسة فريق العمل التابع للمجلس والمعني باللغات</w:t>
            </w:r>
            <w:r w:rsidR="00AC4042">
              <w:rPr>
                <w:rFonts w:hint="cs"/>
                <w:rtl/>
                <w:cs/>
              </w:rPr>
              <w:t xml:space="preserve"> </w:t>
            </w:r>
            <w:r w:rsidR="00AC4042" w:rsidRPr="00AC4042">
              <w:t>(CWG-LANG)</w:t>
            </w:r>
          </w:p>
        </w:tc>
      </w:tr>
      <w:tr w:rsidR="00670734" w:rsidRPr="002E1304" w14:paraId="74D546C6" w14:textId="77777777" w:rsidTr="001A6AF4">
        <w:trPr>
          <w:cantSplit/>
        </w:trPr>
        <w:tc>
          <w:tcPr>
            <w:tcW w:w="1080" w:type="dxa"/>
          </w:tcPr>
          <w:p w14:paraId="404AD063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18" w:history="1">
              <w:r w:rsidRPr="00686380">
                <w:rPr>
                  <w:rStyle w:val="Hyperlink"/>
                </w:rPr>
                <w:t>C26/13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112934A5" w14:textId="5C7B7CDE" w:rsidR="00670734" w:rsidRPr="002E1304" w:rsidRDefault="00AC4042" w:rsidP="00471908">
            <w:pPr>
              <w:pStyle w:val="Tabletexte"/>
              <w:rPr>
                <w:rtl/>
                <w:lang w:val="ar-SA" w:eastAsia="zh-TW"/>
              </w:rPr>
            </w:pPr>
            <w:bookmarkStart w:id="0" w:name="_Hlk94888833"/>
            <w:r w:rsidRPr="00AC4042">
              <w:rPr>
                <w:rtl/>
              </w:rPr>
              <w:t>تقرير السنوات الأربع لفريق العمل التابع للمجلس والمعني باللغات</w:t>
            </w:r>
            <w:bookmarkEnd w:id="0"/>
          </w:p>
        </w:tc>
      </w:tr>
      <w:tr w:rsidR="00670734" w:rsidRPr="002E1304" w14:paraId="10CFEDE6" w14:textId="77777777" w:rsidTr="001A6AF4">
        <w:trPr>
          <w:cantSplit/>
        </w:trPr>
        <w:tc>
          <w:tcPr>
            <w:tcW w:w="1080" w:type="dxa"/>
          </w:tcPr>
          <w:p w14:paraId="350919E8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19" w:history="1">
              <w:r w:rsidRPr="00686380">
                <w:rPr>
                  <w:rStyle w:val="Hyperlink"/>
                </w:rPr>
                <w:t>C26/51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3933BC6A" w14:textId="1AC34F30" w:rsidR="00670734" w:rsidRPr="00471908" w:rsidRDefault="00670734" w:rsidP="00471908">
            <w:pPr>
              <w:pStyle w:val="Tabletexte"/>
              <w:rPr>
                <w:spacing w:val="-2"/>
                <w:rtl/>
                <w:lang w:val="ar-SA" w:eastAsia="zh-TW"/>
              </w:rPr>
            </w:pPr>
            <w:r w:rsidRPr="00471908">
              <w:rPr>
                <w:spacing w:val="-2"/>
                <w:rtl/>
              </w:rPr>
              <w:t>تقرير رئيس فريق العمل التابع للمجلس والمعني بقضايا السياسات العامة الدولية المتعلقة</w:t>
            </w:r>
            <w:r w:rsidR="006854C8" w:rsidRPr="00471908">
              <w:rPr>
                <w:spacing w:val="-2"/>
                <w:rtl/>
              </w:rPr>
              <w:t xml:space="preserve"> </w:t>
            </w:r>
            <w:r w:rsidRPr="00471908">
              <w:rPr>
                <w:spacing w:val="-2"/>
                <w:rtl/>
              </w:rPr>
              <w:t>بالإنترنت </w:t>
            </w:r>
            <w:r w:rsidRPr="00471908">
              <w:rPr>
                <w:spacing w:val="-2"/>
              </w:rPr>
              <w:t>(CWG-Internet)</w:t>
            </w:r>
          </w:p>
        </w:tc>
      </w:tr>
      <w:tr w:rsidR="00670734" w:rsidRPr="002E1304" w14:paraId="31E355C3" w14:textId="77777777" w:rsidTr="001A6AF4">
        <w:trPr>
          <w:cantSplit/>
        </w:trPr>
        <w:tc>
          <w:tcPr>
            <w:tcW w:w="1080" w:type="dxa"/>
          </w:tcPr>
          <w:p w14:paraId="13E65DA9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20" w:history="1">
              <w:r w:rsidRPr="00686380">
                <w:rPr>
                  <w:rStyle w:val="Hyperlink"/>
                </w:rPr>
                <w:t>C26/52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07A3CC5A" w14:textId="70C7A833" w:rsidR="00670734" w:rsidRPr="00AC4042" w:rsidRDefault="00AC4042" w:rsidP="00471908">
            <w:pPr>
              <w:pStyle w:val="Tabletexte"/>
              <w:rPr>
                <w:spacing w:val="-2"/>
                <w:rtl/>
                <w:lang w:val="ar-SA" w:eastAsia="zh-TW"/>
              </w:rPr>
            </w:pPr>
            <w:r w:rsidRPr="00AC4042">
              <w:rPr>
                <w:spacing w:val="-2"/>
                <w:rtl/>
              </w:rPr>
              <w:t>تقرير السنوات الأربع لفريق العمل التابع للمجلس والمعني بقضايا السياسات العامة الدولية المتعلقة بالإنترنت</w:t>
            </w:r>
          </w:p>
        </w:tc>
      </w:tr>
      <w:tr w:rsidR="00670734" w:rsidRPr="002E1304" w14:paraId="618C327D" w14:textId="77777777" w:rsidTr="001A6AF4">
        <w:trPr>
          <w:cantSplit/>
        </w:trPr>
        <w:tc>
          <w:tcPr>
            <w:tcW w:w="1080" w:type="dxa"/>
          </w:tcPr>
          <w:p w14:paraId="795DF519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21" w:history="1">
              <w:r w:rsidRPr="00686380">
                <w:rPr>
                  <w:rStyle w:val="Hyperlink"/>
                </w:rPr>
                <w:t>C26/26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2490C96D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 xml:space="preserve">التقرير النهائي لفريق الخبراء المعني بلوائح الاتصالات الدولية </w:t>
            </w:r>
            <w:r w:rsidRPr="002E1304">
              <w:t>(EG-ITR)</w:t>
            </w:r>
          </w:p>
        </w:tc>
      </w:tr>
      <w:tr w:rsidR="00670734" w:rsidRPr="002E1304" w14:paraId="69719C83" w14:textId="77777777" w:rsidTr="001A6AF4">
        <w:trPr>
          <w:cantSplit/>
        </w:trPr>
        <w:tc>
          <w:tcPr>
            <w:tcW w:w="1080" w:type="dxa"/>
          </w:tcPr>
          <w:p w14:paraId="5A79C1B8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22" w:history="1">
              <w:r w:rsidRPr="00686380">
                <w:rPr>
                  <w:rStyle w:val="Hyperlink"/>
                </w:rPr>
                <w:t>C26/8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0C09A7A8" w14:textId="77777777" w:rsidR="00670734" w:rsidRPr="006352A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6352A4">
              <w:rPr>
                <w:rtl/>
              </w:rPr>
              <w:t>تقرير رئيسة فريق العمل التابع للمجلس والمعني بالقمة العالمية لمجتمع المعلومات وأهداف التنمية المستدامة </w:t>
            </w:r>
            <w:r w:rsidRPr="006352A4">
              <w:t>(CWG-WSIS&amp;SDG)</w:t>
            </w:r>
          </w:p>
        </w:tc>
      </w:tr>
      <w:tr w:rsidR="00670734" w:rsidRPr="002E1304" w14:paraId="1B33A32B" w14:textId="77777777" w:rsidTr="001A6AF4">
        <w:trPr>
          <w:cantSplit/>
        </w:trPr>
        <w:tc>
          <w:tcPr>
            <w:tcW w:w="1080" w:type="dxa"/>
          </w:tcPr>
          <w:p w14:paraId="468E4E8B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23" w:history="1">
              <w:r w:rsidRPr="00686380">
                <w:rPr>
                  <w:rStyle w:val="Hyperlink"/>
                </w:rPr>
                <w:t>C26/10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5C67F520" w14:textId="49DCC409" w:rsidR="00670734" w:rsidRPr="00471908" w:rsidRDefault="00AC4042" w:rsidP="00471908">
            <w:pPr>
              <w:pStyle w:val="Tabletexte"/>
              <w:rPr>
                <w:spacing w:val="-6"/>
                <w:rtl/>
                <w:lang w:val="ar-SA" w:eastAsia="zh-TW"/>
              </w:rPr>
            </w:pPr>
            <w:r w:rsidRPr="00471908">
              <w:rPr>
                <w:spacing w:val="-6"/>
                <w:rtl/>
              </w:rPr>
              <w:t>تقرير فترة السنوات الأربع لفريق العمل التابع للمجلس والمعني بالقمة العالمية لمجتمع المعلومات وأهداف التنمية المستدامة</w:t>
            </w:r>
          </w:p>
        </w:tc>
      </w:tr>
      <w:tr w:rsidR="00670734" w:rsidRPr="002E1304" w14:paraId="6F33AB00" w14:textId="77777777" w:rsidTr="001A6AF4">
        <w:trPr>
          <w:cantSplit/>
        </w:trPr>
        <w:tc>
          <w:tcPr>
            <w:tcW w:w="1080" w:type="dxa"/>
          </w:tcPr>
          <w:p w14:paraId="27077A98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24" w:history="1">
              <w:r w:rsidRPr="00686380">
                <w:rPr>
                  <w:rStyle w:val="Hyperlink"/>
                </w:rPr>
                <w:t>C26/58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64F6E81E" w14:textId="77777777" w:rsidR="00670734" w:rsidRPr="00471908" w:rsidRDefault="00670734" w:rsidP="00471908">
            <w:pPr>
              <w:pStyle w:val="Tabletexte"/>
              <w:rPr>
                <w:spacing w:val="-2"/>
                <w:rtl/>
                <w:lang w:val="ar-SA" w:eastAsia="zh-TW"/>
              </w:rPr>
            </w:pPr>
            <w:r w:rsidRPr="00471908">
              <w:rPr>
                <w:spacing w:val="-2"/>
                <w:rtl/>
              </w:rPr>
              <w:t>تقرير نهائي وشامل بشأن أنشطة الاتحاد المتعلقة بتنفيذ نتائج القمة العالمية لمجتمع المعلومات وخطة التنمية المستدامة لعام 2030، إضافةً إلى مقترحات لأنشطة إضافية</w:t>
            </w:r>
          </w:p>
        </w:tc>
      </w:tr>
      <w:tr w:rsidR="00670734" w:rsidRPr="002E1304" w14:paraId="7363D2F0" w14:textId="77777777" w:rsidTr="001A6AF4">
        <w:trPr>
          <w:cantSplit/>
        </w:trPr>
        <w:tc>
          <w:tcPr>
            <w:tcW w:w="1080" w:type="dxa"/>
          </w:tcPr>
          <w:p w14:paraId="2C34129E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25" w:history="1">
              <w:r w:rsidRPr="00686380">
                <w:rPr>
                  <w:rStyle w:val="Hyperlink"/>
                </w:rPr>
                <w:t>C26/59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64BAF55D" w14:textId="77777777" w:rsidR="00670734" w:rsidRPr="00AC4042" w:rsidRDefault="00670734" w:rsidP="00471908">
            <w:pPr>
              <w:pStyle w:val="Tabletexte"/>
              <w:rPr>
                <w:spacing w:val="-2"/>
                <w:rtl/>
                <w:lang w:val="ar-SA" w:eastAsia="zh-TW"/>
              </w:rPr>
            </w:pPr>
            <w:r w:rsidRPr="00AC4042">
              <w:rPr>
                <w:spacing w:val="-2"/>
                <w:rtl/>
              </w:rPr>
              <w:t>تقرير عن الاستعراض الشامل للجمعية العامة للأمم المتحدة لتنفيذ نتائج القمة العالمية لمجتمع المعلومات</w:t>
            </w:r>
          </w:p>
        </w:tc>
      </w:tr>
      <w:tr w:rsidR="00670734" w:rsidRPr="002E1304" w14:paraId="7D66D719" w14:textId="77777777" w:rsidTr="001A6AF4">
        <w:trPr>
          <w:cantSplit/>
        </w:trPr>
        <w:tc>
          <w:tcPr>
            <w:tcW w:w="1080" w:type="dxa"/>
          </w:tcPr>
          <w:p w14:paraId="57A03F71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26" w:history="1">
              <w:r w:rsidRPr="00686380">
                <w:rPr>
                  <w:rStyle w:val="Hyperlink"/>
                </w:rPr>
                <w:t>C26/60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39AEAE70" w14:textId="0CC6117B" w:rsidR="00670734" w:rsidRPr="00471908" w:rsidRDefault="00670734" w:rsidP="00471908">
            <w:pPr>
              <w:pStyle w:val="Tabletexte"/>
              <w:rPr>
                <w:spacing w:val="-4"/>
                <w:rtl/>
                <w:lang w:val="ar-SA" w:eastAsia="zh-TW"/>
              </w:rPr>
            </w:pPr>
            <w:r w:rsidRPr="00471908">
              <w:rPr>
                <w:spacing w:val="-4"/>
                <w:rtl/>
              </w:rPr>
              <w:t>تحليل الفجوات بشأن تحديث قراري المجلس 1332 و1334 والقرار 140</w:t>
            </w:r>
            <w:r w:rsidR="00AC4042" w:rsidRPr="00471908">
              <w:rPr>
                <w:rFonts w:hint="eastAsia"/>
                <w:spacing w:val="-4"/>
                <w:rtl/>
              </w:rPr>
              <w:t> </w:t>
            </w:r>
            <w:r w:rsidRPr="00471908">
              <w:rPr>
                <w:spacing w:val="-4"/>
                <w:rtl/>
              </w:rPr>
              <w:t>(المراج</w:t>
            </w:r>
            <w:r w:rsidR="00AC4042" w:rsidRPr="00471908">
              <w:rPr>
                <w:spacing w:val="-4"/>
                <w:rtl/>
              </w:rPr>
              <w:t>َ</w:t>
            </w:r>
            <w:r w:rsidRPr="00471908">
              <w:rPr>
                <w:spacing w:val="-4"/>
                <w:rtl/>
              </w:rPr>
              <w:t xml:space="preserve">ع في بوخارست، 2022) لمؤتمر المندوبين المفوضين واختصاصات فريق العمل </w:t>
            </w:r>
            <w:r w:rsidRPr="00471908">
              <w:rPr>
                <w:spacing w:val="-4"/>
              </w:rPr>
              <w:t>CWG-Internet</w:t>
            </w:r>
            <w:r w:rsidRPr="00471908">
              <w:rPr>
                <w:spacing w:val="-4"/>
                <w:rtl/>
              </w:rPr>
              <w:t xml:space="preserve"> في ضوء نتائج القمة </w:t>
            </w:r>
            <w:r w:rsidRPr="00471908">
              <w:rPr>
                <w:spacing w:val="-4"/>
              </w:rPr>
              <w:t>WSIS+20</w:t>
            </w:r>
          </w:p>
        </w:tc>
      </w:tr>
      <w:tr w:rsidR="00670734" w:rsidRPr="002E1304" w14:paraId="2EF6DA55" w14:textId="77777777" w:rsidTr="001A6AF4">
        <w:trPr>
          <w:cantSplit/>
        </w:trPr>
        <w:tc>
          <w:tcPr>
            <w:tcW w:w="1080" w:type="dxa"/>
          </w:tcPr>
          <w:p w14:paraId="6D56E72B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27" w:history="1">
              <w:r w:rsidRPr="00686380">
                <w:rPr>
                  <w:rStyle w:val="Hyperlink"/>
                </w:rPr>
                <w:t>C26/33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39EF5E06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أنشطة الاتحاد المتصلة بالإنترنت: القرارات 101 و102 و133 و180 و206</w:t>
            </w:r>
          </w:p>
        </w:tc>
      </w:tr>
      <w:tr w:rsidR="00670734" w:rsidRPr="002E1304" w14:paraId="7451C210" w14:textId="77777777" w:rsidTr="001A6AF4">
        <w:trPr>
          <w:cantSplit/>
        </w:trPr>
        <w:tc>
          <w:tcPr>
            <w:tcW w:w="1080" w:type="dxa"/>
          </w:tcPr>
          <w:p w14:paraId="4F22B3AA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28" w:history="1">
              <w:r w:rsidRPr="00686380">
                <w:rPr>
                  <w:rStyle w:val="Hyperlink"/>
                </w:rPr>
                <w:t>C26/17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015350DC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 xml:space="preserve">اليوم العالمي للاتصالات ومجتمع المعلومات </w:t>
            </w:r>
            <w:r w:rsidRPr="002E1304">
              <w:t>(WTISD)</w:t>
            </w:r>
          </w:p>
        </w:tc>
      </w:tr>
      <w:tr w:rsidR="00670734" w:rsidRPr="002E1304" w14:paraId="5A8502AB" w14:textId="77777777" w:rsidTr="001A6AF4">
        <w:trPr>
          <w:cantSplit/>
        </w:trPr>
        <w:tc>
          <w:tcPr>
            <w:tcW w:w="1080" w:type="dxa"/>
          </w:tcPr>
          <w:p w14:paraId="7F8EDE37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29" w:history="1">
              <w:r w:rsidRPr="00686380">
                <w:rPr>
                  <w:rStyle w:val="Hyperlink"/>
                </w:rPr>
                <w:t>C26/61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26EFD9D8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مساهمة الاتحاد في المبادرة 80 للأمم المتحدة</w:t>
            </w:r>
          </w:p>
        </w:tc>
      </w:tr>
      <w:tr w:rsidR="00670734" w:rsidRPr="002E1304" w14:paraId="64F4B959" w14:textId="77777777" w:rsidTr="001A6AF4">
        <w:trPr>
          <w:cantSplit/>
        </w:trPr>
        <w:tc>
          <w:tcPr>
            <w:tcW w:w="1080" w:type="dxa"/>
          </w:tcPr>
          <w:p w14:paraId="3BC433BC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30" w:history="1">
              <w:r w:rsidRPr="00686380">
                <w:rPr>
                  <w:rStyle w:val="Hyperlink"/>
                </w:rPr>
                <w:t>C26/29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7101966D" w14:textId="01206B39" w:rsidR="00670734" w:rsidRPr="00471908" w:rsidRDefault="00670734" w:rsidP="00471908">
            <w:pPr>
              <w:pStyle w:val="Tabletexte"/>
              <w:rPr>
                <w:spacing w:val="-4"/>
                <w:rtl/>
                <w:lang w:val="ar-SA" w:eastAsia="zh-TW"/>
              </w:rPr>
            </w:pPr>
            <w:r w:rsidRPr="00471908">
              <w:rPr>
                <w:spacing w:val="-4"/>
                <w:rtl/>
              </w:rPr>
              <w:t>تقرير عن القرار 214</w:t>
            </w:r>
            <w:r w:rsidR="00AC4042" w:rsidRPr="00471908">
              <w:rPr>
                <w:rFonts w:hint="eastAsia"/>
                <w:spacing w:val="-4"/>
                <w:rtl/>
              </w:rPr>
              <w:t> </w:t>
            </w:r>
            <w:r w:rsidRPr="00471908">
              <w:rPr>
                <w:spacing w:val="-4"/>
                <w:rtl/>
              </w:rPr>
              <w:t>(بوخارست، 2022) لمؤتمر المندوبين المفوضين - تكنولوجيات الذكاء الاصطناعي والاتصالات/تكنولوجيا المعلومات والاتصالات</w:t>
            </w:r>
          </w:p>
        </w:tc>
      </w:tr>
      <w:tr w:rsidR="00670734" w:rsidRPr="002E1304" w14:paraId="12B6C2D0" w14:textId="77777777" w:rsidTr="001A6AF4">
        <w:trPr>
          <w:cantSplit/>
        </w:trPr>
        <w:tc>
          <w:tcPr>
            <w:tcW w:w="1080" w:type="dxa"/>
          </w:tcPr>
          <w:p w14:paraId="1B777EF3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31" w:history="1">
              <w:r w:rsidRPr="00686380">
                <w:rPr>
                  <w:rStyle w:val="Hyperlink"/>
                </w:rPr>
                <w:t>C26/68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524DEE2B" w14:textId="5727DE7A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 xml:space="preserve">معلومات </w:t>
            </w:r>
            <w:r w:rsidR="00AC4042" w:rsidRPr="00AC4042">
              <w:rPr>
                <w:rtl/>
              </w:rPr>
              <w:t>محدَّثة</w:t>
            </w:r>
            <w:r w:rsidRPr="002E1304">
              <w:rPr>
                <w:rtl/>
              </w:rPr>
              <w:t xml:space="preserve"> عن تنفيذ القرار 1408 الصادر عن مجلس الاتحاد بشأن تقديم المساعدة والدعم إلى أوكرانيا لإعادة بناء قطاع اتصالاتها</w:t>
            </w:r>
          </w:p>
        </w:tc>
      </w:tr>
      <w:tr w:rsidR="00670734" w:rsidRPr="002E1304" w14:paraId="3282D68E" w14:textId="77777777" w:rsidTr="001A6AF4">
        <w:trPr>
          <w:cantSplit/>
        </w:trPr>
        <w:tc>
          <w:tcPr>
            <w:tcW w:w="1080" w:type="dxa"/>
          </w:tcPr>
          <w:p w14:paraId="085C5B37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32" w:history="1">
              <w:r w:rsidRPr="00686380">
                <w:rPr>
                  <w:rStyle w:val="Hyperlink"/>
                </w:rPr>
                <w:t>C26/69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5A24028E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تقرير حالة بشأن تقديم المساعدة والدعم إلى فلسطين</w:t>
            </w:r>
          </w:p>
        </w:tc>
      </w:tr>
      <w:tr w:rsidR="00670734" w:rsidRPr="002E1304" w14:paraId="2E9F4F8D" w14:textId="77777777" w:rsidTr="001A6AF4">
        <w:trPr>
          <w:cantSplit/>
        </w:trPr>
        <w:tc>
          <w:tcPr>
            <w:tcW w:w="1080" w:type="dxa"/>
          </w:tcPr>
          <w:p w14:paraId="606DDEAD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33" w:history="1">
              <w:r w:rsidRPr="00686380">
                <w:rPr>
                  <w:rStyle w:val="Hyperlink"/>
                </w:rPr>
                <w:t>C26/64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72046B8F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الجهود المبذولة لحماية الاتصالات الإنسانية في حالات النزاعات والكوارث</w:t>
            </w:r>
          </w:p>
        </w:tc>
      </w:tr>
      <w:tr w:rsidR="00670734" w:rsidRPr="002E1304" w14:paraId="7685A5BD" w14:textId="77777777" w:rsidTr="001A6AF4">
        <w:trPr>
          <w:cantSplit/>
        </w:trPr>
        <w:tc>
          <w:tcPr>
            <w:tcW w:w="1080" w:type="dxa"/>
          </w:tcPr>
          <w:p w14:paraId="30BB9EC7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34" w:history="1">
              <w:r w:rsidRPr="00686380">
                <w:rPr>
                  <w:rStyle w:val="Hyperlink"/>
                </w:rPr>
                <w:t>C26/74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28C707DE" w14:textId="51C19225" w:rsidR="00670734" w:rsidRPr="00471908" w:rsidRDefault="00670734" w:rsidP="00471908">
            <w:pPr>
              <w:pStyle w:val="Tabletexte"/>
              <w:rPr>
                <w:spacing w:val="-4"/>
                <w:rtl/>
                <w:lang w:val="ar-SA" w:eastAsia="zh-TW"/>
              </w:rPr>
            </w:pPr>
            <w:r w:rsidRPr="00471908">
              <w:rPr>
                <w:spacing w:val="-4"/>
                <w:rtl/>
              </w:rPr>
              <w:t>تقرير بشأن تنفيذ القرار 30</w:t>
            </w:r>
            <w:r w:rsidR="000630A1" w:rsidRPr="00471908">
              <w:rPr>
                <w:rFonts w:hint="eastAsia"/>
                <w:spacing w:val="-4"/>
                <w:rtl/>
              </w:rPr>
              <w:t> </w:t>
            </w:r>
            <w:r w:rsidRPr="00471908">
              <w:rPr>
                <w:spacing w:val="-4"/>
                <w:rtl/>
              </w:rPr>
              <w:t>(المراج</w:t>
            </w:r>
            <w:r w:rsidR="000630A1" w:rsidRPr="00471908">
              <w:rPr>
                <w:spacing w:val="-4"/>
                <w:rtl/>
              </w:rPr>
              <w:t>َ</w:t>
            </w:r>
            <w:r w:rsidRPr="00471908">
              <w:rPr>
                <w:spacing w:val="-4"/>
                <w:rtl/>
              </w:rPr>
              <w:t xml:space="preserve">ع في بوخارست، 2022) بشأن التدابير والإجراءات الخاصة لصالح أقل البلدان نمواً </w:t>
            </w:r>
            <w:r w:rsidR="000630A1" w:rsidRPr="00471908">
              <w:rPr>
                <w:spacing w:val="-4"/>
              </w:rPr>
              <w:t>(LDC)</w:t>
            </w:r>
            <w:r w:rsidR="000630A1" w:rsidRPr="00471908">
              <w:rPr>
                <w:spacing w:val="-4"/>
                <w:rtl/>
              </w:rPr>
              <w:t xml:space="preserve"> </w:t>
            </w:r>
            <w:r w:rsidRPr="00471908">
              <w:rPr>
                <w:spacing w:val="-4"/>
                <w:rtl/>
              </w:rPr>
              <w:t xml:space="preserve">والدول الجزرية الصغيرة النامية </w:t>
            </w:r>
            <w:r w:rsidRPr="00471908">
              <w:rPr>
                <w:spacing w:val="-4"/>
              </w:rPr>
              <w:t>(SID)</w:t>
            </w:r>
            <w:r w:rsidRPr="00471908">
              <w:rPr>
                <w:spacing w:val="-4"/>
                <w:rtl/>
              </w:rPr>
              <w:t xml:space="preserve"> والبلدان النامية غير الساحلية </w:t>
            </w:r>
            <w:r w:rsidRPr="00471908">
              <w:rPr>
                <w:spacing w:val="-4"/>
              </w:rPr>
              <w:t>(LLDC)</w:t>
            </w:r>
            <w:r w:rsidRPr="00471908">
              <w:rPr>
                <w:spacing w:val="-4"/>
                <w:rtl/>
              </w:rPr>
              <w:t xml:space="preserve"> والبلدان التي تمر اقتصاداتها بمرحلة انتقالية لعام 2025</w:t>
            </w:r>
          </w:p>
        </w:tc>
      </w:tr>
      <w:tr w:rsidR="00670734" w:rsidRPr="002E1304" w14:paraId="7C5288E7" w14:textId="77777777" w:rsidTr="001A6AF4">
        <w:trPr>
          <w:cantSplit/>
        </w:trPr>
        <w:tc>
          <w:tcPr>
            <w:tcW w:w="1080" w:type="dxa"/>
          </w:tcPr>
          <w:p w14:paraId="0034388D" w14:textId="77777777" w:rsidR="00670734" w:rsidRPr="002E1304" w:rsidRDefault="00670734" w:rsidP="00471908">
            <w:pPr>
              <w:pStyle w:val="Tabletexte"/>
              <w:jc w:val="center"/>
            </w:pPr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6E6A3A7C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 xml:space="preserve">قدرة </w:t>
            </w:r>
            <w:proofErr w:type="spellStart"/>
            <w:r w:rsidRPr="002E1304">
              <w:rPr>
                <w:rtl/>
              </w:rPr>
              <w:t>الكبلات</w:t>
            </w:r>
            <w:proofErr w:type="spellEnd"/>
            <w:r w:rsidRPr="002E1304">
              <w:rPr>
                <w:rtl/>
              </w:rPr>
              <w:t xml:space="preserve"> البحرية على الصمود</w:t>
            </w:r>
          </w:p>
        </w:tc>
      </w:tr>
      <w:tr w:rsidR="00670734" w:rsidRPr="002E1304" w14:paraId="2D4BE89C" w14:textId="77777777" w:rsidTr="001A6AF4">
        <w:trPr>
          <w:cantSplit/>
        </w:trPr>
        <w:tc>
          <w:tcPr>
            <w:tcW w:w="1080" w:type="dxa"/>
          </w:tcPr>
          <w:p w14:paraId="055AF6B0" w14:textId="77777777" w:rsidR="00670734" w:rsidRPr="002E1304" w:rsidRDefault="00670734" w:rsidP="00471908">
            <w:pPr>
              <w:pStyle w:val="Tabletexte"/>
              <w:jc w:val="center"/>
            </w:pPr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0DB67FA7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تقرير بشأن اللجنة الدائمة للتنظيم والإدارة</w:t>
            </w:r>
          </w:p>
        </w:tc>
      </w:tr>
      <w:tr w:rsidR="00670734" w:rsidRPr="002E1304" w14:paraId="77886458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54277253" w14:textId="74657D33" w:rsidR="00670734" w:rsidRPr="00471908" w:rsidRDefault="00471908" w:rsidP="00471908">
            <w:pPr>
              <w:pStyle w:val="Tabletexte"/>
              <w:jc w:val="center"/>
              <w:rPr>
                <w:b/>
                <w:bCs/>
                <w:rtl/>
                <w:lang w:val="ar-SA" w:eastAsia="zh-TW"/>
              </w:rPr>
            </w:pPr>
            <w:r>
              <w:rPr>
                <w:b/>
                <w:bCs/>
              </w:rPr>
              <w:t>PL-3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0859C933" w14:textId="77777777" w:rsidR="00670734" w:rsidRPr="00471908" w:rsidRDefault="00670734" w:rsidP="00471908">
            <w:pPr>
              <w:pStyle w:val="Tabletexte"/>
              <w:rPr>
                <w:b/>
                <w:bCs/>
                <w:rtl/>
                <w:lang w:val="ar-SA" w:eastAsia="zh-TW"/>
              </w:rPr>
            </w:pPr>
            <w:r w:rsidRPr="00471908">
              <w:rPr>
                <w:b/>
                <w:bCs/>
                <w:rtl/>
              </w:rPr>
              <w:t>تحسين الإدارة (المسائل المتعلقة بمؤتمرات الاتحاد وجمعياته النظامية، ومجلس الاتحاد وأفرقة العمل التابعة له، ولجنة لوائح الراديو)</w:t>
            </w:r>
          </w:p>
        </w:tc>
      </w:tr>
      <w:tr w:rsidR="00670734" w:rsidRPr="002E1304" w14:paraId="2B89887E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467E745C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35" w:history="1">
              <w:r w:rsidRPr="00686380">
                <w:rPr>
                  <w:rStyle w:val="Hyperlink"/>
                </w:rPr>
                <w:t>C26/30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7C42D8F1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تقرير عن المؤتمر العالمي لتنمية الاتصالات عام 2025 (WTDC-25)</w:t>
            </w:r>
          </w:p>
        </w:tc>
      </w:tr>
      <w:tr w:rsidR="00670734" w:rsidRPr="002E1304" w14:paraId="3BB85043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564615D3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36" w:history="1">
              <w:r w:rsidRPr="00686380">
                <w:rPr>
                  <w:rStyle w:val="Hyperlink"/>
                </w:rPr>
                <w:t>C26/5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59C02780" w14:textId="50278347" w:rsidR="00670734" w:rsidRPr="00471908" w:rsidRDefault="00670734" w:rsidP="00471908">
            <w:pPr>
              <w:pStyle w:val="Tabletexte"/>
              <w:rPr>
                <w:spacing w:val="-4"/>
                <w:rtl/>
                <w:lang w:val="ar-SA" w:eastAsia="zh-TW"/>
              </w:rPr>
            </w:pPr>
            <w:r w:rsidRPr="00471908">
              <w:rPr>
                <w:spacing w:val="-4"/>
                <w:rtl/>
              </w:rPr>
              <w:t>الأعمال التحضيرية للمنتدى العالمي لسياسات الاتصالات/تكنولوجيا المعلومات والاتصالات عام</w:t>
            </w:r>
            <w:r w:rsidR="000630A1" w:rsidRPr="00471908">
              <w:rPr>
                <w:rFonts w:hint="eastAsia"/>
                <w:spacing w:val="-4"/>
                <w:rtl/>
              </w:rPr>
              <w:t> </w:t>
            </w:r>
            <w:r w:rsidRPr="00471908">
              <w:rPr>
                <w:spacing w:val="-4"/>
                <w:rtl/>
              </w:rPr>
              <w:t>2026</w:t>
            </w:r>
            <w:r w:rsidR="000630A1" w:rsidRPr="00471908">
              <w:rPr>
                <w:rFonts w:hint="eastAsia"/>
                <w:spacing w:val="-4"/>
                <w:rtl/>
              </w:rPr>
              <w:t> </w:t>
            </w:r>
            <w:r w:rsidRPr="00471908">
              <w:rPr>
                <w:spacing w:val="-4"/>
                <w:rtl/>
              </w:rPr>
              <w:t>(</w:t>
            </w:r>
            <w:r w:rsidRPr="00471908">
              <w:rPr>
                <w:spacing w:val="-4"/>
              </w:rPr>
              <w:t>WTPF-26</w:t>
            </w:r>
            <w:r w:rsidRPr="00471908">
              <w:rPr>
                <w:spacing w:val="-4"/>
                <w:rtl/>
              </w:rPr>
              <w:t>)</w:t>
            </w:r>
          </w:p>
        </w:tc>
      </w:tr>
      <w:tr w:rsidR="00670734" w:rsidRPr="002E1304" w14:paraId="46A82291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28EBF05C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37" w:history="1">
              <w:r w:rsidRPr="00686380">
                <w:rPr>
                  <w:rStyle w:val="Hyperlink"/>
                </w:rPr>
                <w:t>C26/4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7E70C0FA" w14:textId="463B5221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الأعمال التحضيرية لمؤتمر المندوبين المفوضين لعام 2026</w:t>
            </w:r>
            <w:r w:rsidR="000630A1">
              <w:rPr>
                <w:rFonts w:hint="cs"/>
                <w:rtl/>
              </w:rPr>
              <w:t> </w:t>
            </w:r>
            <w:r w:rsidRPr="002E1304">
              <w:rPr>
                <w:rtl/>
              </w:rPr>
              <w:t>(PP-26)</w:t>
            </w:r>
          </w:p>
        </w:tc>
      </w:tr>
      <w:tr w:rsidR="00670734" w:rsidRPr="002E1304" w14:paraId="1C904B25" w14:textId="77777777" w:rsidTr="001A6AF4">
        <w:trPr>
          <w:cantSplit/>
        </w:trPr>
        <w:tc>
          <w:tcPr>
            <w:tcW w:w="1080" w:type="dxa"/>
          </w:tcPr>
          <w:p w14:paraId="3B42F64F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38" w:history="1">
              <w:r w:rsidRPr="00686380">
                <w:rPr>
                  <w:rStyle w:val="Hyperlink"/>
                </w:rPr>
                <w:t>C26/6</w:t>
              </w:r>
            </w:hyperlink>
          </w:p>
        </w:tc>
        <w:tc>
          <w:tcPr>
            <w:tcW w:w="8460" w:type="dxa"/>
          </w:tcPr>
          <w:p w14:paraId="12F0022E" w14:textId="72253862" w:rsidR="00670734" w:rsidRPr="002E1304" w:rsidRDefault="00670734" w:rsidP="005925CA">
            <w:pPr>
              <w:spacing w:before="80" w:after="80" w:line="260" w:lineRule="exact"/>
              <w:textDirection w:val="tbRlV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الأعمال التحضيرية لجمعية الاتصالات الراديوية عام 2027</w:t>
            </w:r>
            <w:r w:rsidR="000630A1">
              <w:rPr>
                <w:rFonts w:hint="cs"/>
                <w:rtl/>
              </w:rPr>
              <w:t> </w:t>
            </w:r>
            <w:r w:rsidRPr="002E1304">
              <w:rPr>
                <w:rtl/>
              </w:rPr>
              <w:t>(RA-27) والمؤتمر العالمي للاتصالات الراديوية عام</w:t>
            </w:r>
            <w:r w:rsidR="005925CA">
              <w:rPr>
                <w:rFonts w:hint="cs"/>
                <w:rtl/>
              </w:rPr>
              <w:t> </w:t>
            </w:r>
            <w:r w:rsidRPr="002E1304">
              <w:rPr>
                <w:rtl/>
              </w:rPr>
              <w:t>2027</w:t>
            </w:r>
            <w:r w:rsidR="000630A1">
              <w:rPr>
                <w:rFonts w:hint="cs"/>
                <w:rtl/>
              </w:rPr>
              <w:t> </w:t>
            </w:r>
            <w:r w:rsidRPr="002E1304">
              <w:rPr>
                <w:rtl/>
              </w:rPr>
              <w:t>(WRC-27)</w:t>
            </w:r>
          </w:p>
        </w:tc>
      </w:tr>
      <w:tr w:rsidR="00670734" w:rsidRPr="002E1304" w14:paraId="6CBEE37A" w14:textId="77777777" w:rsidTr="001A6AF4">
        <w:trPr>
          <w:cantSplit/>
        </w:trPr>
        <w:tc>
          <w:tcPr>
            <w:tcW w:w="1080" w:type="dxa"/>
          </w:tcPr>
          <w:p w14:paraId="669F9944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39" w:history="1">
              <w:r w:rsidRPr="00686380">
                <w:rPr>
                  <w:rStyle w:val="Hyperlink"/>
                </w:rPr>
                <w:t>C26/2</w:t>
              </w:r>
            </w:hyperlink>
          </w:p>
        </w:tc>
        <w:tc>
          <w:tcPr>
            <w:tcW w:w="8460" w:type="dxa"/>
          </w:tcPr>
          <w:p w14:paraId="13C7A2D8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الجدول الزمني المقترح لدورات المجلس للأعوام 2027 و2028 و2029 ومجموعات اجتماعات أفرقة العمل التابعة للمجلس وأفرقة الخبراء للفترة نفسها</w:t>
            </w:r>
          </w:p>
        </w:tc>
      </w:tr>
      <w:tr w:rsidR="00670734" w:rsidRPr="002E1304" w14:paraId="7A06605B" w14:textId="77777777" w:rsidTr="001A6AF4">
        <w:trPr>
          <w:cantSplit/>
        </w:trPr>
        <w:tc>
          <w:tcPr>
            <w:tcW w:w="1080" w:type="dxa"/>
          </w:tcPr>
          <w:p w14:paraId="7229A332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40" w:history="1">
              <w:r w:rsidRPr="00686380">
                <w:rPr>
                  <w:rStyle w:val="Hyperlink"/>
                </w:rPr>
                <w:t>C26/37</w:t>
              </w:r>
            </w:hyperlink>
          </w:p>
        </w:tc>
        <w:tc>
          <w:tcPr>
            <w:tcW w:w="8460" w:type="dxa"/>
          </w:tcPr>
          <w:p w14:paraId="4266BA50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الجدول الزمني لمؤتمرات الاتحاد وجمعياته واجتماعاته المقبلة</w:t>
            </w:r>
            <w:r w:rsidRPr="002E1304">
              <w:t>:</w:t>
            </w:r>
            <w:r w:rsidRPr="002E1304">
              <w:rPr>
                <w:rtl/>
              </w:rPr>
              <w:t xml:space="preserve"> 2026-2029</w:t>
            </w:r>
          </w:p>
        </w:tc>
      </w:tr>
      <w:tr w:rsidR="00670734" w:rsidRPr="002E1304" w14:paraId="0CAB0900" w14:textId="77777777" w:rsidTr="001A6AF4">
        <w:trPr>
          <w:cantSplit/>
        </w:trPr>
        <w:tc>
          <w:tcPr>
            <w:tcW w:w="1080" w:type="dxa"/>
          </w:tcPr>
          <w:p w14:paraId="61AB8655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41" w:history="1">
              <w:r w:rsidRPr="00686380">
                <w:rPr>
                  <w:rStyle w:val="Hyperlink"/>
                </w:rPr>
                <w:t>C26/3</w:t>
              </w:r>
            </w:hyperlink>
          </w:p>
        </w:tc>
        <w:tc>
          <w:tcPr>
            <w:tcW w:w="8460" w:type="dxa"/>
          </w:tcPr>
          <w:p w14:paraId="0C4D4DB6" w14:textId="6B89A63D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قرارات المجلس ومقرراته التي انتهى مفعولها (</w:t>
            </w:r>
            <w:r w:rsidR="00A373EF">
              <w:rPr>
                <w:rFonts w:hint="cs"/>
                <w:rtl/>
              </w:rPr>
              <w:t> </w:t>
            </w:r>
            <w:r w:rsidRPr="002E1304">
              <w:rPr>
                <w:i/>
                <w:iCs/>
                <w:rtl/>
              </w:rPr>
              <w:t>الاجتماع الختامي</w:t>
            </w:r>
            <w:r>
              <w:rPr>
                <w:rtl/>
              </w:rPr>
              <w:t>)</w:t>
            </w:r>
          </w:p>
        </w:tc>
      </w:tr>
      <w:tr w:rsidR="00670734" w:rsidRPr="002E1304" w14:paraId="10746533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1884FC3A" w14:textId="35BAB7B4" w:rsidR="00670734" w:rsidRPr="00471908" w:rsidRDefault="00471908" w:rsidP="00471908">
            <w:pPr>
              <w:pStyle w:val="Tabletexte"/>
              <w:jc w:val="center"/>
              <w:rPr>
                <w:b/>
                <w:bCs/>
                <w:rtl/>
                <w:lang w:val="ar-SA" w:eastAsia="zh-TW"/>
              </w:rPr>
            </w:pPr>
            <w:r>
              <w:rPr>
                <w:b/>
                <w:bCs/>
              </w:rPr>
              <w:t>ADM 1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40CCEB87" w14:textId="77777777" w:rsidR="00670734" w:rsidRPr="00471908" w:rsidRDefault="00670734" w:rsidP="00471908">
            <w:pPr>
              <w:pStyle w:val="Tabletexte"/>
              <w:rPr>
                <w:b/>
                <w:bCs/>
                <w:rtl/>
                <w:lang w:val="ar-SA" w:eastAsia="zh-TW"/>
              </w:rPr>
            </w:pPr>
            <w:r w:rsidRPr="00471908">
              <w:rPr>
                <w:b/>
                <w:bCs/>
                <w:rtl/>
              </w:rPr>
              <w:t>تعزيز التميز المؤسسي (الميزانية والشؤون المالية)</w:t>
            </w:r>
          </w:p>
        </w:tc>
      </w:tr>
      <w:tr w:rsidR="00670734" w:rsidRPr="002E1304" w14:paraId="37D4A746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5C5B101F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42" w:history="1">
              <w:r w:rsidRPr="00686380">
                <w:rPr>
                  <w:rStyle w:val="Hyperlink"/>
                  <w:bCs/>
                </w:rPr>
                <w:t>C26/</w:t>
              </w:r>
              <w:r w:rsidRPr="00686380">
                <w:rPr>
                  <w:rStyle w:val="Hyperlink"/>
                </w:rPr>
                <w:t>50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2C8650C0" w14:textId="0274D71B" w:rsidR="00670734" w:rsidRPr="002E1304" w:rsidRDefault="000630A1" w:rsidP="00471908">
            <w:pPr>
              <w:pStyle w:val="Tabletexte"/>
              <w:rPr>
                <w:rtl/>
                <w:lang w:val="ar-SA" w:eastAsia="zh-TW"/>
              </w:rPr>
            </w:pPr>
            <w:r w:rsidRPr="000630A1">
              <w:rPr>
                <w:rtl/>
              </w:rPr>
              <w:t>تقرير من رئيسة فريق العمل التابع للمجلس والمعني بالموارد المالية والبشرية</w:t>
            </w:r>
            <w:r w:rsidR="00670734" w:rsidRPr="002E1304">
              <w:rPr>
                <w:rtl/>
              </w:rPr>
              <w:t xml:space="preserve"> </w:t>
            </w:r>
            <w:r w:rsidR="00670734" w:rsidRPr="002E1304">
              <w:t>(CWG-FHR)</w:t>
            </w:r>
          </w:p>
        </w:tc>
      </w:tr>
      <w:tr w:rsidR="00670734" w:rsidRPr="002E1304" w14:paraId="75E0DB30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7421F3E1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43" w:history="1">
              <w:r w:rsidRPr="00686380">
                <w:rPr>
                  <w:rStyle w:val="Hyperlink"/>
                  <w:bCs/>
                </w:rPr>
                <w:t>C26/</w:t>
              </w:r>
              <w:r w:rsidRPr="00686380">
                <w:rPr>
                  <w:rStyle w:val="Hyperlink"/>
                </w:rPr>
                <w:t>53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5595FB91" w14:textId="3264BC05" w:rsidR="00670734" w:rsidRPr="00471908" w:rsidRDefault="003A4EFC" w:rsidP="00471908">
            <w:pPr>
              <w:pStyle w:val="Tabletexte"/>
              <w:rPr>
                <w:rtl/>
                <w:lang w:val="ar-SA" w:eastAsia="zh-TW"/>
              </w:rPr>
            </w:pPr>
            <w:r w:rsidRPr="00471908">
              <w:rPr>
                <w:spacing w:val="-6"/>
                <w:rtl/>
              </w:rPr>
              <w:t xml:space="preserve">تقرير فترة السنوات الأربع </w:t>
            </w:r>
            <w:r w:rsidR="00670734" w:rsidRPr="00471908">
              <w:rPr>
                <w:rtl/>
              </w:rPr>
              <w:t>لفريق العمل التابع للمجلس والمعني بالموارد المالية والبشرية</w:t>
            </w:r>
          </w:p>
        </w:tc>
      </w:tr>
      <w:tr w:rsidR="00670734" w:rsidRPr="002E1304" w14:paraId="2454ECFF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4E45C7C2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44" w:history="1">
              <w:r w:rsidRPr="00686380">
                <w:rPr>
                  <w:rStyle w:val="Hyperlink"/>
                  <w:bCs/>
                </w:rPr>
                <w:t>C26/</w:t>
              </w:r>
              <w:r w:rsidRPr="00686380">
                <w:rPr>
                  <w:rStyle w:val="Hyperlink"/>
                </w:rPr>
                <w:t>43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660D391D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آثار معالجة قرارات المؤتمر العالمي لتنمية الاتصالات لعام 2025 (WTDC-25) على الميزانية السنوية</w:t>
            </w:r>
          </w:p>
        </w:tc>
      </w:tr>
      <w:tr w:rsidR="00670734" w:rsidRPr="002E1304" w14:paraId="0C143FB0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6914B5D8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45" w:history="1">
              <w:r w:rsidRPr="00686380">
                <w:rPr>
                  <w:rStyle w:val="Hyperlink"/>
                  <w:bCs/>
                </w:rPr>
                <w:t>C26/</w:t>
              </w:r>
              <w:r w:rsidRPr="00686380">
                <w:rPr>
                  <w:rStyle w:val="Hyperlink"/>
                </w:rPr>
                <w:t>9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5A911D0C" w14:textId="24CCCD99" w:rsidR="00670734" w:rsidRPr="00471908" w:rsidRDefault="00670734" w:rsidP="00471908">
            <w:pPr>
              <w:pStyle w:val="Tabletexte"/>
              <w:rPr>
                <w:spacing w:val="-2"/>
                <w:rtl/>
                <w:lang w:val="ar-SA" w:eastAsia="zh-TW"/>
              </w:rPr>
            </w:pPr>
            <w:r w:rsidRPr="00471908">
              <w:rPr>
                <w:spacing w:val="-2"/>
                <w:rtl/>
              </w:rPr>
              <w:t>الاستعراض السنوي للإيرادات والنفقات لتنفيذ ميزانية عام 2026، بما في ذلك التخفيض الشامل للميزانية</w:t>
            </w:r>
            <w:r w:rsidR="00637461" w:rsidRPr="00471908">
              <w:rPr>
                <w:rFonts w:hint="eastAsia"/>
                <w:spacing w:val="-2"/>
                <w:rtl/>
              </w:rPr>
              <w:t> </w:t>
            </w:r>
            <w:r w:rsidRPr="00471908">
              <w:rPr>
                <w:spacing w:val="-2"/>
                <w:rtl/>
              </w:rPr>
              <w:t>2026-2027</w:t>
            </w:r>
          </w:p>
        </w:tc>
      </w:tr>
      <w:tr w:rsidR="00670734" w:rsidRPr="002E1304" w14:paraId="780FEC47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7FDBECBE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46" w:history="1">
              <w:r w:rsidRPr="00686380">
                <w:rPr>
                  <w:rStyle w:val="Hyperlink"/>
                  <w:bCs/>
                </w:rPr>
                <w:t>C26/</w:t>
              </w:r>
              <w:r w:rsidRPr="00686380">
                <w:rPr>
                  <w:rStyle w:val="Hyperlink"/>
                </w:rPr>
                <w:t>42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331642DD" w14:textId="2D6DC2F8" w:rsidR="00670734" w:rsidRPr="002E1304" w:rsidRDefault="00637461" w:rsidP="00471908">
            <w:pPr>
              <w:pStyle w:val="Tabletexte"/>
              <w:rPr>
                <w:rtl/>
                <w:lang w:val="ar-SA" w:eastAsia="zh-TW"/>
              </w:rPr>
            </w:pPr>
            <w:r w:rsidRPr="00637461">
              <w:rPr>
                <w:rtl/>
              </w:rPr>
              <w:t>مخصصات الوفورات المحققة في تنفيذ ميزانية 2025</w:t>
            </w:r>
          </w:p>
        </w:tc>
      </w:tr>
      <w:tr w:rsidR="00670734" w:rsidRPr="002E1304" w14:paraId="32C58669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15E85163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47" w:history="1">
              <w:r w:rsidRPr="00686380">
                <w:rPr>
                  <w:rStyle w:val="Hyperlink"/>
                  <w:bCs/>
                </w:rPr>
                <w:t>C26/</w:t>
              </w:r>
              <w:r w:rsidRPr="00686380">
                <w:rPr>
                  <w:rStyle w:val="Hyperlink"/>
                </w:rPr>
                <w:t>47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0C870488" w14:textId="4F5D8439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وحدات المساهمة - الاختيارات المؤقتة</w:t>
            </w:r>
          </w:p>
        </w:tc>
      </w:tr>
      <w:tr w:rsidR="00670734" w:rsidRPr="002E1304" w14:paraId="24692153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5EC23C0A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48" w:history="1">
              <w:r w:rsidRPr="00686380">
                <w:rPr>
                  <w:rStyle w:val="Hyperlink"/>
                </w:rPr>
                <w:t>C26/72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5C8639ED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وحدات المساهمة - منهجية الاستعراض والمراجعة</w:t>
            </w:r>
          </w:p>
        </w:tc>
      </w:tr>
      <w:tr w:rsidR="00670734" w:rsidRPr="002E1304" w14:paraId="7812414A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70303A07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49" w:history="1">
              <w:r w:rsidRPr="00686380">
                <w:rPr>
                  <w:rStyle w:val="Hyperlink"/>
                  <w:bCs/>
                </w:rPr>
                <w:t>C26/</w:t>
              </w:r>
              <w:r w:rsidRPr="00686380">
                <w:rPr>
                  <w:rStyle w:val="Hyperlink"/>
                </w:rPr>
                <w:t>54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052F0653" w14:textId="6D43C59C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 xml:space="preserve">رسالة من </w:t>
            </w:r>
            <w:r w:rsidR="00637461">
              <w:rPr>
                <w:rFonts w:hint="cs"/>
                <w:rtl/>
              </w:rPr>
              <w:t>الإكوادور</w:t>
            </w:r>
            <w:r w:rsidRPr="002E1304">
              <w:rPr>
                <w:rtl/>
              </w:rPr>
              <w:t xml:space="preserve"> بشأن تغطية مساهمتها</w:t>
            </w:r>
          </w:p>
        </w:tc>
      </w:tr>
      <w:tr w:rsidR="00670734" w:rsidRPr="002E1304" w14:paraId="03054F9F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6F5FBB5A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50" w:history="1">
              <w:r w:rsidRPr="00686380">
                <w:rPr>
                  <w:rStyle w:val="Hyperlink"/>
                  <w:bCs/>
                </w:rPr>
                <w:t>C26/</w:t>
              </w:r>
              <w:r w:rsidRPr="00686380">
                <w:rPr>
                  <w:rStyle w:val="Hyperlink"/>
                </w:rPr>
                <w:t>19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46A3551F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معالجة بطاقات التبليغ عن الشبكات الساتلية - مشروع المنهجية</w:t>
            </w:r>
          </w:p>
        </w:tc>
      </w:tr>
      <w:tr w:rsidR="00670734" w:rsidRPr="002E1304" w14:paraId="30359681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7DCC3391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51" w:history="1">
              <w:r w:rsidRPr="00686380">
                <w:rPr>
                  <w:rStyle w:val="Hyperlink"/>
                  <w:bCs/>
                </w:rPr>
                <w:t>C26/</w:t>
              </w:r>
              <w:r w:rsidRPr="00686380">
                <w:rPr>
                  <w:rStyle w:val="Hyperlink"/>
                </w:rPr>
                <w:t>16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1DE33359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استرداد تكاليف معالجة بطاقات التبليغ عن الشبكات الساتلية</w:t>
            </w:r>
          </w:p>
        </w:tc>
      </w:tr>
      <w:tr w:rsidR="00670734" w:rsidRPr="002E1304" w14:paraId="299F970E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12DB9D0C" w14:textId="40946562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52" w:history="1">
              <w:r w:rsidRPr="00686380">
                <w:rPr>
                  <w:rStyle w:val="Hyperlink"/>
                </w:rPr>
                <w:t>C26/11</w:t>
              </w:r>
              <w:r w:rsidRPr="00686380">
                <w:rPr>
                  <w:rStyle w:val="Hyperlink"/>
                </w:rPr>
                <w:br/>
                <w:t>(Rev.1)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0E248218" w14:textId="0CFDA404" w:rsidR="00670734" w:rsidRPr="00471908" w:rsidRDefault="00637461" w:rsidP="00471908">
            <w:pPr>
              <w:pStyle w:val="Tabletexte"/>
              <w:rPr>
                <w:rtl/>
                <w:lang w:val="ar-SA" w:eastAsia="zh-TW"/>
              </w:rPr>
            </w:pPr>
            <w:r w:rsidRPr="00AE57F3">
              <w:rPr>
                <w:rtl/>
              </w:rPr>
              <w:t>المتأخرات والحسابات الخاصة بالمتأخرات</w:t>
            </w:r>
          </w:p>
        </w:tc>
      </w:tr>
      <w:tr w:rsidR="00670734" w:rsidRPr="002E1304" w14:paraId="206A6834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6A72C0BC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53" w:history="1">
              <w:r w:rsidRPr="00686380">
                <w:rPr>
                  <w:rStyle w:val="Hyperlink"/>
                </w:rPr>
                <w:t>C26/73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4F58E588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تحديث تنفيذ استراتيجية الاتحاد لتعبئة الموارد</w:t>
            </w:r>
          </w:p>
        </w:tc>
      </w:tr>
      <w:tr w:rsidR="00670734" w:rsidRPr="002E1304" w14:paraId="16A6A5E2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2D2C458B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54" w:history="1">
              <w:r w:rsidRPr="00686380">
                <w:rPr>
                  <w:rStyle w:val="Hyperlink"/>
                  <w:bCs/>
                </w:rPr>
                <w:t>C26/</w:t>
              </w:r>
              <w:r w:rsidRPr="00686380">
                <w:rPr>
                  <w:rStyle w:val="Hyperlink"/>
                </w:rPr>
                <w:t>38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1674B73F" w14:textId="4D732184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تقرير عن حالة تنفيذ المقررين 600 و601 الصادرين عن المجلس (بشأن الأرقام العالمية للنداء الدولي المجاني</w:t>
            </w:r>
            <w:r w:rsidR="00637461">
              <w:rPr>
                <w:rFonts w:hint="cs"/>
                <w:rtl/>
              </w:rPr>
              <w:t> </w:t>
            </w:r>
            <w:r w:rsidRPr="002E1304">
              <w:t>(UIFN)</w:t>
            </w:r>
            <w:r w:rsidRPr="002E1304">
              <w:rPr>
                <w:rtl/>
              </w:rPr>
              <w:t xml:space="preserve"> وأرقام تعرف جهة الإصدار </w:t>
            </w:r>
            <w:r w:rsidRPr="002E1304">
              <w:t>(IIN)</w:t>
            </w:r>
            <w:r w:rsidRPr="002E1304">
              <w:rPr>
                <w:rtl/>
              </w:rPr>
              <w:t>)</w:t>
            </w:r>
          </w:p>
        </w:tc>
      </w:tr>
      <w:tr w:rsidR="00670734" w:rsidRPr="002E1304" w14:paraId="4885420F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12369935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55" w:history="1">
              <w:r w:rsidRPr="00686380">
                <w:rPr>
                  <w:rStyle w:val="Hyperlink"/>
                  <w:bCs/>
                </w:rPr>
                <w:t>C26/</w:t>
              </w:r>
              <w:r w:rsidRPr="00686380">
                <w:rPr>
                  <w:rStyle w:val="Hyperlink"/>
                </w:rPr>
                <w:t>34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53A05261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 xml:space="preserve">صندوق تنمية تكنولوجيا المعلومات والاتصالات </w:t>
            </w:r>
            <w:r w:rsidRPr="002E1304">
              <w:t>(ICT-DF)</w:t>
            </w:r>
          </w:p>
        </w:tc>
      </w:tr>
      <w:tr w:rsidR="00670734" w:rsidRPr="002E1304" w14:paraId="7EF275C3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3B4405BA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56" w:history="1">
              <w:r w:rsidRPr="00686380">
                <w:rPr>
                  <w:rStyle w:val="Hyperlink"/>
                  <w:bCs/>
                </w:rPr>
                <w:t>C26/</w:t>
              </w:r>
              <w:r w:rsidRPr="00686380">
                <w:rPr>
                  <w:rStyle w:val="Hyperlink"/>
                </w:rPr>
                <w:t>46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3B9C86F7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 xml:space="preserve">التزامات التأمين الصحي بعد انتهاء مدة الخدمة </w:t>
            </w:r>
            <w:r w:rsidRPr="002E1304">
              <w:t>(ASHI)</w:t>
            </w:r>
          </w:p>
        </w:tc>
      </w:tr>
      <w:tr w:rsidR="00670734" w:rsidRPr="002E1304" w14:paraId="6F8DBA51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369CB758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57" w:history="1">
              <w:r w:rsidRPr="00686380">
                <w:rPr>
                  <w:rStyle w:val="Hyperlink"/>
                  <w:bCs/>
                </w:rPr>
                <w:t>C26/</w:t>
              </w:r>
              <w:r w:rsidRPr="00686380">
                <w:rPr>
                  <w:rStyle w:val="Hyperlink"/>
                </w:rPr>
                <w:t>56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35328E66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الطلبات الجديدة المقدمة من المنظمات ذات الطابع الدولي لإعفائها من الرسوم</w:t>
            </w:r>
          </w:p>
        </w:tc>
      </w:tr>
      <w:tr w:rsidR="00670734" w:rsidRPr="002E1304" w14:paraId="1BD093CC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2B319868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58" w:history="1">
              <w:r w:rsidRPr="00686380">
                <w:rPr>
                  <w:rStyle w:val="Hyperlink"/>
                  <w:bCs/>
                </w:rPr>
                <w:t>C26/</w:t>
              </w:r>
              <w:r w:rsidRPr="00686380">
                <w:rPr>
                  <w:rStyle w:val="Hyperlink"/>
                </w:rPr>
                <w:t>20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28B0A5AD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المشاركة المؤقتة للكيانات المعنية بمسائل الاتصالات في أنشطة الاتحاد الدولي للاتصالات</w:t>
            </w:r>
          </w:p>
        </w:tc>
      </w:tr>
      <w:tr w:rsidR="00670734" w:rsidRPr="002E1304" w14:paraId="6B0840E9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2BC2CA8F" w14:textId="5516C870" w:rsidR="00670734" w:rsidRPr="00471908" w:rsidRDefault="00471908" w:rsidP="00471908">
            <w:pPr>
              <w:pStyle w:val="Tabletexte"/>
              <w:jc w:val="center"/>
              <w:rPr>
                <w:b/>
                <w:bCs/>
                <w:rtl/>
                <w:lang w:val="ar-SA" w:eastAsia="zh-TW"/>
              </w:rPr>
            </w:pPr>
            <w:r>
              <w:rPr>
                <w:b/>
                <w:bCs/>
              </w:rPr>
              <w:t>ADM 2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6AE1946E" w14:textId="77777777" w:rsidR="00670734" w:rsidRPr="00471908" w:rsidRDefault="00670734" w:rsidP="00471908">
            <w:pPr>
              <w:pStyle w:val="Tabletexte"/>
              <w:rPr>
                <w:b/>
                <w:bCs/>
                <w:rtl/>
                <w:lang w:val="ar-SA" w:eastAsia="zh-TW"/>
              </w:rPr>
            </w:pPr>
            <w:r w:rsidRPr="00471908">
              <w:rPr>
                <w:b/>
                <w:bCs/>
                <w:rtl/>
              </w:rPr>
              <w:t>تعزيز التميز المؤسسي (المساءلة)</w:t>
            </w:r>
          </w:p>
        </w:tc>
      </w:tr>
      <w:tr w:rsidR="00670734" w:rsidRPr="002E1304" w14:paraId="4959B836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right w:val="single" w:sz="4" w:space="0" w:color="auto"/>
            </w:tcBorders>
          </w:tcPr>
          <w:p w14:paraId="36AF1BB6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59" w:history="1">
              <w:r w:rsidRPr="00686380">
                <w:rPr>
                  <w:rStyle w:val="Hyperlink"/>
                  <w:bCs/>
                </w:rPr>
                <w:t>C26/36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auto"/>
            </w:tcBorders>
          </w:tcPr>
          <w:p w14:paraId="76C6F2B3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الحسابات غير المراجعَة: ‏تقرير الإدارة المالية والبيانات المالية غير المراجَعة للسنة المالية 2025</w:t>
            </w:r>
          </w:p>
        </w:tc>
      </w:tr>
      <w:tr w:rsidR="00670734" w:rsidRPr="002E1304" w14:paraId="3F6C082B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right w:val="single" w:sz="4" w:space="0" w:color="auto"/>
            </w:tcBorders>
          </w:tcPr>
          <w:p w14:paraId="11FCBAC6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60" w:history="1">
              <w:r w:rsidRPr="00686380">
                <w:rPr>
                  <w:rStyle w:val="Hyperlink"/>
                  <w:bCs/>
                </w:rPr>
                <w:t>C26/40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auto"/>
            </w:tcBorders>
          </w:tcPr>
          <w:p w14:paraId="2795F887" w14:textId="327D80EF" w:rsidR="00670734" w:rsidRPr="002E1304" w:rsidRDefault="00670734" w:rsidP="00471908">
            <w:pPr>
              <w:pStyle w:val="Tabletexte"/>
              <w:rPr>
                <w:i/>
                <w:iCs/>
                <w:rtl/>
                <w:lang w:val="ar-SA" w:eastAsia="zh-TW"/>
              </w:rPr>
            </w:pPr>
            <w:r w:rsidRPr="002E1304">
              <w:rPr>
                <w:rtl/>
              </w:rPr>
              <w:t>الحسابات المراجعَة: ‏تقرير الإدارة المالية والبيانات المالية المراجَعة للسنة المالية 2025</w:t>
            </w:r>
            <w:r w:rsidR="00F15404">
              <w:rPr>
                <w:rFonts w:hint="cs"/>
                <w:rtl/>
              </w:rPr>
              <w:t xml:space="preserve"> </w:t>
            </w:r>
            <w:r w:rsidRPr="002E1304">
              <w:rPr>
                <w:rtl/>
              </w:rPr>
              <w:t>(</w:t>
            </w:r>
            <w:r w:rsidR="00F15404">
              <w:rPr>
                <w:rFonts w:hint="cs"/>
                <w:rtl/>
              </w:rPr>
              <w:t> </w:t>
            </w:r>
            <w:r w:rsidRPr="002E1304">
              <w:rPr>
                <w:i/>
                <w:iCs/>
                <w:rtl/>
              </w:rPr>
              <w:t>الاجتماع الختامي</w:t>
            </w:r>
            <w:r w:rsidRPr="002E1304">
              <w:rPr>
                <w:rtl/>
              </w:rPr>
              <w:t>)</w:t>
            </w:r>
          </w:p>
        </w:tc>
      </w:tr>
      <w:tr w:rsidR="00670734" w:rsidRPr="002E1304" w14:paraId="5C8F28A8" w14:textId="77777777" w:rsidTr="001A6AF4">
        <w:trPr>
          <w:cantSplit/>
        </w:trPr>
        <w:tc>
          <w:tcPr>
            <w:tcW w:w="1080" w:type="dxa"/>
          </w:tcPr>
          <w:p w14:paraId="2E822B25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61" w:history="1">
              <w:r w:rsidRPr="00686380">
                <w:rPr>
                  <w:rStyle w:val="Hyperlink"/>
                  <w:bCs/>
                </w:rPr>
                <w:t>C26/41</w:t>
              </w:r>
            </w:hyperlink>
          </w:p>
        </w:tc>
        <w:tc>
          <w:tcPr>
            <w:tcW w:w="8460" w:type="dxa"/>
          </w:tcPr>
          <w:p w14:paraId="52BDF5E5" w14:textId="375DD3AC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تقرير المراجع الخارجي للحسابات: البيانات المالية للاتحاد لعام 2025 (</w:t>
            </w:r>
            <w:r w:rsidR="00F15404">
              <w:rPr>
                <w:rFonts w:hint="cs"/>
                <w:rtl/>
              </w:rPr>
              <w:t> </w:t>
            </w:r>
            <w:r w:rsidRPr="002E1304">
              <w:rPr>
                <w:i/>
                <w:iCs/>
                <w:rtl/>
              </w:rPr>
              <w:t>الاجتماع الختامي</w:t>
            </w:r>
            <w:r w:rsidRPr="002E1304">
              <w:rPr>
                <w:rtl/>
              </w:rPr>
              <w:t>)</w:t>
            </w:r>
          </w:p>
        </w:tc>
      </w:tr>
      <w:tr w:rsidR="00670734" w:rsidRPr="002E1304" w14:paraId="158D3EA3" w14:textId="77777777" w:rsidTr="001A6AF4">
        <w:trPr>
          <w:cantSplit/>
        </w:trPr>
        <w:tc>
          <w:tcPr>
            <w:tcW w:w="1080" w:type="dxa"/>
          </w:tcPr>
          <w:p w14:paraId="7B17A665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62" w:history="1">
              <w:r w:rsidRPr="00686380">
                <w:rPr>
                  <w:rStyle w:val="Hyperlink"/>
                  <w:bCs/>
                </w:rPr>
                <w:t>C26/44</w:t>
              </w:r>
            </w:hyperlink>
          </w:p>
        </w:tc>
        <w:tc>
          <w:tcPr>
            <w:tcW w:w="8460" w:type="dxa"/>
          </w:tcPr>
          <w:p w14:paraId="55576A13" w14:textId="77777777" w:rsidR="00670734" w:rsidRPr="007B5A36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7B5A36">
              <w:rPr>
                <w:rtl/>
              </w:rPr>
              <w:t>‏</w:t>
            </w:r>
            <w:r w:rsidRPr="00471908">
              <w:rPr>
                <w:rtl/>
              </w:rPr>
              <w:t>تقرير من وظيفة المراجعة الداخلية في وحدة الرقابة</w:t>
            </w:r>
            <w:r w:rsidRPr="007B5A36">
              <w:rPr>
                <w:cs/>
              </w:rPr>
              <w:t>‎</w:t>
            </w:r>
          </w:p>
        </w:tc>
      </w:tr>
      <w:tr w:rsidR="00670734" w:rsidRPr="002E1304" w14:paraId="27170E14" w14:textId="77777777" w:rsidTr="001A6AF4">
        <w:trPr>
          <w:cantSplit/>
        </w:trPr>
        <w:tc>
          <w:tcPr>
            <w:tcW w:w="1080" w:type="dxa"/>
          </w:tcPr>
          <w:p w14:paraId="66A89D9F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63" w:history="1">
              <w:r w:rsidRPr="00686380">
                <w:rPr>
                  <w:rStyle w:val="Hyperlink"/>
                  <w:bCs/>
                </w:rPr>
                <w:t>C26/39</w:t>
              </w:r>
            </w:hyperlink>
          </w:p>
        </w:tc>
        <w:tc>
          <w:tcPr>
            <w:tcW w:w="8460" w:type="dxa"/>
          </w:tcPr>
          <w:p w14:paraId="6DB3D59E" w14:textId="275FB353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تقرير من وحدة الرقابة</w:t>
            </w:r>
            <w:r w:rsidRPr="002E1304">
              <w:rPr>
                <w:cs/>
              </w:rPr>
              <w:t>‎</w:t>
            </w:r>
            <w:r w:rsidR="007F6D72">
              <w:rPr>
                <w:rFonts w:hint="cs"/>
                <w:rtl/>
                <w:cs/>
              </w:rPr>
              <w:t xml:space="preserve"> - </w:t>
            </w:r>
            <w:r w:rsidRPr="002E1304">
              <w:rPr>
                <w:rtl/>
                <w:cs/>
              </w:rPr>
              <w:t>وظيفة التحقيق</w:t>
            </w:r>
          </w:p>
        </w:tc>
      </w:tr>
      <w:tr w:rsidR="00670734" w:rsidRPr="002E1304" w14:paraId="46E0A330" w14:textId="77777777" w:rsidTr="001A6AF4">
        <w:trPr>
          <w:cantSplit/>
        </w:trPr>
        <w:tc>
          <w:tcPr>
            <w:tcW w:w="1080" w:type="dxa"/>
          </w:tcPr>
          <w:p w14:paraId="3A83DC86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64" w:history="1">
              <w:r w:rsidRPr="00686380">
                <w:rPr>
                  <w:rStyle w:val="Hyperlink"/>
                  <w:bCs/>
                </w:rPr>
                <w:t>C26/45</w:t>
              </w:r>
            </w:hyperlink>
          </w:p>
        </w:tc>
        <w:tc>
          <w:tcPr>
            <w:tcW w:w="8460" w:type="dxa"/>
          </w:tcPr>
          <w:p w14:paraId="6FAFD08D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خطة التقييم لوحدة الرقابة لفترة سنتين (2026-2027)</w:t>
            </w:r>
          </w:p>
        </w:tc>
      </w:tr>
      <w:tr w:rsidR="00670734" w:rsidRPr="002E1304" w14:paraId="17A7BE19" w14:textId="77777777" w:rsidTr="001A6AF4">
        <w:trPr>
          <w:cantSplit/>
        </w:trPr>
        <w:tc>
          <w:tcPr>
            <w:tcW w:w="1080" w:type="dxa"/>
          </w:tcPr>
          <w:p w14:paraId="32E14CEB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65" w:history="1">
              <w:r w:rsidRPr="00686380">
                <w:rPr>
                  <w:rStyle w:val="Hyperlink"/>
                  <w:bCs/>
                </w:rPr>
                <w:t>C26/14</w:t>
              </w:r>
            </w:hyperlink>
          </w:p>
        </w:tc>
        <w:tc>
          <w:tcPr>
            <w:tcW w:w="8460" w:type="dxa"/>
          </w:tcPr>
          <w:p w14:paraId="08509D1B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تقرير من مكتب الأخلاقيات</w:t>
            </w:r>
          </w:p>
        </w:tc>
      </w:tr>
      <w:tr w:rsidR="00670734" w:rsidRPr="002E1304" w14:paraId="208D9174" w14:textId="77777777" w:rsidTr="001A6AF4">
        <w:trPr>
          <w:cantSplit/>
        </w:trPr>
        <w:tc>
          <w:tcPr>
            <w:tcW w:w="1080" w:type="dxa"/>
          </w:tcPr>
          <w:p w14:paraId="19347BC8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66" w:history="1">
              <w:r w:rsidRPr="00686380">
                <w:rPr>
                  <w:rStyle w:val="Hyperlink"/>
                  <w:bCs/>
                </w:rPr>
                <w:t>C26/49</w:t>
              </w:r>
            </w:hyperlink>
          </w:p>
        </w:tc>
        <w:tc>
          <w:tcPr>
            <w:tcW w:w="8460" w:type="dxa"/>
          </w:tcPr>
          <w:p w14:paraId="0D7D7210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تعزيز إدارة المخاطر ونظام الرقابة الداخلية</w:t>
            </w:r>
          </w:p>
        </w:tc>
      </w:tr>
      <w:tr w:rsidR="00670734" w:rsidRPr="002E1304" w14:paraId="24D7D285" w14:textId="77777777" w:rsidTr="001A6AF4">
        <w:trPr>
          <w:cantSplit/>
        </w:trPr>
        <w:tc>
          <w:tcPr>
            <w:tcW w:w="1080" w:type="dxa"/>
          </w:tcPr>
          <w:p w14:paraId="7211C71C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67" w:history="1">
              <w:r w:rsidRPr="00686380">
                <w:rPr>
                  <w:rStyle w:val="Hyperlink"/>
                  <w:bCs/>
                </w:rPr>
                <w:t>C26/22</w:t>
              </w:r>
            </w:hyperlink>
          </w:p>
        </w:tc>
        <w:tc>
          <w:tcPr>
            <w:tcW w:w="8460" w:type="dxa"/>
          </w:tcPr>
          <w:p w14:paraId="2F107150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 xml:space="preserve">التقرير الخامس عشر للجنة الاستشارية المستقلة للإدارة </w:t>
            </w:r>
            <w:r w:rsidRPr="002E1304">
              <w:t>(IMAC)</w:t>
            </w:r>
          </w:p>
        </w:tc>
      </w:tr>
      <w:tr w:rsidR="00670734" w:rsidRPr="002E1304" w14:paraId="66AD7811" w14:textId="77777777" w:rsidTr="001A6AF4">
        <w:trPr>
          <w:cantSplit/>
        </w:trPr>
        <w:tc>
          <w:tcPr>
            <w:tcW w:w="1080" w:type="dxa"/>
          </w:tcPr>
          <w:p w14:paraId="06B40499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68" w:history="1">
              <w:r w:rsidRPr="00686380">
                <w:rPr>
                  <w:rStyle w:val="Hyperlink"/>
                  <w:bCs/>
                </w:rPr>
                <w:t>C26/57</w:t>
              </w:r>
            </w:hyperlink>
          </w:p>
        </w:tc>
        <w:tc>
          <w:tcPr>
            <w:tcW w:w="8460" w:type="dxa"/>
            <w:tcBorders>
              <w:right w:val="single" w:sz="8" w:space="0" w:color="auto"/>
            </w:tcBorders>
          </w:tcPr>
          <w:p w14:paraId="4321119C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تقارير وحدة التفتيش المشتركة بشأن المسائل المتعلقة بمنظومة الأمم المتحدة ككل في عام 2025 وتوصيات الوحدة الموجهة للهيئات التشريعية</w:t>
            </w:r>
          </w:p>
        </w:tc>
      </w:tr>
      <w:tr w:rsidR="00670734" w:rsidRPr="002E1304" w14:paraId="1E48D5F9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27E421AF" w14:textId="744991A4" w:rsidR="00670734" w:rsidRPr="00471908" w:rsidRDefault="00471908" w:rsidP="00471908">
            <w:pPr>
              <w:pStyle w:val="Tabletexte"/>
              <w:jc w:val="center"/>
              <w:rPr>
                <w:b/>
                <w:bCs/>
                <w:rtl/>
                <w:lang w:val="ar-SA" w:eastAsia="zh-TW"/>
              </w:rPr>
            </w:pPr>
            <w:r>
              <w:rPr>
                <w:b/>
                <w:bCs/>
              </w:rPr>
              <w:t>ADM 3</w:t>
            </w: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75ECF390" w14:textId="77777777" w:rsidR="00670734" w:rsidRPr="00471908" w:rsidRDefault="00670734" w:rsidP="00471908">
            <w:pPr>
              <w:pStyle w:val="Tabletexte"/>
              <w:rPr>
                <w:b/>
                <w:bCs/>
                <w:rtl/>
                <w:lang w:val="ar-SA" w:eastAsia="zh-TW"/>
              </w:rPr>
            </w:pPr>
            <w:r w:rsidRPr="00471908">
              <w:rPr>
                <w:b/>
                <w:bCs/>
                <w:rtl/>
              </w:rPr>
              <w:t>تعزيز التميز المؤسسي (البيئة التمكينية والموارد البشرية وتكنولوجيا المعلومات والمقر)</w:t>
            </w:r>
          </w:p>
        </w:tc>
      </w:tr>
      <w:tr w:rsidR="00670734" w:rsidRPr="002E1304" w14:paraId="711BE010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6B457245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69" w:history="1">
              <w:r w:rsidRPr="00686380">
                <w:rPr>
                  <w:rStyle w:val="Hyperlink"/>
                  <w:bCs/>
                </w:rPr>
                <w:t>C26/</w:t>
              </w:r>
              <w:r w:rsidRPr="00686380">
                <w:rPr>
                  <w:rStyle w:val="Hyperlink"/>
                </w:rPr>
                <w:t>66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623D9F79" w14:textId="0686D8D7" w:rsidR="00670734" w:rsidRPr="005279A5" w:rsidRDefault="00670734" w:rsidP="00471908">
            <w:pPr>
              <w:pStyle w:val="Tabletexte"/>
              <w:rPr>
                <w:spacing w:val="-2"/>
                <w:rtl/>
                <w:lang w:val="ar-SA" w:eastAsia="zh-TW"/>
              </w:rPr>
            </w:pPr>
            <w:r w:rsidRPr="005279A5">
              <w:rPr>
                <w:spacing w:val="-2"/>
                <w:rtl/>
              </w:rPr>
              <w:t>تقرير مرحلي بشأن تنفيذ الخطة الاستراتيجية للموارد البشرية وتنفيذ القرار 48</w:t>
            </w:r>
            <w:r w:rsidR="005279A5" w:rsidRPr="005279A5">
              <w:rPr>
                <w:rFonts w:hint="cs"/>
                <w:spacing w:val="-2"/>
                <w:rtl/>
              </w:rPr>
              <w:t> </w:t>
            </w:r>
            <w:r w:rsidRPr="005279A5">
              <w:rPr>
                <w:spacing w:val="-2"/>
                <w:rtl/>
              </w:rPr>
              <w:t>(المراجَع في بوخارست، 2022)</w:t>
            </w:r>
          </w:p>
        </w:tc>
      </w:tr>
      <w:tr w:rsidR="00670734" w:rsidRPr="002E1304" w14:paraId="434C2F5B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556FB05C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70" w:history="1">
              <w:r w:rsidRPr="00686380">
                <w:rPr>
                  <w:rStyle w:val="Hyperlink"/>
                  <w:bCs/>
                </w:rPr>
                <w:t>C26/</w:t>
              </w:r>
              <w:r w:rsidRPr="00686380">
                <w:rPr>
                  <w:rStyle w:val="Hyperlink"/>
                </w:rPr>
                <w:t>23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38CD9EA7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تغييرات في شروط الخدمة في النظام الموحد للأمم المتحدة</w:t>
            </w:r>
          </w:p>
        </w:tc>
      </w:tr>
      <w:tr w:rsidR="00670734" w:rsidRPr="002E1304" w14:paraId="77C95D7B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5CC182DC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71" w:history="1">
              <w:r w:rsidRPr="00686380">
                <w:rPr>
                  <w:rStyle w:val="Hyperlink"/>
                  <w:bCs/>
                </w:rPr>
                <w:t>C26/</w:t>
              </w:r>
              <w:r w:rsidRPr="00686380">
                <w:rPr>
                  <w:rStyle w:val="Hyperlink"/>
                </w:rPr>
                <w:t>67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06C612BC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الخطة الاستراتيجية للموارد البشرية للاتحاد للفترة 202</w:t>
            </w:r>
            <w:r>
              <w:rPr>
                <w:rtl/>
              </w:rPr>
              <w:t>6</w:t>
            </w:r>
            <w:r w:rsidRPr="002E1304">
              <w:rPr>
                <w:rtl/>
              </w:rPr>
              <w:t>-202</w:t>
            </w:r>
            <w:r>
              <w:rPr>
                <w:rtl/>
              </w:rPr>
              <w:t>7</w:t>
            </w:r>
          </w:p>
        </w:tc>
      </w:tr>
      <w:tr w:rsidR="00670734" w:rsidRPr="002E1304" w14:paraId="61135AF5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031437D1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72" w:history="1">
              <w:r w:rsidRPr="00686380">
                <w:rPr>
                  <w:rStyle w:val="Hyperlink"/>
                  <w:bCs/>
                </w:rPr>
                <w:t>C26/7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39ADF16B" w14:textId="40C23475" w:rsidR="00670734" w:rsidRPr="00471908" w:rsidRDefault="00670734" w:rsidP="00471908">
            <w:pPr>
              <w:pStyle w:val="Tabletexte"/>
              <w:rPr>
                <w:spacing w:val="-4"/>
                <w:rtl/>
                <w:lang w:val="ar-SA" w:eastAsia="zh-TW"/>
              </w:rPr>
            </w:pPr>
            <w:r w:rsidRPr="00471908">
              <w:rPr>
                <w:spacing w:val="-4"/>
                <w:rtl/>
              </w:rPr>
              <w:t xml:space="preserve">معلومات </w:t>
            </w:r>
            <w:r w:rsidR="00E825D2" w:rsidRPr="00471908">
              <w:rPr>
                <w:spacing w:val="-4"/>
                <w:rtl/>
              </w:rPr>
              <w:t>محدّثة</w:t>
            </w:r>
            <w:r w:rsidRPr="00471908">
              <w:rPr>
                <w:spacing w:val="-4"/>
                <w:rtl/>
              </w:rPr>
              <w:t xml:space="preserve"> بشأن مشروع مبنى مقر الاتحاد (</w:t>
            </w:r>
            <w:r w:rsidRPr="00471908">
              <w:rPr>
                <w:i/>
                <w:iCs/>
                <w:spacing w:val="-4"/>
                <w:rtl/>
              </w:rPr>
              <w:t>بما في ذلك استعراض المقررات والقرارات المتعلقة بمشروع مباني المقر</w:t>
            </w:r>
            <w:r w:rsidRPr="00471908">
              <w:rPr>
                <w:spacing w:val="-4"/>
                <w:rtl/>
              </w:rPr>
              <w:t>)</w:t>
            </w:r>
          </w:p>
        </w:tc>
      </w:tr>
      <w:tr w:rsidR="00670734" w:rsidRPr="002E1304" w14:paraId="32B4CE6C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3E95459E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73" w:history="1">
              <w:r w:rsidRPr="00686380">
                <w:rPr>
                  <w:rStyle w:val="Hyperlink"/>
                  <w:bCs/>
                </w:rPr>
                <w:t>C26/63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7F9C855A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معلومات محدَّثة بشأن الخطة الاستراتيجية لمجمَّع الاتحاد</w:t>
            </w:r>
          </w:p>
        </w:tc>
      </w:tr>
      <w:tr w:rsidR="00670734" w:rsidRPr="002E1304" w14:paraId="04C5F64C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5D5FE178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74" w:history="1">
              <w:r w:rsidRPr="00686380">
                <w:rPr>
                  <w:rStyle w:val="Hyperlink"/>
                  <w:bCs/>
                </w:rPr>
                <w:t>C26/48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4259A970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 xml:space="preserve">تقرير من الفريق الاستشاري للدول الأعضاء </w:t>
            </w:r>
            <w:r w:rsidRPr="002E1304">
              <w:t>(MSAG)</w:t>
            </w:r>
          </w:p>
        </w:tc>
      </w:tr>
      <w:tr w:rsidR="00670734" w:rsidRPr="002E1304" w14:paraId="35A1CA9A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39867576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75" w:history="1">
              <w:r w:rsidRPr="00686380">
                <w:rPr>
                  <w:rStyle w:val="Hyperlink"/>
                  <w:bCs/>
                </w:rPr>
                <w:t>C26/65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7654FE04" w14:textId="7EB94510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 xml:space="preserve">معلومات </w:t>
            </w:r>
            <w:r w:rsidR="00E825D2" w:rsidRPr="002E1304">
              <w:rPr>
                <w:rtl/>
              </w:rPr>
              <w:t>محدّثة</w:t>
            </w:r>
            <w:r w:rsidRPr="002E1304">
              <w:rPr>
                <w:rtl/>
              </w:rPr>
              <w:t xml:space="preserve"> عن استمرارية الأعمال خلال فترة تشييد المبنى الجديد للاتحاد</w:t>
            </w:r>
          </w:p>
        </w:tc>
      </w:tr>
      <w:tr w:rsidR="00670734" w:rsidRPr="002E1304" w14:paraId="4E52A4AF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1AE64632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76" w:history="1">
              <w:r w:rsidRPr="00686380">
                <w:rPr>
                  <w:rStyle w:val="Hyperlink"/>
                  <w:bCs/>
                </w:rPr>
                <w:t>C26/27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0F1FB440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تعزيز التنسيق بين القطاعات في الاتحاد</w:t>
            </w:r>
          </w:p>
        </w:tc>
      </w:tr>
      <w:tr w:rsidR="00670734" w:rsidRPr="002E1304" w14:paraId="77A7FA0F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5384B892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77" w:history="1">
              <w:r w:rsidRPr="00686380">
                <w:rPr>
                  <w:rStyle w:val="Hyperlink"/>
                  <w:bCs/>
                </w:rPr>
                <w:t>C26/62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25A9A191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تدعيم الأسس الرقمية الداخلية للتحول في الاتحاد - الاستراتيجية ومعمارية المؤسسة وإدارة تكنولوجيا المعلومات والاتصالات ونموذج تشغيل تكنولوجيا المعلومات</w:t>
            </w:r>
          </w:p>
        </w:tc>
      </w:tr>
      <w:tr w:rsidR="00670734" w:rsidRPr="002E1304" w14:paraId="11A58397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02310F1C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78" w:history="1">
              <w:r w:rsidRPr="00686380">
                <w:rPr>
                  <w:rStyle w:val="Hyperlink"/>
                  <w:bCs/>
                </w:rPr>
                <w:t>C26/70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2F1D49D0" w14:textId="4206D718" w:rsidR="00670734" w:rsidRPr="002E1304" w:rsidRDefault="005279A5" w:rsidP="00471908">
            <w:pPr>
              <w:pStyle w:val="Tabletexte"/>
              <w:rPr>
                <w:rtl/>
                <w:lang w:val="ar-SA" w:eastAsia="zh-TW"/>
              </w:rPr>
            </w:pPr>
            <w:r w:rsidRPr="005279A5">
              <w:rPr>
                <w:rtl/>
              </w:rPr>
              <w:t>الإطار المقترح لعملية اختيار البلدان المضيفة لمؤتمرات الاتحاد الدولي للاتصالات وجمعياته</w:t>
            </w:r>
          </w:p>
        </w:tc>
      </w:tr>
      <w:tr w:rsidR="00670734" w:rsidRPr="002E1304" w14:paraId="7BBEE197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</w:tcBorders>
          </w:tcPr>
          <w:p w14:paraId="15B5E5DD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79" w:history="1">
              <w:r w:rsidRPr="00686380">
                <w:rPr>
                  <w:rStyle w:val="Hyperlink"/>
                  <w:bCs/>
                </w:rPr>
                <w:t>C26/71</w:t>
              </w:r>
            </w:hyperlink>
          </w:p>
        </w:tc>
        <w:tc>
          <w:tcPr>
            <w:tcW w:w="8460" w:type="dxa"/>
            <w:tcBorders>
              <w:top w:val="single" w:sz="4" w:space="0" w:color="808080" w:themeColor="background1" w:themeShade="80"/>
            </w:tcBorders>
          </w:tcPr>
          <w:p w14:paraId="7E4016FD" w14:textId="5B246D3A" w:rsidR="00670734" w:rsidRPr="002E1304" w:rsidRDefault="005279A5" w:rsidP="00471908">
            <w:pPr>
              <w:pStyle w:val="Tabletexte"/>
              <w:rPr>
                <w:rtl/>
                <w:lang w:val="ar-SA" w:eastAsia="zh-TW"/>
              </w:rPr>
            </w:pPr>
            <w:r w:rsidRPr="005279A5">
              <w:rPr>
                <w:rtl/>
              </w:rPr>
              <w:t>تحديث بشأن التدابير الرامية إلى تخفيف الأعباء المالية على البلدان المضيفة لمؤتمرات الاتحاد الدولي للاتصالات واجتماعاته وأنشطته</w:t>
            </w:r>
          </w:p>
        </w:tc>
      </w:tr>
      <w:tr w:rsidR="00670734" w:rsidRPr="002E1304" w14:paraId="73390A65" w14:textId="77777777" w:rsidTr="001A6AF4">
        <w:trPr>
          <w:cantSplit/>
        </w:trPr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64E15D75" w14:textId="77777777" w:rsidR="00670734" w:rsidRPr="00471908" w:rsidRDefault="00670734" w:rsidP="00471908">
            <w:pPr>
              <w:pStyle w:val="Tabletexte"/>
              <w:jc w:val="center"/>
              <w:rPr>
                <w:b/>
                <w:bCs/>
              </w:rPr>
            </w:pPr>
          </w:p>
        </w:tc>
        <w:tc>
          <w:tcPr>
            <w:tcW w:w="8460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34CB383B" w14:textId="77777777" w:rsidR="00670734" w:rsidRPr="00471908" w:rsidRDefault="00670734" w:rsidP="00471908">
            <w:pPr>
              <w:pStyle w:val="Tabletexte"/>
              <w:rPr>
                <w:b/>
                <w:bCs/>
                <w:rtl/>
                <w:lang w:val="ar-SA" w:eastAsia="zh-TW"/>
              </w:rPr>
            </w:pPr>
            <w:r w:rsidRPr="00471908">
              <w:rPr>
                <w:b/>
                <w:bCs/>
                <w:rtl/>
              </w:rPr>
              <w:t>وثائق مقدمة للعلم وأخرى متنوعة</w:t>
            </w:r>
          </w:p>
        </w:tc>
      </w:tr>
      <w:tr w:rsidR="00670734" w:rsidRPr="002E1304" w14:paraId="43B6ACF4" w14:textId="77777777" w:rsidTr="001A6AF4">
        <w:trPr>
          <w:cantSplit/>
        </w:trPr>
        <w:tc>
          <w:tcPr>
            <w:tcW w:w="1080" w:type="dxa"/>
          </w:tcPr>
          <w:p w14:paraId="6E50B229" w14:textId="77777777" w:rsidR="00670734" w:rsidRPr="002E1304" w:rsidRDefault="00670734" w:rsidP="00471908">
            <w:pPr>
              <w:pStyle w:val="Tabletexte"/>
              <w:jc w:val="center"/>
            </w:pPr>
          </w:p>
        </w:tc>
        <w:tc>
          <w:tcPr>
            <w:tcW w:w="8460" w:type="dxa"/>
            <w:tcBorders>
              <w:right w:val="single" w:sz="8" w:space="0" w:color="auto"/>
            </w:tcBorders>
          </w:tcPr>
          <w:p w14:paraId="28CFB745" w14:textId="77777777" w:rsidR="00670734" w:rsidRPr="009060E4" w:rsidRDefault="00670734" w:rsidP="00471908">
            <w:pPr>
              <w:pStyle w:val="Tabletexte"/>
              <w:rPr>
                <w:i/>
                <w:iCs/>
                <w:rtl/>
                <w:lang w:val="ar-SA" w:eastAsia="zh-TW"/>
              </w:rPr>
            </w:pPr>
            <w:r w:rsidRPr="00471908">
              <w:rPr>
                <w:rtl/>
              </w:rPr>
              <w:t>حالة متأخرات</w:t>
            </w:r>
            <w:r w:rsidRPr="009060E4">
              <w:rPr>
                <w:rtl/>
              </w:rPr>
              <w:t xml:space="preserve"> الاتحاد في 31 مارس 2026 </w:t>
            </w:r>
          </w:p>
        </w:tc>
      </w:tr>
      <w:tr w:rsidR="00670734" w:rsidRPr="002E1304" w14:paraId="1D7039F9" w14:textId="77777777" w:rsidTr="001A6AF4">
        <w:trPr>
          <w:cantSplit/>
        </w:trPr>
        <w:tc>
          <w:tcPr>
            <w:tcW w:w="1080" w:type="dxa"/>
          </w:tcPr>
          <w:p w14:paraId="5215F324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80" w:history="1">
              <w:r w:rsidRPr="00686380">
                <w:rPr>
                  <w:rStyle w:val="Hyperlink"/>
                </w:rPr>
                <w:t>INF/9</w:t>
              </w:r>
            </w:hyperlink>
          </w:p>
        </w:tc>
        <w:tc>
          <w:tcPr>
            <w:tcW w:w="8460" w:type="dxa"/>
          </w:tcPr>
          <w:p w14:paraId="2F1D9880" w14:textId="1D74B682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مساهمة مجلس الاتحاد في المنتدى السياسي رفيع المستوى المعني بالتنمية المستدامة </w:t>
            </w:r>
            <w:r w:rsidRPr="002E1304">
              <w:t>(HLPF)</w:t>
            </w:r>
            <w:r w:rsidRPr="002E1304">
              <w:rPr>
                <w:rtl/>
              </w:rPr>
              <w:t xml:space="preserve"> عام</w:t>
            </w:r>
            <w:r w:rsidR="005279A5">
              <w:rPr>
                <w:rFonts w:hint="cs"/>
                <w:rtl/>
              </w:rPr>
              <w:t> </w:t>
            </w:r>
            <w:r w:rsidRPr="002E1304">
              <w:rPr>
                <w:rtl/>
              </w:rPr>
              <w:t>2025</w:t>
            </w:r>
          </w:p>
        </w:tc>
      </w:tr>
      <w:tr w:rsidR="00670734" w:rsidRPr="002E1304" w14:paraId="1F00D411" w14:textId="77777777" w:rsidTr="001A6AF4">
        <w:trPr>
          <w:cantSplit/>
        </w:trPr>
        <w:tc>
          <w:tcPr>
            <w:tcW w:w="1080" w:type="dxa"/>
          </w:tcPr>
          <w:p w14:paraId="756CC644" w14:textId="77777777" w:rsidR="00670734" w:rsidRPr="002E1304" w:rsidRDefault="00670734" w:rsidP="00471908">
            <w:pPr>
              <w:pStyle w:val="Tabletexte"/>
              <w:jc w:val="center"/>
            </w:pPr>
          </w:p>
        </w:tc>
        <w:tc>
          <w:tcPr>
            <w:tcW w:w="8460" w:type="dxa"/>
          </w:tcPr>
          <w:p w14:paraId="68FF2379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 xml:space="preserve">‏تقرير عن إيرادات المساهمات الطوعية عام </w:t>
            </w:r>
            <w:r w:rsidRPr="002E1304">
              <w:rPr>
                <w:cs/>
              </w:rPr>
              <w:t>‎</w:t>
            </w:r>
            <w:r w:rsidRPr="002E1304">
              <w:rPr>
                <w:rtl/>
                <w:cs/>
              </w:rPr>
              <w:t>2025</w:t>
            </w:r>
          </w:p>
        </w:tc>
      </w:tr>
      <w:tr w:rsidR="00670734" w:rsidRPr="002E1304" w14:paraId="235F33B1" w14:textId="77777777" w:rsidTr="001A6AF4">
        <w:trPr>
          <w:cantSplit/>
        </w:trPr>
        <w:tc>
          <w:tcPr>
            <w:tcW w:w="1080" w:type="dxa"/>
          </w:tcPr>
          <w:p w14:paraId="7DD4545B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81" w:history="1">
              <w:r w:rsidRPr="00686380">
                <w:rPr>
                  <w:rStyle w:val="Hyperlink"/>
                </w:rPr>
                <w:t>INF/7</w:t>
              </w:r>
            </w:hyperlink>
          </w:p>
        </w:tc>
        <w:tc>
          <w:tcPr>
            <w:tcW w:w="8460" w:type="dxa"/>
          </w:tcPr>
          <w:p w14:paraId="55B53280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التعاون مع منظومة الأمم المتحدة</w:t>
            </w:r>
          </w:p>
        </w:tc>
      </w:tr>
      <w:tr w:rsidR="00670734" w:rsidRPr="002E1304" w14:paraId="336FD2F3" w14:textId="77777777" w:rsidTr="001A6AF4">
        <w:trPr>
          <w:cantSplit/>
        </w:trPr>
        <w:tc>
          <w:tcPr>
            <w:tcW w:w="1080" w:type="dxa"/>
          </w:tcPr>
          <w:p w14:paraId="164EC2F4" w14:textId="77777777" w:rsidR="00670734" w:rsidRPr="002E1304" w:rsidRDefault="00670734" w:rsidP="00471908">
            <w:pPr>
              <w:pStyle w:val="Tabletexte"/>
              <w:jc w:val="center"/>
            </w:pPr>
          </w:p>
        </w:tc>
        <w:tc>
          <w:tcPr>
            <w:tcW w:w="8460" w:type="dxa"/>
          </w:tcPr>
          <w:p w14:paraId="6699C036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رؤساء ونواب رؤساء أفرقة العمل التابعة للمجلس وأفرقة الخبراء وأفرقة الخبراء غير الرسمية</w:t>
            </w:r>
            <w:r w:rsidRPr="002E1304">
              <w:rPr>
                <w:cs/>
              </w:rPr>
              <w:t>‎</w:t>
            </w:r>
          </w:p>
        </w:tc>
      </w:tr>
      <w:tr w:rsidR="00670734" w:rsidRPr="002E1304" w14:paraId="1BAE2586" w14:textId="77777777" w:rsidTr="001A6AF4">
        <w:trPr>
          <w:cantSplit/>
        </w:trPr>
        <w:tc>
          <w:tcPr>
            <w:tcW w:w="1080" w:type="dxa"/>
          </w:tcPr>
          <w:p w14:paraId="63FC8D5D" w14:textId="77777777" w:rsidR="00670734" w:rsidRPr="002E1304" w:rsidRDefault="00670734" w:rsidP="00471908">
            <w:pPr>
              <w:pStyle w:val="Tabletexte"/>
              <w:jc w:val="center"/>
            </w:pPr>
          </w:p>
        </w:tc>
        <w:tc>
          <w:tcPr>
            <w:tcW w:w="8460" w:type="dxa"/>
          </w:tcPr>
          <w:p w14:paraId="6AC827DC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مشروع خطة إدارة الوقت لمؤتمر المندوبين المفوضين لعام 2026 (PP-26)</w:t>
            </w:r>
          </w:p>
        </w:tc>
      </w:tr>
      <w:tr w:rsidR="00670734" w:rsidRPr="002E1304" w14:paraId="37355B9C" w14:textId="77777777" w:rsidTr="001A6AF4">
        <w:trPr>
          <w:cantSplit/>
        </w:trPr>
        <w:tc>
          <w:tcPr>
            <w:tcW w:w="1080" w:type="dxa"/>
          </w:tcPr>
          <w:p w14:paraId="02E2503D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82" w:history="1">
              <w:r w:rsidRPr="00686380">
                <w:rPr>
                  <w:rStyle w:val="Hyperlink"/>
                </w:rPr>
                <w:t>INF/1</w:t>
              </w:r>
            </w:hyperlink>
          </w:p>
        </w:tc>
        <w:tc>
          <w:tcPr>
            <w:tcW w:w="8460" w:type="dxa"/>
          </w:tcPr>
          <w:p w14:paraId="3F2CDD5F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مبادئ توجيهية لتنسيق قرارات ومقررات مؤتمر المندوبين المفوضين</w:t>
            </w:r>
          </w:p>
        </w:tc>
      </w:tr>
      <w:tr w:rsidR="00670734" w:rsidRPr="002E1304" w14:paraId="056DBAA8" w14:textId="77777777" w:rsidTr="001A6AF4">
        <w:trPr>
          <w:cantSplit/>
        </w:trPr>
        <w:tc>
          <w:tcPr>
            <w:tcW w:w="1080" w:type="dxa"/>
          </w:tcPr>
          <w:p w14:paraId="15082ED7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83" w:history="1">
              <w:r w:rsidRPr="00686380">
                <w:rPr>
                  <w:rStyle w:val="Hyperlink"/>
                </w:rPr>
                <w:t>INF/2</w:t>
              </w:r>
            </w:hyperlink>
          </w:p>
        </w:tc>
        <w:tc>
          <w:tcPr>
            <w:tcW w:w="8460" w:type="dxa"/>
          </w:tcPr>
          <w:p w14:paraId="75F9A64C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استقصاء الاتحاد بشأن مشاركة الموظفين - تقرير عن النتائج</w:t>
            </w:r>
          </w:p>
        </w:tc>
      </w:tr>
      <w:tr w:rsidR="00670734" w:rsidRPr="002E1304" w14:paraId="661F967A" w14:textId="77777777" w:rsidTr="001A6AF4">
        <w:trPr>
          <w:cantSplit/>
        </w:trPr>
        <w:tc>
          <w:tcPr>
            <w:tcW w:w="1080" w:type="dxa"/>
          </w:tcPr>
          <w:p w14:paraId="5D9E7B0C" w14:textId="77777777" w:rsidR="00670734" w:rsidRPr="002E1304" w:rsidRDefault="00670734" w:rsidP="00471908">
            <w:pPr>
              <w:pStyle w:val="Tabletexte"/>
              <w:jc w:val="center"/>
            </w:pPr>
          </w:p>
        </w:tc>
        <w:tc>
          <w:tcPr>
            <w:tcW w:w="8460" w:type="dxa"/>
          </w:tcPr>
          <w:p w14:paraId="23E36828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 xml:space="preserve">تقرير عن توصيات </w:t>
            </w:r>
            <w:proofErr w:type="spellStart"/>
            <w:r w:rsidRPr="002E1304">
              <w:rPr>
                <w:rtl/>
              </w:rPr>
              <w:t>دالبرغ</w:t>
            </w:r>
            <w:proofErr w:type="spellEnd"/>
            <w:r w:rsidRPr="002E1304">
              <w:rPr>
                <w:rtl/>
              </w:rPr>
              <w:t xml:space="preserve"> بشأن المراجعة التنظيمية للأمانة العامة</w:t>
            </w:r>
          </w:p>
        </w:tc>
      </w:tr>
      <w:tr w:rsidR="00670734" w:rsidRPr="002E1304" w14:paraId="79093AB0" w14:textId="77777777" w:rsidTr="001A6AF4">
        <w:trPr>
          <w:cantSplit/>
        </w:trPr>
        <w:tc>
          <w:tcPr>
            <w:tcW w:w="1080" w:type="dxa"/>
          </w:tcPr>
          <w:p w14:paraId="64DCBF41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84" w:history="1">
              <w:r w:rsidRPr="00686380">
                <w:rPr>
                  <w:rStyle w:val="Hyperlink"/>
                </w:rPr>
                <w:t>INF/5</w:t>
              </w:r>
            </w:hyperlink>
          </w:p>
        </w:tc>
        <w:tc>
          <w:tcPr>
            <w:tcW w:w="8460" w:type="dxa"/>
          </w:tcPr>
          <w:p w14:paraId="03A200E6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متابعة التوصيات المنبثقة عن المراجعة القضائية والمراجعة الداخلية</w:t>
            </w:r>
          </w:p>
        </w:tc>
      </w:tr>
      <w:tr w:rsidR="00670734" w:rsidRPr="002E1304" w14:paraId="65E1AD14" w14:textId="77777777" w:rsidTr="001A6AF4">
        <w:trPr>
          <w:cantSplit/>
        </w:trPr>
        <w:tc>
          <w:tcPr>
            <w:tcW w:w="1080" w:type="dxa"/>
          </w:tcPr>
          <w:p w14:paraId="721D688C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85" w:history="1">
              <w:r w:rsidRPr="00686380">
                <w:rPr>
                  <w:rStyle w:val="Hyperlink"/>
                </w:rPr>
                <w:t>INF/12</w:t>
              </w:r>
            </w:hyperlink>
          </w:p>
        </w:tc>
        <w:tc>
          <w:tcPr>
            <w:tcW w:w="8460" w:type="dxa"/>
          </w:tcPr>
          <w:p w14:paraId="6D40B160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التحليل المالي لمجموعات أفرقة العمل التابعة للمجلس</w:t>
            </w:r>
          </w:p>
        </w:tc>
      </w:tr>
      <w:tr w:rsidR="00670734" w:rsidRPr="002E1304" w14:paraId="1FFB2DC6" w14:textId="77777777" w:rsidTr="001A6AF4">
        <w:trPr>
          <w:cantSplit/>
        </w:trPr>
        <w:tc>
          <w:tcPr>
            <w:tcW w:w="1080" w:type="dxa"/>
          </w:tcPr>
          <w:p w14:paraId="1DB9C630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86" w:history="1">
              <w:r w:rsidRPr="00686380">
                <w:rPr>
                  <w:rStyle w:val="Hyperlink"/>
                </w:rPr>
                <w:t>INF/3</w:t>
              </w:r>
            </w:hyperlink>
          </w:p>
        </w:tc>
        <w:tc>
          <w:tcPr>
            <w:tcW w:w="8460" w:type="dxa"/>
          </w:tcPr>
          <w:p w14:paraId="7AF4E4D1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 xml:space="preserve">التقدم المحرز في تنفيذ المشاريع الممولة من صندوق تنمية تكنولوجيا المعلومات والاتصالات </w:t>
            </w:r>
            <w:r w:rsidRPr="002E1304">
              <w:t>(ICT-DF)</w:t>
            </w:r>
          </w:p>
        </w:tc>
      </w:tr>
      <w:tr w:rsidR="00670734" w:rsidRPr="002E1304" w14:paraId="63C020D1" w14:textId="77777777" w:rsidTr="001A6AF4">
        <w:trPr>
          <w:cantSplit/>
        </w:trPr>
        <w:tc>
          <w:tcPr>
            <w:tcW w:w="1080" w:type="dxa"/>
          </w:tcPr>
          <w:p w14:paraId="0217C48C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87" w:history="1">
              <w:r w:rsidRPr="00686380">
                <w:rPr>
                  <w:rStyle w:val="Hyperlink"/>
                </w:rPr>
                <w:t>INF/8</w:t>
              </w:r>
            </w:hyperlink>
          </w:p>
        </w:tc>
        <w:tc>
          <w:tcPr>
            <w:tcW w:w="8460" w:type="dxa"/>
          </w:tcPr>
          <w:p w14:paraId="64DBEA80" w14:textId="19096682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 xml:space="preserve">ملاحق بالوثيقة C26/71 - معلومات </w:t>
            </w:r>
            <w:r w:rsidR="00E825D2" w:rsidRPr="002E1304">
              <w:rPr>
                <w:rtl/>
              </w:rPr>
              <w:t>محدّثة</w:t>
            </w:r>
            <w:r w:rsidRPr="002E1304">
              <w:rPr>
                <w:rtl/>
              </w:rPr>
              <w:t xml:space="preserve"> بشأن تدابير تخفيف الأعباء المالية على البلدان المستضيفة لمؤتمرات الاتحاد واجتماعاته وأنشطته</w:t>
            </w:r>
          </w:p>
        </w:tc>
      </w:tr>
      <w:tr w:rsidR="00670734" w:rsidRPr="002E1304" w14:paraId="06956091" w14:textId="77777777" w:rsidTr="001A6AF4">
        <w:trPr>
          <w:cantSplit/>
        </w:trPr>
        <w:tc>
          <w:tcPr>
            <w:tcW w:w="1080" w:type="dxa"/>
          </w:tcPr>
          <w:p w14:paraId="5CB7ED7B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88" w:history="1">
              <w:r w:rsidRPr="00686380">
                <w:rPr>
                  <w:rStyle w:val="Hyperlink"/>
                </w:rPr>
                <w:t>INF/4</w:t>
              </w:r>
            </w:hyperlink>
          </w:p>
        </w:tc>
        <w:tc>
          <w:tcPr>
            <w:tcW w:w="8460" w:type="dxa"/>
          </w:tcPr>
          <w:p w14:paraId="171E75AE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معلومات إضافية بشأن الإطار المقترح لاختيار البلدان التي تستضيف مؤتمرات الاتحاد وجمعياته</w:t>
            </w:r>
          </w:p>
        </w:tc>
      </w:tr>
      <w:tr w:rsidR="00670734" w:rsidRPr="002E1304" w14:paraId="3421255B" w14:textId="77777777" w:rsidTr="001A6AF4">
        <w:trPr>
          <w:cantSplit/>
        </w:trPr>
        <w:tc>
          <w:tcPr>
            <w:tcW w:w="1080" w:type="dxa"/>
          </w:tcPr>
          <w:p w14:paraId="2BA651AD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89" w:history="1">
              <w:r w:rsidRPr="00686380">
                <w:rPr>
                  <w:rStyle w:val="Hyperlink"/>
                </w:rPr>
                <w:t>INF/10</w:t>
              </w:r>
            </w:hyperlink>
          </w:p>
        </w:tc>
        <w:tc>
          <w:tcPr>
            <w:tcW w:w="8460" w:type="dxa"/>
          </w:tcPr>
          <w:p w14:paraId="269819C3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استعراض الحضور الإقليمي للاتحاد</w:t>
            </w:r>
          </w:p>
        </w:tc>
      </w:tr>
      <w:tr w:rsidR="00670734" w:rsidRPr="002E1304" w14:paraId="37FF3BDD" w14:textId="77777777" w:rsidTr="001A6AF4">
        <w:trPr>
          <w:cantSplit/>
        </w:trPr>
        <w:tc>
          <w:tcPr>
            <w:tcW w:w="1080" w:type="dxa"/>
          </w:tcPr>
          <w:p w14:paraId="76A2F3E4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90" w:history="1">
              <w:r w:rsidRPr="00686380">
                <w:rPr>
                  <w:rStyle w:val="Hyperlink"/>
                </w:rPr>
                <w:t>INF/13</w:t>
              </w:r>
            </w:hyperlink>
          </w:p>
        </w:tc>
        <w:tc>
          <w:tcPr>
            <w:tcW w:w="8460" w:type="dxa"/>
          </w:tcPr>
          <w:p w14:paraId="647357E1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مبادئ توجيهية لدعم الوفود في إعداد بيانات السياسة العامة لمؤتمر المندوبين المفوضين لعام 2026</w:t>
            </w:r>
          </w:p>
        </w:tc>
      </w:tr>
      <w:tr w:rsidR="00670734" w:rsidRPr="002E1304" w14:paraId="17C8A3DC" w14:textId="77777777" w:rsidTr="001A6AF4">
        <w:trPr>
          <w:cantSplit/>
        </w:trPr>
        <w:tc>
          <w:tcPr>
            <w:tcW w:w="1080" w:type="dxa"/>
          </w:tcPr>
          <w:p w14:paraId="55A8610E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91" w:history="1">
              <w:r w:rsidRPr="00686380">
                <w:rPr>
                  <w:rStyle w:val="Hyperlink"/>
                </w:rPr>
                <w:t>INF/14</w:t>
              </w:r>
            </w:hyperlink>
          </w:p>
        </w:tc>
        <w:tc>
          <w:tcPr>
            <w:tcW w:w="8460" w:type="dxa"/>
          </w:tcPr>
          <w:p w14:paraId="37A032C6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معلومات إضافية بشأن تنفيذ استراتيجية الاتحاد لتعبئة الموارد</w:t>
            </w:r>
          </w:p>
        </w:tc>
      </w:tr>
      <w:tr w:rsidR="00670734" w:rsidRPr="002E1304" w14:paraId="2563C236" w14:textId="77777777" w:rsidTr="001A6AF4">
        <w:trPr>
          <w:cantSplit/>
        </w:trPr>
        <w:tc>
          <w:tcPr>
            <w:tcW w:w="1080" w:type="dxa"/>
          </w:tcPr>
          <w:p w14:paraId="0742DECE" w14:textId="77777777" w:rsidR="00670734" w:rsidRPr="002E1304" w:rsidRDefault="00670734" w:rsidP="00471908">
            <w:pPr>
              <w:pStyle w:val="Tabletexte"/>
              <w:jc w:val="center"/>
              <w:rPr>
                <w:rtl/>
                <w:lang w:val="ar-SA" w:eastAsia="zh-TW"/>
              </w:rPr>
            </w:pPr>
            <w:hyperlink r:id="rId92" w:history="1">
              <w:r w:rsidRPr="00686380">
                <w:rPr>
                  <w:rStyle w:val="Hyperlink"/>
                </w:rPr>
                <w:t>INF/6</w:t>
              </w:r>
            </w:hyperlink>
          </w:p>
        </w:tc>
        <w:tc>
          <w:tcPr>
            <w:tcW w:w="8460" w:type="dxa"/>
          </w:tcPr>
          <w:p w14:paraId="2B6A3AF0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لمحة عامة تنفيذية عن أسس التحول الرقمي للاتحاد (202</w:t>
            </w:r>
            <w:r>
              <w:rPr>
                <w:rtl/>
              </w:rPr>
              <w:t>6</w:t>
            </w:r>
            <w:r w:rsidRPr="002E1304">
              <w:rPr>
                <w:rtl/>
              </w:rPr>
              <w:t>-202</w:t>
            </w:r>
            <w:r>
              <w:rPr>
                <w:rtl/>
              </w:rPr>
              <w:t>7</w:t>
            </w:r>
            <w:r w:rsidRPr="002E1304">
              <w:rPr>
                <w:rtl/>
              </w:rPr>
              <w:t>)</w:t>
            </w:r>
          </w:p>
        </w:tc>
      </w:tr>
      <w:tr w:rsidR="00670734" w:rsidRPr="002E1304" w14:paraId="68B1E9FF" w14:textId="77777777" w:rsidTr="001A6AF4">
        <w:trPr>
          <w:cantSplit/>
        </w:trPr>
        <w:tc>
          <w:tcPr>
            <w:tcW w:w="1080" w:type="dxa"/>
          </w:tcPr>
          <w:p w14:paraId="7F1E4DDB" w14:textId="77777777" w:rsidR="00670734" w:rsidRPr="002E1304" w:rsidRDefault="00670734" w:rsidP="00471908">
            <w:pPr>
              <w:pStyle w:val="Tabletexte"/>
              <w:jc w:val="center"/>
            </w:pPr>
          </w:p>
        </w:tc>
        <w:tc>
          <w:tcPr>
            <w:tcW w:w="8460" w:type="dxa"/>
          </w:tcPr>
          <w:p w14:paraId="489DCC42" w14:textId="7BF51D6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 xml:space="preserve">معلومات </w:t>
            </w:r>
            <w:r w:rsidR="00E825D2" w:rsidRPr="002E1304">
              <w:rPr>
                <w:rtl/>
              </w:rPr>
              <w:t>محدّثة</w:t>
            </w:r>
            <w:r w:rsidRPr="002E1304">
              <w:rPr>
                <w:rtl/>
              </w:rPr>
              <w:t xml:space="preserve"> بشأن تنفيذ الاتحاد لتوصيات وحدة التفتيش المشتركة للأمم المتحدة </w:t>
            </w:r>
            <w:r w:rsidRPr="002E1304">
              <w:t>(JIU)</w:t>
            </w:r>
          </w:p>
        </w:tc>
      </w:tr>
      <w:tr w:rsidR="00670734" w:rsidRPr="002E1304" w14:paraId="6F78707A" w14:textId="77777777" w:rsidTr="001A6AF4">
        <w:trPr>
          <w:cantSplit/>
        </w:trPr>
        <w:tc>
          <w:tcPr>
            <w:tcW w:w="1080" w:type="dxa"/>
            <w:tcBorders>
              <w:bottom w:val="single" w:sz="8" w:space="0" w:color="000000"/>
            </w:tcBorders>
          </w:tcPr>
          <w:p w14:paraId="0C6ADCAB" w14:textId="77777777" w:rsidR="00670734" w:rsidRPr="002E1304" w:rsidRDefault="00670734" w:rsidP="00471908">
            <w:pPr>
              <w:pStyle w:val="Tabletexte"/>
              <w:jc w:val="center"/>
            </w:pPr>
          </w:p>
        </w:tc>
        <w:tc>
          <w:tcPr>
            <w:tcW w:w="8460" w:type="dxa"/>
            <w:tcBorders>
              <w:bottom w:val="single" w:sz="8" w:space="0" w:color="000000"/>
            </w:tcBorders>
          </w:tcPr>
          <w:p w14:paraId="7AA0375A" w14:textId="77777777" w:rsidR="00670734" w:rsidRPr="002E1304" w:rsidRDefault="00670734" w:rsidP="00471908">
            <w:pPr>
              <w:pStyle w:val="Tabletexte"/>
              <w:rPr>
                <w:rtl/>
                <w:lang w:val="ar-SA" w:eastAsia="zh-TW"/>
              </w:rPr>
            </w:pPr>
            <w:r w:rsidRPr="002E1304">
              <w:rPr>
                <w:rtl/>
              </w:rPr>
              <w:t>بيان مقدم من مجلس الموظفين</w:t>
            </w:r>
          </w:p>
        </w:tc>
      </w:tr>
    </w:tbl>
    <w:p w14:paraId="47619D41" w14:textId="77777777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F363C">
      <w:footerReference w:type="default" r:id="rId93"/>
      <w:headerReference w:type="first" r:id="rId94"/>
      <w:footerReference w:type="first" r:id="rId95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BD741" w14:textId="77777777" w:rsidR="00D0110C" w:rsidRDefault="00D0110C" w:rsidP="006C3242">
      <w:pPr>
        <w:spacing w:before="0" w:line="240" w:lineRule="auto"/>
      </w:pPr>
      <w:r>
        <w:separator/>
      </w:r>
    </w:p>
  </w:endnote>
  <w:endnote w:type="continuationSeparator" w:id="0">
    <w:p w14:paraId="0E82CE81" w14:textId="77777777" w:rsidR="00D0110C" w:rsidRDefault="00D0110C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30EF6ECA" w14:textId="77777777" w:rsidTr="00A67F05">
      <w:trPr>
        <w:jc w:val="center"/>
      </w:trPr>
      <w:tc>
        <w:tcPr>
          <w:tcW w:w="868" w:type="pct"/>
          <w:vAlign w:val="center"/>
        </w:tcPr>
        <w:p w14:paraId="0B54C484" w14:textId="1594BB80" w:rsidR="00F50E3F" w:rsidRPr="007B0AA0" w:rsidRDefault="005279A5" w:rsidP="006F363C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5279A5">
            <w:rPr>
              <w:rFonts w:ascii="Calibri" w:hAnsi="Calibri" w:cs="Arial"/>
              <w:sz w:val="18"/>
              <w:szCs w:val="14"/>
            </w:rPr>
            <w:t>2600815</w:t>
          </w:r>
        </w:p>
      </w:tc>
      <w:tc>
        <w:tcPr>
          <w:tcW w:w="3912" w:type="pct"/>
        </w:tcPr>
        <w:p w14:paraId="4E03AF0E" w14:textId="1EC8091C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5279A5">
            <w:rPr>
              <w:rFonts w:ascii="Calibri" w:hAnsi="Calibri" w:cs="Arial"/>
              <w:bCs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7E5F8147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6C7A07BB" w14:textId="77777777" w:rsidR="006C3242" w:rsidRPr="00077A58" w:rsidRDefault="006C3242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73C771CF" w14:textId="77777777" w:rsidTr="00A67F05">
      <w:trPr>
        <w:jc w:val="center"/>
      </w:trPr>
      <w:tc>
        <w:tcPr>
          <w:tcW w:w="1013" w:type="pct"/>
          <w:vAlign w:val="center"/>
        </w:tcPr>
        <w:p w14:paraId="1D9EF699" w14:textId="77777777" w:rsidR="007B0AA0" w:rsidRPr="000116AF" w:rsidRDefault="000116AF" w:rsidP="000116AF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  <w:szCs w:val="18"/>
            </w:rPr>
          </w:pPr>
          <w:hyperlink r:id="rId1" w:anchor="/ar" w:history="1"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council.itu.int/2026</w:t>
            </w:r>
          </w:hyperlink>
        </w:p>
      </w:tc>
      <w:tc>
        <w:tcPr>
          <w:tcW w:w="3768" w:type="pct"/>
        </w:tcPr>
        <w:p w14:paraId="76670C04" w14:textId="5D17B401" w:rsidR="007B0AA0" w:rsidRPr="007B0AA0" w:rsidRDefault="007B0AA0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AC4042">
            <w:rPr>
              <w:rFonts w:ascii="Calibri" w:hAnsi="Calibri" w:cs="Arial"/>
              <w:bCs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6A44FDBF" w14:textId="77777777" w:rsidR="007B0AA0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456601D8" w14:textId="77777777" w:rsidR="0006468A" w:rsidRPr="00077A58" w:rsidRDefault="0006468A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7A4B7" w14:textId="77777777" w:rsidR="00D0110C" w:rsidRDefault="00D0110C" w:rsidP="006C3242">
      <w:pPr>
        <w:spacing w:before="0" w:line="240" w:lineRule="auto"/>
      </w:pPr>
      <w:r>
        <w:separator/>
      </w:r>
    </w:p>
  </w:footnote>
  <w:footnote w:type="continuationSeparator" w:id="0">
    <w:p w14:paraId="582C06F0" w14:textId="77777777" w:rsidR="00D0110C" w:rsidRDefault="00D0110C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ED776" w14:textId="77777777" w:rsidR="001A3E13" w:rsidRPr="00057769" w:rsidRDefault="001A3E13" w:rsidP="001A3E13">
    <w:pPr>
      <w:pStyle w:val="Header"/>
    </w:pPr>
    <w:r>
      <w:rPr>
        <w:noProof/>
      </w:rPr>
      <w:drawing>
        <wp:inline distT="0" distB="0" distL="0" distR="0" wp14:anchorId="721CA6BB" wp14:editId="50353963">
          <wp:extent cx="5760085" cy="840740"/>
          <wp:effectExtent l="0" t="0" r="0" b="0"/>
          <wp:docPr id="1496537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537511" name="Picture 1496537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14454408">
    <w:abstractNumId w:val="9"/>
  </w:num>
  <w:num w:numId="2" w16cid:durableId="523135238">
    <w:abstractNumId w:val="7"/>
  </w:num>
  <w:num w:numId="3" w16cid:durableId="1567298534">
    <w:abstractNumId w:val="6"/>
  </w:num>
  <w:num w:numId="4" w16cid:durableId="744837550">
    <w:abstractNumId w:val="5"/>
  </w:num>
  <w:num w:numId="5" w16cid:durableId="927890035">
    <w:abstractNumId w:val="4"/>
  </w:num>
  <w:num w:numId="6" w16cid:durableId="1564755752">
    <w:abstractNumId w:val="8"/>
  </w:num>
  <w:num w:numId="7" w16cid:durableId="184634567">
    <w:abstractNumId w:val="3"/>
  </w:num>
  <w:num w:numId="8" w16cid:durableId="1669164788">
    <w:abstractNumId w:val="2"/>
  </w:num>
  <w:num w:numId="9" w16cid:durableId="1056972210">
    <w:abstractNumId w:val="1"/>
  </w:num>
  <w:num w:numId="10" w16cid:durableId="1244795731">
    <w:abstractNumId w:val="0"/>
  </w:num>
  <w:num w:numId="11" w16cid:durableId="11983472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34"/>
    <w:rsid w:val="000116AF"/>
    <w:rsid w:val="000157E2"/>
    <w:rsid w:val="000630A1"/>
    <w:rsid w:val="0006468A"/>
    <w:rsid w:val="00077A58"/>
    <w:rsid w:val="00090574"/>
    <w:rsid w:val="000C1C0E"/>
    <w:rsid w:val="000C548A"/>
    <w:rsid w:val="00124346"/>
    <w:rsid w:val="00191059"/>
    <w:rsid w:val="001A3E13"/>
    <w:rsid w:val="001B6E2B"/>
    <w:rsid w:val="001C0169"/>
    <w:rsid w:val="001C0C21"/>
    <w:rsid w:val="001C420F"/>
    <w:rsid w:val="001D1D50"/>
    <w:rsid w:val="001D64C7"/>
    <w:rsid w:val="001D6745"/>
    <w:rsid w:val="001E446E"/>
    <w:rsid w:val="002154EE"/>
    <w:rsid w:val="002276D2"/>
    <w:rsid w:val="0023283D"/>
    <w:rsid w:val="00254393"/>
    <w:rsid w:val="0026373E"/>
    <w:rsid w:val="00271C43"/>
    <w:rsid w:val="00290728"/>
    <w:rsid w:val="002978F4"/>
    <w:rsid w:val="002B028D"/>
    <w:rsid w:val="002C3F32"/>
    <w:rsid w:val="002E6541"/>
    <w:rsid w:val="003248CA"/>
    <w:rsid w:val="00334924"/>
    <w:rsid w:val="003409BC"/>
    <w:rsid w:val="00357185"/>
    <w:rsid w:val="00383829"/>
    <w:rsid w:val="003A0902"/>
    <w:rsid w:val="003A4EFC"/>
    <w:rsid w:val="003C4118"/>
    <w:rsid w:val="003F4B29"/>
    <w:rsid w:val="00410B26"/>
    <w:rsid w:val="00420F8A"/>
    <w:rsid w:val="004255EC"/>
    <w:rsid w:val="0042686F"/>
    <w:rsid w:val="004317D8"/>
    <w:rsid w:val="0043260A"/>
    <w:rsid w:val="00434183"/>
    <w:rsid w:val="00443869"/>
    <w:rsid w:val="00447F32"/>
    <w:rsid w:val="00471908"/>
    <w:rsid w:val="00483F01"/>
    <w:rsid w:val="00491BA9"/>
    <w:rsid w:val="00494119"/>
    <w:rsid w:val="004A4701"/>
    <w:rsid w:val="004B7334"/>
    <w:rsid w:val="004E11DC"/>
    <w:rsid w:val="005130DE"/>
    <w:rsid w:val="00513157"/>
    <w:rsid w:val="00525DDD"/>
    <w:rsid w:val="005279A5"/>
    <w:rsid w:val="005409AC"/>
    <w:rsid w:val="005434E0"/>
    <w:rsid w:val="005546CF"/>
    <w:rsid w:val="0055516A"/>
    <w:rsid w:val="00563DEE"/>
    <w:rsid w:val="0058491B"/>
    <w:rsid w:val="005925CA"/>
    <w:rsid w:val="00592EA5"/>
    <w:rsid w:val="005A3170"/>
    <w:rsid w:val="00604665"/>
    <w:rsid w:val="006352A4"/>
    <w:rsid w:val="00637461"/>
    <w:rsid w:val="00657019"/>
    <w:rsid w:val="00660DEA"/>
    <w:rsid w:val="00670734"/>
    <w:rsid w:val="00677396"/>
    <w:rsid w:val="00683F16"/>
    <w:rsid w:val="006854C8"/>
    <w:rsid w:val="00686BA1"/>
    <w:rsid w:val="0069200F"/>
    <w:rsid w:val="006A65CB"/>
    <w:rsid w:val="006B12E5"/>
    <w:rsid w:val="006C3242"/>
    <w:rsid w:val="006C7CC0"/>
    <w:rsid w:val="006F363C"/>
    <w:rsid w:val="006F63F7"/>
    <w:rsid w:val="007025C7"/>
    <w:rsid w:val="00706D7A"/>
    <w:rsid w:val="00722F0D"/>
    <w:rsid w:val="00735081"/>
    <w:rsid w:val="0074420E"/>
    <w:rsid w:val="007648A6"/>
    <w:rsid w:val="0077110E"/>
    <w:rsid w:val="00783E26"/>
    <w:rsid w:val="007A6684"/>
    <w:rsid w:val="007B0AA0"/>
    <w:rsid w:val="007B5A36"/>
    <w:rsid w:val="007C3BC7"/>
    <w:rsid w:val="007C3BCD"/>
    <w:rsid w:val="007D4ACF"/>
    <w:rsid w:val="007F0787"/>
    <w:rsid w:val="007F6D72"/>
    <w:rsid w:val="00810B7B"/>
    <w:rsid w:val="0082358A"/>
    <w:rsid w:val="008235CD"/>
    <w:rsid w:val="008247DE"/>
    <w:rsid w:val="008339C0"/>
    <w:rsid w:val="00840B10"/>
    <w:rsid w:val="008513CB"/>
    <w:rsid w:val="00874E9F"/>
    <w:rsid w:val="008A7F84"/>
    <w:rsid w:val="008E52A3"/>
    <w:rsid w:val="009060E4"/>
    <w:rsid w:val="0091702E"/>
    <w:rsid w:val="00923B0C"/>
    <w:rsid w:val="00924F46"/>
    <w:rsid w:val="00935AAC"/>
    <w:rsid w:val="0093725D"/>
    <w:rsid w:val="0094021C"/>
    <w:rsid w:val="00952F86"/>
    <w:rsid w:val="0096716C"/>
    <w:rsid w:val="00982B28"/>
    <w:rsid w:val="009868AC"/>
    <w:rsid w:val="009C79B7"/>
    <w:rsid w:val="009D313F"/>
    <w:rsid w:val="00A2642F"/>
    <w:rsid w:val="00A373EF"/>
    <w:rsid w:val="00A47A5A"/>
    <w:rsid w:val="00A63AE6"/>
    <w:rsid w:val="00A6683B"/>
    <w:rsid w:val="00A67F05"/>
    <w:rsid w:val="00A97F94"/>
    <w:rsid w:val="00AA7EA2"/>
    <w:rsid w:val="00AB5A56"/>
    <w:rsid w:val="00AC4042"/>
    <w:rsid w:val="00AE57F3"/>
    <w:rsid w:val="00B02666"/>
    <w:rsid w:val="00B03099"/>
    <w:rsid w:val="00B05BC8"/>
    <w:rsid w:val="00B30F5E"/>
    <w:rsid w:val="00B64B47"/>
    <w:rsid w:val="00B95654"/>
    <w:rsid w:val="00B97F32"/>
    <w:rsid w:val="00BA04B2"/>
    <w:rsid w:val="00C002DE"/>
    <w:rsid w:val="00C0602B"/>
    <w:rsid w:val="00C224DA"/>
    <w:rsid w:val="00C53BF8"/>
    <w:rsid w:val="00C66157"/>
    <w:rsid w:val="00C674FE"/>
    <w:rsid w:val="00C67501"/>
    <w:rsid w:val="00C70772"/>
    <w:rsid w:val="00C75633"/>
    <w:rsid w:val="00CE2EE1"/>
    <w:rsid w:val="00CE3349"/>
    <w:rsid w:val="00CE36E5"/>
    <w:rsid w:val="00CE4360"/>
    <w:rsid w:val="00CF27F5"/>
    <w:rsid w:val="00CF3FFD"/>
    <w:rsid w:val="00D0110C"/>
    <w:rsid w:val="00D10CCF"/>
    <w:rsid w:val="00D13941"/>
    <w:rsid w:val="00D23F5F"/>
    <w:rsid w:val="00D25AAE"/>
    <w:rsid w:val="00D32606"/>
    <w:rsid w:val="00D43F7D"/>
    <w:rsid w:val="00D63735"/>
    <w:rsid w:val="00D77D0F"/>
    <w:rsid w:val="00DA1CF0"/>
    <w:rsid w:val="00DA6A30"/>
    <w:rsid w:val="00DC1E02"/>
    <w:rsid w:val="00DC24B4"/>
    <w:rsid w:val="00DC5FB0"/>
    <w:rsid w:val="00DD229C"/>
    <w:rsid w:val="00DD28AC"/>
    <w:rsid w:val="00DF16DC"/>
    <w:rsid w:val="00E45211"/>
    <w:rsid w:val="00E473C5"/>
    <w:rsid w:val="00E61BE8"/>
    <w:rsid w:val="00E825D2"/>
    <w:rsid w:val="00E83FF1"/>
    <w:rsid w:val="00E92863"/>
    <w:rsid w:val="00E979B2"/>
    <w:rsid w:val="00EB1486"/>
    <w:rsid w:val="00EB796D"/>
    <w:rsid w:val="00F058DC"/>
    <w:rsid w:val="00F15404"/>
    <w:rsid w:val="00F24FC4"/>
    <w:rsid w:val="00F2676C"/>
    <w:rsid w:val="00F363FE"/>
    <w:rsid w:val="00F50E3F"/>
    <w:rsid w:val="00F84366"/>
    <w:rsid w:val="00F85089"/>
    <w:rsid w:val="00F92884"/>
    <w:rsid w:val="00F974C5"/>
    <w:rsid w:val="00FA3763"/>
    <w:rsid w:val="00FA6F46"/>
    <w:rsid w:val="00FC0E94"/>
    <w:rsid w:val="00FC4592"/>
    <w:rsid w:val="00FD527F"/>
    <w:rsid w:val="00FD7E3B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28821"/>
  <w15:chartTrackingRefBased/>
  <w15:docId w15:val="{10C7E9EA-06B6-458C-A4B0-381E4056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077A58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077A58"/>
    <w:pPr>
      <w:spacing w:before="80" w:after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077A58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96716C"/>
    <w:rPr>
      <w:rFonts w:ascii="Dubai" w:hAnsi="Dubai" w:cs="Dubai"/>
      <w:noProof/>
      <w:color w:val="5B9BD5"/>
      <w:u w:val="single" w:color="5B9BD5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6A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D229C"/>
    <w:pPr>
      <w:spacing w:after="0" w:line="240" w:lineRule="auto"/>
    </w:pPr>
    <w:rPr>
      <w:rFonts w:ascii="Dubai" w:hAnsi="Dubai" w:cs="Duba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tu.int/md/S26-CL-C-0060/en" TargetMode="External"/><Relationship Id="rId21" Type="http://schemas.openxmlformats.org/officeDocument/2006/relationships/hyperlink" Target="https://www.itu.int/md/S26-CL-C-0026/en" TargetMode="External"/><Relationship Id="rId42" Type="http://schemas.openxmlformats.org/officeDocument/2006/relationships/hyperlink" Target="https://www.itu.int/md/S26-CL-C-0050/en" TargetMode="External"/><Relationship Id="rId47" Type="http://schemas.openxmlformats.org/officeDocument/2006/relationships/hyperlink" Target="https://www.itu.int/md/S26-CL-C-0047/en" TargetMode="External"/><Relationship Id="rId63" Type="http://schemas.openxmlformats.org/officeDocument/2006/relationships/hyperlink" Target="https://www.itu.int/md/S26-CL-C-0039/en" TargetMode="External"/><Relationship Id="rId68" Type="http://schemas.openxmlformats.org/officeDocument/2006/relationships/hyperlink" Target="https://www.itu.int/md/S26-CL-C-0057/en" TargetMode="External"/><Relationship Id="rId84" Type="http://schemas.openxmlformats.org/officeDocument/2006/relationships/hyperlink" Target="https://www.itu.int/md/S26-CL-INF-0005/en" TargetMode="External"/><Relationship Id="rId89" Type="http://schemas.openxmlformats.org/officeDocument/2006/relationships/hyperlink" Target="https://www.itu.int/md/S26-CL-INF-0010/en" TargetMode="External"/><Relationship Id="rId16" Type="http://schemas.openxmlformats.org/officeDocument/2006/relationships/hyperlink" Target="https://www.itu.int/md/S26-CL-C-0018/en" TargetMode="External"/><Relationship Id="rId11" Type="http://schemas.openxmlformats.org/officeDocument/2006/relationships/hyperlink" Target="https://www.itu.int/md/S26-CL-C-0031/en" TargetMode="External"/><Relationship Id="rId32" Type="http://schemas.openxmlformats.org/officeDocument/2006/relationships/hyperlink" Target="https://www.itu.int/md/S26-CL-C-0069/en" TargetMode="External"/><Relationship Id="rId37" Type="http://schemas.openxmlformats.org/officeDocument/2006/relationships/hyperlink" Target="https://www.itu.int/md/S26-CL-C-0004/en" TargetMode="External"/><Relationship Id="rId53" Type="http://schemas.openxmlformats.org/officeDocument/2006/relationships/hyperlink" Target="https://www.itu.int/md/S26-CL-C-0073/en" TargetMode="External"/><Relationship Id="rId58" Type="http://schemas.openxmlformats.org/officeDocument/2006/relationships/hyperlink" Target="https://www.itu.int/md/S26-CL-C-0020/en" TargetMode="External"/><Relationship Id="rId74" Type="http://schemas.openxmlformats.org/officeDocument/2006/relationships/hyperlink" Target="https://www.itu.int/md/S26-CL-C-0048/en" TargetMode="External"/><Relationship Id="rId79" Type="http://schemas.openxmlformats.org/officeDocument/2006/relationships/hyperlink" Target="https://www.itu.int/md/S26-CL-C-0071/en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itu.int/md/S26-CL-INF-0013/en" TargetMode="External"/><Relationship Id="rId95" Type="http://schemas.openxmlformats.org/officeDocument/2006/relationships/footer" Target="footer2.xml"/><Relationship Id="rId22" Type="http://schemas.openxmlformats.org/officeDocument/2006/relationships/hyperlink" Target="https://www.itu.int/md/S26-CL-C-0008/en" TargetMode="External"/><Relationship Id="rId27" Type="http://schemas.openxmlformats.org/officeDocument/2006/relationships/hyperlink" Target="https://www.itu.int/md/S26-CL-C-0033/en" TargetMode="External"/><Relationship Id="rId43" Type="http://schemas.openxmlformats.org/officeDocument/2006/relationships/hyperlink" Target="https://www.itu.int/md/S26-CL-C-0053/en" TargetMode="External"/><Relationship Id="rId48" Type="http://schemas.openxmlformats.org/officeDocument/2006/relationships/hyperlink" Target="https://www.itu.int/md/S26-CL-C-0072/en" TargetMode="External"/><Relationship Id="rId64" Type="http://schemas.openxmlformats.org/officeDocument/2006/relationships/hyperlink" Target="https://www.itu.int/md/S26-CL-C-0045/en" TargetMode="External"/><Relationship Id="rId69" Type="http://schemas.openxmlformats.org/officeDocument/2006/relationships/hyperlink" Target="https://www.itu.int/md/S26-CL-C-0066/en" TargetMode="External"/><Relationship Id="rId80" Type="http://schemas.openxmlformats.org/officeDocument/2006/relationships/hyperlink" Target="https://www.itu.int/md/S26-CL-INF-0009/en" TargetMode="External"/><Relationship Id="rId85" Type="http://schemas.openxmlformats.org/officeDocument/2006/relationships/hyperlink" Target="https://www.itu.int/md/S26-CL-INF-0012/en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tu.int/md/S26-CL-C-0032/en" TargetMode="External"/><Relationship Id="rId17" Type="http://schemas.openxmlformats.org/officeDocument/2006/relationships/hyperlink" Target="https://www.itu.int/md/S26-CL-C-0012/en" TargetMode="External"/><Relationship Id="rId25" Type="http://schemas.openxmlformats.org/officeDocument/2006/relationships/hyperlink" Target="https://www.itu.int/md/S26-CL-C-0059/en" TargetMode="External"/><Relationship Id="rId33" Type="http://schemas.openxmlformats.org/officeDocument/2006/relationships/hyperlink" Target="https://www.itu.int/md/S26-CL-C-0064/en" TargetMode="External"/><Relationship Id="rId38" Type="http://schemas.openxmlformats.org/officeDocument/2006/relationships/hyperlink" Target="https://www.itu.int/md/S26-CL-C-0006/en" TargetMode="External"/><Relationship Id="rId46" Type="http://schemas.openxmlformats.org/officeDocument/2006/relationships/hyperlink" Target="https://www.itu.int/md/S26-CL-C-0042/en" TargetMode="External"/><Relationship Id="rId59" Type="http://schemas.openxmlformats.org/officeDocument/2006/relationships/hyperlink" Target="https://www.itu.int/md/S26-CL-C-0036/en" TargetMode="External"/><Relationship Id="rId67" Type="http://schemas.openxmlformats.org/officeDocument/2006/relationships/hyperlink" Target="https://www.itu.int/md/S26-CL-C-0022/en" TargetMode="External"/><Relationship Id="rId20" Type="http://schemas.openxmlformats.org/officeDocument/2006/relationships/hyperlink" Target="https://www.itu.int/md/S26-CL-C-0052/en" TargetMode="External"/><Relationship Id="rId41" Type="http://schemas.openxmlformats.org/officeDocument/2006/relationships/hyperlink" Target="https://www.itu.int/md/S26-CL-C-0003/en" TargetMode="External"/><Relationship Id="rId54" Type="http://schemas.openxmlformats.org/officeDocument/2006/relationships/hyperlink" Target="https://www.itu.int/md/S26-CL-C-0038/en" TargetMode="External"/><Relationship Id="rId62" Type="http://schemas.openxmlformats.org/officeDocument/2006/relationships/hyperlink" Target="https://www.itu.int/md/S26-CL-C-0044/en" TargetMode="External"/><Relationship Id="rId70" Type="http://schemas.openxmlformats.org/officeDocument/2006/relationships/hyperlink" Target="https://www.itu.int/md/S26-CL-C-0023/en" TargetMode="External"/><Relationship Id="rId75" Type="http://schemas.openxmlformats.org/officeDocument/2006/relationships/hyperlink" Target="https://www.itu.int/md/S26-CL-C-0065/en" TargetMode="External"/><Relationship Id="rId83" Type="http://schemas.openxmlformats.org/officeDocument/2006/relationships/hyperlink" Target="https://www.itu.int/md/S26-CL-INF-0002/en" TargetMode="External"/><Relationship Id="rId88" Type="http://schemas.openxmlformats.org/officeDocument/2006/relationships/hyperlink" Target="https://www.itu.int/md/S26-CL-INF-0004/en" TargetMode="External"/><Relationship Id="rId91" Type="http://schemas.openxmlformats.org/officeDocument/2006/relationships/hyperlink" Target="https://www.itu.int/md/S26-CL-INF-0014/en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itu.int/md/S26-CL-C-0015/en" TargetMode="External"/><Relationship Id="rId23" Type="http://schemas.openxmlformats.org/officeDocument/2006/relationships/hyperlink" Target="https://www.itu.int/md/S26-CL-C-0010/en" TargetMode="External"/><Relationship Id="rId28" Type="http://schemas.openxmlformats.org/officeDocument/2006/relationships/hyperlink" Target="https://www.itu.int/md/S26-CL-C-0017/en" TargetMode="External"/><Relationship Id="rId36" Type="http://schemas.openxmlformats.org/officeDocument/2006/relationships/hyperlink" Target="https://www.itu.int/md/S26-CL-C-0005/en" TargetMode="External"/><Relationship Id="rId49" Type="http://schemas.openxmlformats.org/officeDocument/2006/relationships/hyperlink" Target="https://www.itu.int/md/S26-CL-C-0054/en" TargetMode="External"/><Relationship Id="rId57" Type="http://schemas.openxmlformats.org/officeDocument/2006/relationships/hyperlink" Target="https://www.itu.int/md/S26-CL-C-0056/en" TargetMode="External"/><Relationship Id="rId10" Type="http://schemas.openxmlformats.org/officeDocument/2006/relationships/hyperlink" Target="https://www.itu.int/md/S26-CL-C-0028/en" TargetMode="External"/><Relationship Id="rId31" Type="http://schemas.openxmlformats.org/officeDocument/2006/relationships/hyperlink" Target="https://www.itu.int/md/S26-CL-C-0068/en" TargetMode="External"/><Relationship Id="rId44" Type="http://schemas.openxmlformats.org/officeDocument/2006/relationships/hyperlink" Target="https://www.itu.int/md/S26-CL-C-0043/en" TargetMode="External"/><Relationship Id="rId52" Type="http://schemas.openxmlformats.org/officeDocument/2006/relationships/hyperlink" Target="https://www.itu.int/md/S26-CL-C-0011/en" TargetMode="External"/><Relationship Id="rId60" Type="http://schemas.openxmlformats.org/officeDocument/2006/relationships/hyperlink" Target="https://www.itu.int/md/S26-CL-C-0040/en" TargetMode="External"/><Relationship Id="rId65" Type="http://schemas.openxmlformats.org/officeDocument/2006/relationships/hyperlink" Target="https://www.itu.int/md/S26-CL-C-0014/en" TargetMode="External"/><Relationship Id="rId73" Type="http://schemas.openxmlformats.org/officeDocument/2006/relationships/hyperlink" Target="https://www.itu.int/md/S26-CL-C-0063/en" TargetMode="External"/><Relationship Id="rId78" Type="http://schemas.openxmlformats.org/officeDocument/2006/relationships/hyperlink" Target="https://www.itu.int/md/S26-CL-C-0070/en" TargetMode="External"/><Relationship Id="rId81" Type="http://schemas.openxmlformats.org/officeDocument/2006/relationships/hyperlink" Target="https://www.itu.int/md/S26-CL-INF-0007/en" TargetMode="External"/><Relationship Id="rId86" Type="http://schemas.openxmlformats.org/officeDocument/2006/relationships/hyperlink" Target="https://www.itu.int/md/S26-CL-INF-0003/en" TargetMode="External"/><Relationship Id="rId9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6-CL-C-0055/en" TargetMode="External"/><Relationship Id="rId13" Type="http://schemas.openxmlformats.org/officeDocument/2006/relationships/hyperlink" Target="https://www.itu.int/md/S26-CL-C-0025/en" TargetMode="External"/><Relationship Id="rId18" Type="http://schemas.openxmlformats.org/officeDocument/2006/relationships/hyperlink" Target="https://www.itu.int/md/S26-CL-C-0013/en" TargetMode="External"/><Relationship Id="rId39" Type="http://schemas.openxmlformats.org/officeDocument/2006/relationships/hyperlink" Target="https://www.itu.int/md/S26-CL-C-0002/en" TargetMode="External"/><Relationship Id="rId34" Type="http://schemas.openxmlformats.org/officeDocument/2006/relationships/hyperlink" Target="https://www.itu.int/md/S26-CL-C-0074/en" TargetMode="External"/><Relationship Id="rId50" Type="http://schemas.openxmlformats.org/officeDocument/2006/relationships/hyperlink" Target="https://www.itu.int/md/S26-CL-C-0019/en" TargetMode="External"/><Relationship Id="rId55" Type="http://schemas.openxmlformats.org/officeDocument/2006/relationships/hyperlink" Target="https://www.itu.int/md/S26-CL-C-0034/en" TargetMode="External"/><Relationship Id="rId76" Type="http://schemas.openxmlformats.org/officeDocument/2006/relationships/hyperlink" Target="https://www.itu.int/md/S26-CL-C-0027/en" TargetMode="External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www.itu.int/md/S26-CL-C-0067/en" TargetMode="External"/><Relationship Id="rId92" Type="http://schemas.openxmlformats.org/officeDocument/2006/relationships/hyperlink" Target="https://www.itu.int/md/S26-CL-INF-0006/en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itu.int/md/S26-CL-C-0061/en" TargetMode="External"/><Relationship Id="rId24" Type="http://schemas.openxmlformats.org/officeDocument/2006/relationships/hyperlink" Target="https://www.itu.int/md/S26-CL-C-0058/en" TargetMode="External"/><Relationship Id="rId40" Type="http://schemas.openxmlformats.org/officeDocument/2006/relationships/hyperlink" Target="https://www.itu.int/md/S26-CL-C-0037/en" TargetMode="External"/><Relationship Id="rId45" Type="http://schemas.openxmlformats.org/officeDocument/2006/relationships/hyperlink" Target="https://www.itu.int/md/S26-CL-C-0009/en" TargetMode="External"/><Relationship Id="rId66" Type="http://schemas.openxmlformats.org/officeDocument/2006/relationships/hyperlink" Target="https://www.itu.int/md/S26-CL-C-0049/en" TargetMode="External"/><Relationship Id="rId87" Type="http://schemas.openxmlformats.org/officeDocument/2006/relationships/hyperlink" Target="https://www.itu.int/md/S26-CL-INF-0008/en" TargetMode="External"/><Relationship Id="rId61" Type="http://schemas.openxmlformats.org/officeDocument/2006/relationships/hyperlink" Target="https://www.itu.int/md/S26-CL-C-0041/en" TargetMode="External"/><Relationship Id="rId82" Type="http://schemas.openxmlformats.org/officeDocument/2006/relationships/hyperlink" Target="https://www.itu.int/md/S26-CL-INF-0001/en" TargetMode="External"/><Relationship Id="rId19" Type="http://schemas.openxmlformats.org/officeDocument/2006/relationships/hyperlink" Target="https://www.itu.int/md/S26-CL-C-0051/en" TargetMode="External"/><Relationship Id="rId14" Type="http://schemas.openxmlformats.org/officeDocument/2006/relationships/hyperlink" Target="https://www.itu.int/md/S26-CL-C-0024/en" TargetMode="External"/><Relationship Id="rId30" Type="http://schemas.openxmlformats.org/officeDocument/2006/relationships/hyperlink" Target="https://www.itu.int/md/S26-CL-C-0029/en" TargetMode="External"/><Relationship Id="rId35" Type="http://schemas.openxmlformats.org/officeDocument/2006/relationships/hyperlink" Target="https://www.itu.int/md/S26-CL-C-0030/en" TargetMode="External"/><Relationship Id="rId56" Type="http://schemas.openxmlformats.org/officeDocument/2006/relationships/hyperlink" Target="https://www.itu.int/md/S26-CL-C-0046/en" TargetMode="External"/><Relationship Id="rId77" Type="http://schemas.openxmlformats.org/officeDocument/2006/relationships/hyperlink" Target="https://www.itu.int/md/S26-CL-C-0062/en" TargetMode="External"/><Relationship Id="rId8" Type="http://schemas.openxmlformats.org/officeDocument/2006/relationships/hyperlink" Target="https://www.itu.int/md/S26-CL-C-0035/en" TargetMode="External"/><Relationship Id="rId51" Type="http://schemas.openxmlformats.org/officeDocument/2006/relationships/hyperlink" Target="https://www.itu.int/md/S26-CL-C-0016/en" TargetMode="External"/><Relationship Id="rId72" Type="http://schemas.openxmlformats.org/officeDocument/2006/relationships/hyperlink" Target="https://www.itu.int/md/S26-CL-C-0007/en" TargetMode="External"/><Relationship Id="rId93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1192</Words>
  <Characters>7351</Characters>
  <Application>Microsoft Office Word</Application>
  <DocSecurity>0</DocSecurity>
  <Lines>235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ITU Council 2026</dc:subject>
  <dc:creator>Arabic_HK</dc:creator>
  <cp:keywords>C26; C2026; Council 2026; PP26</cp:keywords>
  <dc:description/>
  <cp:lastModifiedBy>GBS</cp:lastModifiedBy>
  <cp:revision>2</cp:revision>
  <dcterms:created xsi:type="dcterms:W3CDTF">2026-04-26T11:54:00Z</dcterms:created>
  <dcterms:modified xsi:type="dcterms:W3CDTF">2026-04-26T11:54:00Z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