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576"/>
        <w:gridCol w:w="3393"/>
        <w:gridCol w:w="2535"/>
        <w:gridCol w:w="2710"/>
      </w:tblGrid>
      <w:tr w:rsidR="00FE57F6" w:rsidRPr="00F679A7" w14:paraId="4A0BD57D" w14:textId="77777777" w:rsidTr="00C4421B">
        <w:trPr>
          <w:cantSplit/>
          <w:trHeight w:val="23"/>
        </w:trPr>
        <w:tc>
          <w:tcPr>
            <w:tcW w:w="3969" w:type="dxa"/>
            <w:gridSpan w:val="2"/>
            <w:vMerge w:val="restart"/>
            <w:tcMar>
              <w:left w:w="0" w:type="dxa"/>
            </w:tcMar>
          </w:tcPr>
          <w:p w14:paraId="76D9CB27" w14:textId="62259F59" w:rsidR="00FE57F6" w:rsidRPr="00F679A7" w:rsidRDefault="00FE57F6" w:rsidP="00C4421B">
            <w:pPr>
              <w:tabs>
                <w:tab w:val="left" w:pos="851"/>
              </w:tabs>
              <w:spacing w:before="0" w:line="240" w:lineRule="atLeast"/>
              <w:rPr>
                <w:b/>
                <w:lang w:val="es-ES_tradnl"/>
              </w:rPr>
            </w:pPr>
            <w:bookmarkStart w:id="0" w:name="_Hlk133421839"/>
          </w:p>
        </w:tc>
        <w:tc>
          <w:tcPr>
            <w:tcW w:w="5245" w:type="dxa"/>
            <w:gridSpan w:val="2"/>
          </w:tcPr>
          <w:p w14:paraId="1C537DBF" w14:textId="50376303" w:rsidR="00FE57F6" w:rsidRPr="00F679A7" w:rsidRDefault="00FE57F6" w:rsidP="00C4421B">
            <w:pPr>
              <w:tabs>
                <w:tab w:val="left" w:pos="851"/>
              </w:tabs>
              <w:spacing w:before="0" w:line="240" w:lineRule="atLeast"/>
              <w:jc w:val="right"/>
              <w:rPr>
                <w:b/>
                <w:lang w:val="es-ES_tradnl"/>
              </w:rPr>
            </w:pPr>
            <w:r w:rsidRPr="00F679A7">
              <w:rPr>
                <w:b/>
                <w:lang w:val="es-ES_tradnl"/>
              </w:rPr>
              <w:t>Document</w:t>
            </w:r>
            <w:r w:rsidR="00F24B71" w:rsidRPr="00F679A7">
              <w:rPr>
                <w:b/>
                <w:lang w:val="es-ES_tradnl"/>
              </w:rPr>
              <w:t>o</w:t>
            </w:r>
            <w:r w:rsidRPr="00F679A7">
              <w:rPr>
                <w:b/>
                <w:lang w:val="es-ES_tradnl"/>
              </w:rPr>
              <w:t xml:space="preserve"> C2</w:t>
            </w:r>
            <w:r w:rsidR="00F85E5C" w:rsidRPr="00F679A7">
              <w:rPr>
                <w:b/>
                <w:lang w:val="es-ES_tradnl"/>
              </w:rPr>
              <w:t>6</w:t>
            </w:r>
            <w:r w:rsidR="00F679A7" w:rsidRPr="00F679A7">
              <w:rPr>
                <w:b/>
                <w:lang w:val="es-ES_tradnl"/>
              </w:rPr>
              <w:t>-EXT</w:t>
            </w:r>
            <w:r w:rsidRPr="00F679A7">
              <w:rPr>
                <w:b/>
                <w:lang w:val="es-ES_tradnl"/>
              </w:rPr>
              <w:t>/</w:t>
            </w:r>
            <w:r w:rsidR="00DC0D50">
              <w:rPr>
                <w:b/>
                <w:lang w:val="es-ES_tradnl"/>
              </w:rPr>
              <w:t>8</w:t>
            </w:r>
            <w:r w:rsidRPr="00F679A7">
              <w:rPr>
                <w:b/>
                <w:lang w:val="es-ES_tradnl"/>
              </w:rPr>
              <w:t>-</w:t>
            </w:r>
            <w:r w:rsidR="00F24B71" w:rsidRPr="00F679A7">
              <w:rPr>
                <w:b/>
                <w:lang w:val="es-ES_tradnl"/>
              </w:rPr>
              <w:t>S</w:t>
            </w:r>
          </w:p>
        </w:tc>
      </w:tr>
      <w:tr w:rsidR="00FE57F6" w:rsidRPr="00F679A7" w14:paraId="0E46B444" w14:textId="77777777" w:rsidTr="00C4421B">
        <w:trPr>
          <w:cantSplit/>
        </w:trPr>
        <w:tc>
          <w:tcPr>
            <w:tcW w:w="3969" w:type="dxa"/>
            <w:gridSpan w:val="2"/>
            <w:vMerge/>
          </w:tcPr>
          <w:p w14:paraId="4309F2BA" w14:textId="77777777" w:rsidR="00FE57F6" w:rsidRPr="00F679A7" w:rsidRDefault="00FE57F6" w:rsidP="00C4421B">
            <w:pPr>
              <w:tabs>
                <w:tab w:val="left" w:pos="851"/>
              </w:tabs>
              <w:spacing w:line="240" w:lineRule="atLeast"/>
              <w:rPr>
                <w:b/>
                <w:lang w:val="es-ES_tradnl"/>
              </w:rPr>
            </w:pPr>
          </w:p>
        </w:tc>
        <w:tc>
          <w:tcPr>
            <w:tcW w:w="5245" w:type="dxa"/>
            <w:gridSpan w:val="2"/>
          </w:tcPr>
          <w:p w14:paraId="6FB1ACFF" w14:textId="6E1782BF" w:rsidR="00FE57F6" w:rsidRPr="00F679A7" w:rsidRDefault="00B72F2A" w:rsidP="00C4421B">
            <w:pPr>
              <w:tabs>
                <w:tab w:val="left" w:pos="851"/>
              </w:tabs>
              <w:spacing w:before="0"/>
              <w:jc w:val="right"/>
              <w:rPr>
                <w:b/>
                <w:lang w:val="es-ES_tradnl"/>
              </w:rPr>
            </w:pPr>
            <w:r>
              <w:rPr>
                <w:b/>
                <w:lang w:val="es-ES"/>
              </w:rPr>
              <w:t>25</w:t>
            </w:r>
            <w:r w:rsidR="00C57F45">
              <w:rPr>
                <w:b/>
                <w:lang w:val="es-ES"/>
              </w:rPr>
              <w:t xml:space="preserve"> de septiembre de 2026</w:t>
            </w:r>
          </w:p>
        </w:tc>
      </w:tr>
      <w:tr w:rsidR="00FE57F6" w:rsidRPr="00F679A7" w14:paraId="6FB2796E" w14:textId="77777777" w:rsidTr="00C4421B">
        <w:trPr>
          <w:cantSplit/>
          <w:trHeight w:val="23"/>
        </w:trPr>
        <w:tc>
          <w:tcPr>
            <w:tcW w:w="3969" w:type="dxa"/>
            <w:gridSpan w:val="2"/>
            <w:vMerge/>
          </w:tcPr>
          <w:p w14:paraId="497E5178" w14:textId="77777777" w:rsidR="00FE57F6" w:rsidRPr="00F679A7" w:rsidRDefault="00FE57F6" w:rsidP="00C4421B">
            <w:pPr>
              <w:tabs>
                <w:tab w:val="left" w:pos="851"/>
              </w:tabs>
              <w:spacing w:line="240" w:lineRule="atLeast"/>
              <w:rPr>
                <w:b/>
                <w:lang w:val="es-ES_tradnl"/>
              </w:rPr>
            </w:pPr>
          </w:p>
        </w:tc>
        <w:tc>
          <w:tcPr>
            <w:tcW w:w="5245" w:type="dxa"/>
            <w:gridSpan w:val="2"/>
          </w:tcPr>
          <w:p w14:paraId="0E084E5A" w14:textId="77777777" w:rsidR="00FE57F6" w:rsidRPr="00F679A7" w:rsidRDefault="00F24B71" w:rsidP="00C4421B">
            <w:pPr>
              <w:tabs>
                <w:tab w:val="left" w:pos="851"/>
              </w:tabs>
              <w:spacing w:before="0" w:line="240" w:lineRule="atLeast"/>
              <w:jc w:val="right"/>
              <w:rPr>
                <w:b/>
                <w:bCs/>
                <w:lang w:val="es-ES_tradnl"/>
              </w:rPr>
            </w:pPr>
            <w:r w:rsidRPr="00F679A7">
              <w:rPr>
                <w:rFonts w:cstheme="minorHAnsi"/>
                <w:b/>
                <w:bCs/>
                <w:lang w:val="es-ES_tradnl"/>
              </w:rPr>
              <w:t>Original: inglés</w:t>
            </w:r>
          </w:p>
        </w:tc>
      </w:tr>
      <w:tr w:rsidR="00FE57F6" w:rsidRPr="00F679A7" w14:paraId="7312F7FD" w14:textId="77777777" w:rsidTr="00C4421B">
        <w:trPr>
          <w:cantSplit/>
          <w:trHeight w:val="23"/>
        </w:trPr>
        <w:tc>
          <w:tcPr>
            <w:tcW w:w="3969" w:type="dxa"/>
            <w:gridSpan w:val="2"/>
          </w:tcPr>
          <w:p w14:paraId="2CE96DA5" w14:textId="77777777" w:rsidR="00FE57F6" w:rsidRPr="00F679A7" w:rsidRDefault="00FE57F6" w:rsidP="00C4421B">
            <w:pPr>
              <w:tabs>
                <w:tab w:val="left" w:pos="851"/>
              </w:tabs>
              <w:spacing w:line="240" w:lineRule="atLeast"/>
              <w:rPr>
                <w:b/>
                <w:lang w:val="es-ES_tradnl"/>
              </w:rPr>
            </w:pPr>
          </w:p>
        </w:tc>
        <w:tc>
          <w:tcPr>
            <w:tcW w:w="5245" w:type="dxa"/>
            <w:gridSpan w:val="2"/>
          </w:tcPr>
          <w:p w14:paraId="12201003" w14:textId="77777777" w:rsidR="00FE57F6" w:rsidRPr="00F679A7" w:rsidRDefault="00FE57F6" w:rsidP="00C4421B">
            <w:pPr>
              <w:tabs>
                <w:tab w:val="left" w:pos="851"/>
              </w:tabs>
              <w:spacing w:before="0" w:line="240" w:lineRule="atLeast"/>
              <w:jc w:val="right"/>
              <w:rPr>
                <w:b/>
                <w:lang w:val="es-ES_tradnl"/>
              </w:rPr>
            </w:pPr>
          </w:p>
        </w:tc>
      </w:tr>
      <w:tr w:rsidR="00FE57F6" w:rsidRPr="00B72F2A" w14:paraId="2A2A0DB8" w14:textId="77777777" w:rsidTr="00C4421B">
        <w:trPr>
          <w:cantSplit/>
        </w:trPr>
        <w:tc>
          <w:tcPr>
            <w:tcW w:w="9214" w:type="dxa"/>
            <w:gridSpan w:val="4"/>
            <w:tcMar>
              <w:left w:w="0" w:type="dxa"/>
            </w:tcMar>
          </w:tcPr>
          <w:p w14:paraId="39C087E4" w14:textId="6D81190D" w:rsidR="00FE57F6" w:rsidRPr="00995A99" w:rsidRDefault="00DD7758" w:rsidP="00535747">
            <w:pPr>
              <w:pStyle w:val="Title1"/>
              <w:framePr w:hSpace="0" w:wrap="auto" w:vAnchor="margin" w:hAnchor="text" w:xAlign="left" w:yAlign="inline"/>
              <w:rPr>
                <w:b/>
                <w:bCs/>
                <w:sz w:val="34"/>
                <w:szCs w:val="34"/>
              </w:rPr>
            </w:pPr>
            <w:r w:rsidRPr="00995A99">
              <w:rPr>
                <w:b/>
                <w:bCs/>
                <w:sz w:val="34"/>
                <w:szCs w:val="34"/>
              </w:rPr>
              <w:t xml:space="preserve">RESUMEN DE LOS DEBATES </w:t>
            </w:r>
            <w:r w:rsidRPr="00995A99">
              <w:rPr>
                <w:b/>
                <w:bCs/>
                <w:sz w:val="34"/>
                <w:szCs w:val="34"/>
              </w:rPr>
              <w:br/>
            </w:r>
            <w:r w:rsidRPr="00995A99">
              <w:rPr>
                <w:b/>
                <w:bCs/>
                <w:sz w:val="34"/>
                <w:szCs w:val="34"/>
              </w:rPr>
              <w:br/>
              <w:t xml:space="preserve">DE LA </w:t>
            </w:r>
            <w:r w:rsidRPr="00995A99">
              <w:rPr>
                <w:b/>
                <w:bCs/>
                <w:sz w:val="34"/>
                <w:szCs w:val="34"/>
              </w:rPr>
              <w:br/>
            </w:r>
            <w:r w:rsidRPr="00995A99">
              <w:rPr>
                <w:b/>
                <w:bCs/>
                <w:sz w:val="34"/>
                <w:szCs w:val="34"/>
              </w:rPr>
              <w:br/>
              <w:t>REUNIÓN EXTRAORDINARIA DEL CONSEJO</w:t>
            </w:r>
          </w:p>
        </w:tc>
      </w:tr>
      <w:tr w:rsidR="00FE57F6" w:rsidRPr="00B72F2A" w14:paraId="52DA57FA" w14:textId="77777777" w:rsidTr="00DC0D50">
        <w:trPr>
          <w:cantSplit/>
        </w:trPr>
        <w:tc>
          <w:tcPr>
            <w:tcW w:w="9214" w:type="dxa"/>
            <w:gridSpan w:val="4"/>
            <w:tcMar>
              <w:left w:w="0" w:type="dxa"/>
            </w:tcMar>
          </w:tcPr>
          <w:p w14:paraId="131835A4" w14:textId="77777777" w:rsidR="00DC0D50" w:rsidRDefault="00DC0D50" w:rsidP="00DC0D50">
            <w:pPr>
              <w:tabs>
                <w:tab w:val="clear" w:pos="567"/>
                <w:tab w:val="clear" w:pos="1134"/>
                <w:tab w:val="clear" w:pos="1701"/>
                <w:tab w:val="clear" w:pos="2268"/>
                <w:tab w:val="clear" w:pos="2835"/>
              </w:tabs>
              <w:overflowPunct/>
              <w:autoSpaceDE/>
              <w:autoSpaceDN/>
              <w:adjustRightInd/>
              <w:spacing w:before="240" w:after="240"/>
              <w:jc w:val="center"/>
              <w:textAlignment w:val="auto"/>
              <w:rPr>
                <w:color w:val="000000"/>
                <w:szCs w:val="24"/>
                <w:lang w:val="es-ES"/>
              </w:rPr>
            </w:pPr>
            <w:r>
              <w:rPr>
                <w:color w:val="000000"/>
                <w:szCs w:val="24"/>
                <w:lang w:val="es-ES"/>
              </w:rPr>
              <w:t>Martes 25 de agosto de 2026, de las 12.05 horas a las 16.25 horas</w:t>
            </w:r>
          </w:p>
          <w:p w14:paraId="2A5D2828" w14:textId="6F4BA1AC" w:rsidR="00DC0D50" w:rsidRPr="00DC0D50" w:rsidRDefault="00DC0D50" w:rsidP="00DC0D50">
            <w:pPr>
              <w:tabs>
                <w:tab w:val="clear" w:pos="567"/>
                <w:tab w:val="clear" w:pos="1134"/>
                <w:tab w:val="clear" w:pos="1701"/>
                <w:tab w:val="clear" w:pos="2268"/>
                <w:tab w:val="clear" w:pos="2835"/>
              </w:tabs>
              <w:overflowPunct/>
              <w:autoSpaceDE/>
              <w:autoSpaceDN/>
              <w:adjustRightInd/>
              <w:spacing w:before="240" w:after="240"/>
              <w:jc w:val="center"/>
              <w:textAlignment w:val="auto"/>
              <w:rPr>
                <w:color w:val="000000"/>
                <w:szCs w:val="24"/>
                <w:lang w:val="es-ES"/>
              </w:rPr>
            </w:pPr>
            <w:r>
              <w:rPr>
                <w:b/>
                <w:bCs/>
                <w:color w:val="000000"/>
                <w:szCs w:val="24"/>
                <w:lang w:val="es-ES"/>
              </w:rPr>
              <w:t>Presidente</w:t>
            </w:r>
            <w:r>
              <w:rPr>
                <w:color w:val="000000"/>
                <w:szCs w:val="24"/>
                <w:lang w:val="es-ES"/>
              </w:rPr>
              <w:t>: Sr. B. Tijani (Nigeria)</w:t>
            </w:r>
          </w:p>
        </w:tc>
      </w:tr>
      <w:tr w:rsidR="00DC0D50" w:rsidRPr="00DC0D50" w14:paraId="78FC1409" w14:textId="71BED295" w:rsidTr="00DC0D50">
        <w:trPr>
          <w:cantSplit/>
          <w:trHeight w:val="405"/>
        </w:trPr>
        <w:tc>
          <w:tcPr>
            <w:tcW w:w="576" w:type="dxa"/>
            <w:tcMar>
              <w:left w:w="0" w:type="dxa"/>
            </w:tcMar>
          </w:tcPr>
          <w:p w14:paraId="426D5FAC" w14:textId="701589F5" w:rsidR="00DC0D50" w:rsidRDefault="00DC0D50" w:rsidP="00DC0D50">
            <w:pPr>
              <w:tabs>
                <w:tab w:val="clear" w:pos="567"/>
                <w:tab w:val="clear" w:pos="1134"/>
                <w:tab w:val="clear" w:pos="1701"/>
                <w:tab w:val="clear" w:pos="2268"/>
                <w:tab w:val="clear" w:pos="2835"/>
              </w:tabs>
              <w:overflowPunct/>
              <w:autoSpaceDE/>
              <w:autoSpaceDN/>
              <w:adjustRightInd/>
              <w:spacing w:before="0" w:after="100" w:afterAutospacing="1"/>
              <w:jc w:val="center"/>
              <w:textAlignment w:val="auto"/>
              <w:rPr>
                <w:color w:val="000000"/>
                <w:szCs w:val="24"/>
                <w:lang w:val="es-ES"/>
              </w:rPr>
            </w:pPr>
          </w:p>
        </w:tc>
        <w:tc>
          <w:tcPr>
            <w:tcW w:w="5928" w:type="dxa"/>
            <w:gridSpan w:val="2"/>
          </w:tcPr>
          <w:p w14:paraId="4903095B" w14:textId="06B3DCD4" w:rsidR="00DC0D50" w:rsidRDefault="00DC0D50" w:rsidP="00DC0D50">
            <w:pPr>
              <w:pStyle w:val="Tablehead"/>
              <w:spacing w:after="0"/>
              <w:jc w:val="left"/>
              <w:rPr>
                <w:szCs w:val="24"/>
                <w:lang w:val="es-ES"/>
              </w:rPr>
            </w:pPr>
            <w:r>
              <w:rPr>
                <w:lang w:val="es-ES"/>
              </w:rPr>
              <w:t>Temas debatidos</w:t>
            </w:r>
          </w:p>
        </w:tc>
        <w:tc>
          <w:tcPr>
            <w:tcW w:w="2710" w:type="dxa"/>
          </w:tcPr>
          <w:p w14:paraId="40A199D6" w14:textId="3D2B5475" w:rsidR="00DC0D50" w:rsidRDefault="00DC0D50" w:rsidP="00DC0D50">
            <w:pPr>
              <w:pStyle w:val="Tablehead"/>
              <w:spacing w:after="0"/>
              <w:rPr>
                <w:szCs w:val="24"/>
                <w:lang w:val="es-ES"/>
              </w:rPr>
            </w:pPr>
            <w:r>
              <w:rPr>
                <w:lang w:val="es-ES"/>
              </w:rPr>
              <w:t>Documentos</w:t>
            </w:r>
          </w:p>
        </w:tc>
      </w:tr>
      <w:tr w:rsidR="00DC0D50" w:rsidRPr="00DC0D50" w14:paraId="0290BA7F" w14:textId="24B11EAF" w:rsidTr="00DC0D50">
        <w:trPr>
          <w:cantSplit/>
        </w:trPr>
        <w:tc>
          <w:tcPr>
            <w:tcW w:w="576" w:type="dxa"/>
            <w:tcMar>
              <w:left w:w="0" w:type="dxa"/>
            </w:tcMar>
          </w:tcPr>
          <w:p w14:paraId="48410CB1" w14:textId="7BC075EF" w:rsidR="00DC0D50" w:rsidRDefault="00DC0D50" w:rsidP="00234DB3">
            <w:pPr>
              <w:pStyle w:val="Tabletext"/>
              <w:jc w:val="center"/>
              <w:rPr>
                <w:lang w:val="es-ES"/>
              </w:rPr>
            </w:pPr>
            <w:r>
              <w:rPr>
                <w:lang w:val="es-ES"/>
              </w:rPr>
              <w:t>1</w:t>
            </w:r>
          </w:p>
        </w:tc>
        <w:tc>
          <w:tcPr>
            <w:tcW w:w="5928" w:type="dxa"/>
            <w:gridSpan w:val="2"/>
          </w:tcPr>
          <w:p w14:paraId="77A21E68" w14:textId="4253E31F" w:rsidR="00DC0D50" w:rsidRDefault="00DC0D50" w:rsidP="00DC0D50">
            <w:pPr>
              <w:pStyle w:val="Tabletext"/>
              <w:rPr>
                <w:lang w:val="es-ES"/>
              </w:rPr>
            </w:pPr>
            <w:r>
              <w:rPr>
                <w:lang w:val="es-ES"/>
              </w:rPr>
              <w:t>Apertura de la reunión</w:t>
            </w:r>
          </w:p>
        </w:tc>
        <w:tc>
          <w:tcPr>
            <w:tcW w:w="2710" w:type="dxa"/>
          </w:tcPr>
          <w:p w14:paraId="39F2D3A6" w14:textId="273CF534" w:rsidR="00DC0D50" w:rsidRDefault="00DC0D50" w:rsidP="00DC0D50">
            <w:pPr>
              <w:pStyle w:val="Tabletext"/>
              <w:jc w:val="center"/>
              <w:rPr>
                <w:lang w:val="es-ES"/>
              </w:rPr>
            </w:pPr>
            <w:r w:rsidRPr="00914BCE">
              <w:rPr>
                <w:lang w:val="en-GB"/>
              </w:rPr>
              <w:t>-</w:t>
            </w:r>
          </w:p>
        </w:tc>
      </w:tr>
      <w:tr w:rsidR="00DC0D50" w:rsidRPr="00DC0D50" w14:paraId="390F9436" w14:textId="592EFB4A" w:rsidTr="00997886">
        <w:trPr>
          <w:cantSplit/>
        </w:trPr>
        <w:tc>
          <w:tcPr>
            <w:tcW w:w="576" w:type="dxa"/>
            <w:tcMar>
              <w:left w:w="0" w:type="dxa"/>
            </w:tcMar>
          </w:tcPr>
          <w:p w14:paraId="09345E3A" w14:textId="4774BB0B" w:rsidR="00DC0D50" w:rsidRDefault="00DC0D50" w:rsidP="00234DB3">
            <w:pPr>
              <w:pStyle w:val="Tabletext"/>
              <w:jc w:val="center"/>
              <w:rPr>
                <w:lang w:val="es-ES"/>
              </w:rPr>
            </w:pPr>
            <w:r>
              <w:rPr>
                <w:lang w:val="es-ES"/>
              </w:rPr>
              <w:t>2</w:t>
            </w:r>
          </w:p>
        </w:tc>
        <w:tc>
          <w:tcPr>
            <w:tcW w:w="5928" w:type="dxa"/>
            <w:gridSpan w:val="2"/>
          </w:tcPr>
          <w:p w14:paraId="67B9C7C7" w14:textId="689796AB" w:rsidR="00DC0D50" w:rsidRDefault="00DC0D50" w:rsidP="00DC0D50">
            <w:pPr>
              <w:pStyle w:val="Tabletext"/>
              <w:rPr>
                <w:lang w:val="es-ES"/>
              </w:rPr>
            </w:pPr>
            <w:r>
              <w:rPr>
                <w:lang w:val="es-ES"/>
              </w:rPr>
              <w:t>Aprobación del orden del día</w:t>
            </w:r>
          </w:p>
        </w:tc>
        <w:tc>
          <w:tcPr>
            <w:tcW w:w="2710" w:type="dxa"/>
            <w:vAlign w:val="center"/>
          </w:tcPr>
          <w:p w14:paraId="7A6B35E6" w14:textId="1A7C029A" w:rsidR="00DC0D50" w:rsidRDefault="00DC0D50" w:rsidP="00DC0D50">
            <w:pPr>
              <w:pStyle w:val="Tabletext"/>
              <w:jc w:val="center"/>
              <w:rPr>
                <w:lang w:val="es-ES"/>
              </w:rPr>
            </w:pPr>
            <w:hyperlink r:id="rId7" w:history="1">
              <w:r w:rsidRPr="00914BCE">
                <w:rPr>
                  <w:rStyle w:val="Hyperlink"/>
                  <w:szCs w:val="24"/>
                  <w:lang w:val="en-GB"/>
                </w:rPr>
                <w:t>C26</w:t>
              </w:r>
              <w:r w:rsidRPr="00914BCE">
                <w:rPr>
                  <w:rStyle w:val="Hyperlink"/>
                  <w:szCs w:val="24"/>
                  <w:lang w:val="en-GB"/>
                </w:rPr>
                <w:noBreakHyphen/>
                <w:t>EXT/1(Rev.1)</w:t>
              </w:r>
            </w:hyperlink>
          </w:p>
        </w:tc>
      </w:tr>
      <w:tr w:rsidR="00DC0D50" w:rsidRPr="00B72F2A" w14:paraId="1DC2EE3D" w14:textId="11AE95E1" w:rsidTr="00DC0D50">
        <w:trPr>
          <w:cantSplit/>
        </w:trPr>
        <w:tc>
          <w:tcPr>
            <w:tcW w:w="576" w:type="dxa"/>
            <w:tcMar>
              <w:left w:w="0" w:type="dxa"/>
            </w:tcMar>
          </w:tcPr>
          <w:p w14:paraId="31762DAC" w14:textId="643879D9" w:rsidR="00DC0D50" w:rsidRDefault="00DC0D50" w:rsidP="00234DB3">
            <w:pPr>
              <w:pStyle w:val="Tabletext"/>
              <w:jc w:val="center"/>
              <w:rPr>
                <w:lang w:val="es-ES"/>
              </w:rPr>
            </w:pPr>
            <w:r>
              <w:rPr>
                <w:lang w:val="es-ES"/>
              </w:rPr>
              <w:t>3</w:t>
            </w:r>
          </w:p>
        </w:tc>
        <w:tc>
          <w:tcPr>
            <w:tcW w:w="5928" w:type="dxa"/>
            <w:gridSpan w:val="2"/>
          </w:tcPr>
          <w:p w14:paraId="688DE7AA" w14:textId="227C97AD" w:rsidR="00DC0D50" w:rsidRDefault="00DC0D50" w:rsidP="00DC0D50">
            <w:pPr>
              <w:pStyle w:val="Tabletext"/>
              <w:rPr>
                <w:lang w:val="es-ES"/>
              </w:rPr>
            </w:pPr>
            <w:r>
              <w:rPr>
                <w:lang w:val="es-ES"/>
              </w:rPr>
              <w:t>Preparativos para la Conferencia de Plenipotenciarios de 2026</w:t>
            </w:r>
          </w:p>
        </w:tc>
        <w:tc>
          <w:tcPr>
            <w:tcW w:w="2710" w:type="dxa"/>
          </w:tcPr>
          <w:p w14:paraId="71B89DF8" w14:textId="02189EE8" w:rsidR="00DC0D50" w:rsidRPr="00DC0D50" w:rsidRDefault="00DC0D50" w:rsidP="00DC0D50">
            <w:pPr>
              <w:pStyle w:val="Tabletext"/>
              <w:jc w:val="center"/>
              <w:rPr>
                <w:lang w:val="en-US"/>
              </w:rPr>
            </w:pPr>
            <w:hyperlink r:id="rId8" w:history="1">
              <w:r w:rsidRPr="00914BCE">
                <w:rPr>
                  <w:rStyle w:val="Hyperlink"/>
                  <w:rFonts w:asciiTheme="minorHAnsi" w:hAnsiTheme="minorHAnsi" w:cstheme="minorHAnsi"/>
                  <w:shd w:val="clear" w:color="auto" w:fill="FFFFFF"/>
                  <w:lang w:val="en-GB"/>
                </w:rPr>
                <w:t>C26</w:t>
              </w:r>
              <w:r w:rsidRPr="00914BCE">
                <w:rPr>
                  <w:rStyle w:val="Hyperlink"/>
                  <w:rFonts w:asciiTheme="minorHAnsi" w:hAnsiTheme="minorHAnsi" w:cstheme="minorHAnsi"/>
                  <w:shd w:val="clear" w:color="auto" w:fill="FFFFFF"/>
                  <w:lang w:val="en-GB"/>
                </w:rPr>
                <w:noBreakHyphen/>
                <w:t>EXT/2</w:t>
              </w:r>
            </w:hyperlink>
            <w:r w:rsidRPr="00914BCE">
              <w:rPr>
                <w:rFonts w:asciiTheme="minorHAnsi" w:hAnsiTheme="minorHAnsi" w:cstheme="minorHAnsi"/>
                <w:color w:val="2F2F2F"/>
                <w:shd w:val="clear" w:color="auto" w:fill="FFFFFF"/>
                <w:lang w:val="en-GB"/>
              </w:rPr>
              <w:t xml:space="preserve">, </w:t>
            </w:r>
            <w:r w:rsidRPr="00914BCE">
              <w:rPr>
                <w:rFonts w:asciiTheme="minorHAnsi" w:hAnsiTheme="minorHAnsi" w:cstheme="minorHAnsi"/>
                <w:color w:val="2F2F2F"/>
                <w:shd w:val="clear" w:color="auto" w:fill="FFFFFF"/>
                <w:lang w:val="en-GB"/>
              </w:rPr>
              <w:br/>
            </w:r>
            <w:hyperlink r:id="rId9" w:history="1">
              <w:r w:rsidRPr="00914BCE">
                <w:rPr>
                  <w:rStyle w:val="Hyperlink"/>
                  <w:rFonts w:asciiTheme="minorHAnsi" w:hAnsiTheme="minorHAnsi" w:cstheme="minorHAnsi"/>
                  <w:shd w:val="clear" w:color="auto" w:fill="FFFFFF"/>
                  <w:lang w:val="en-GB"/>
                </w:rPr>
                <w:t>C26</w:t>
              </w:r>
              <w:r w:rsidRPr="00914BCE">
                <w:rPr>
                  <w:rStyle w:val="Hyperlink"/>
                  <w:rFonts w:asciiTheme="minorHAnsi" w:hAnsiTheme="minorHAnsi" w:cstheme="minorHAnsi"/>
                  <w:shd w:val="clear" w:color="auto" w:fill="FFFFFF"/>
                  <w:lang w:val="en-GB"/>
                </w:rPr>
                <w:noBreakHyphen/>
                <w:t>EXT/3</w:t>
              </w:r>
            </w:hyperlink>
            <w:r w:rsidRPr="00914BCE">
              <w:rPr>
                <w:rFonts w:asciiTheme="minorHAnsi" w:hAnsiTheme="minorHAnsi" w:cstheme="minorHAnsi"/>
                <w:color w:val="2F2F2F"/>
                <w:shd w:val="clear" w:color="auto" w:fill="FFFFFF"/>
                <w:lang w:val="en-GB"/>
              </w:rPr>
              <w:t xml:space="preserve">, </w:t>
            </w:r>
            <w:r w:rsidRPr="00914BCE">
              <w:rPr>
                <w:rFonts w:asciiTheme="minorHAnsi" w:hAnsiTheme="minorHAnsi" w:cstheme="minorHAnsi"/>
                <w:color w:val="2F2F2F"/>
                <w:shd w:val="clear" w:color="auto" w:fill="FFFFFF"/>
                <w:lang w:val="en-GB"/>
              </w:rPr>
              <w:br/>
            </w:r>
            <w:hyperlink r:id="rId10" w:history="1">
              <w:r w:rsidRPr="00914BCE">
                <w:rPr>
                  <w:rStyle w:val="Hyperlink"/>
                  <w:rFonts w:asciiTheme="minorHAnsi" w:hAnsiTheme="minorHAnsi" w:cstheme="minorHAnsi"/>
                  <w:shd w:val="clear" w:color="auto" w:fill="FFFFFF"/>
                  <w:lang w:val="en-GB"/>
                </w:rPr>
                <w:t>C26</w:t>
              </w:r>
              <w:r w:rsidRPr="00914BCE">
                <w:rPr>
                  <w:rStyle w:val="Hyperlink"/>
                  <w:rFonts w:asciiTheme="minorHAnsi" w:hAnsiTheme="minorHAnsi" w:cstheme="minorHAnsi"/>
                  <w:shd w:val="clear" w:color="auto" w:fill="FFFFFF"/>
                  <w:lang w:val="en-GB"/>
                </w:rPr>
                <w:noBreakHyphen/>
                <w:t>EXT/4</w:t>
              </w:r>
            </w:hyperlink>
            <w:r w:rsidRPr="00914BCE">
              <w:rPr>
                <w:rFonts w:asciiTheme="minorHAnsi" w:hAnsiTheme="minorHAnsi" w:cstheme="minorHAnsi"/>
                <w:color w:val="2F2F2F"/>
                <w:shd w:val="clear" w:color="auto" w:fill="FFFFFF"/>
                <w:lang w:val="en-GB"/>
              </w:rPr>
              <w:t xml:space="preserve">, </w:t>
            </w:r>
            <w:r w:rsidRPr="00914BCE">
              <w:rPr>
                <w:rFonts w:asciiTheme="minorHAnsi" w:hAnsiTheme="minorHAnsi" w:cstheme="minorHAnsi"/>
                <w:color w:val="2F2F2F"/>
                <w:shd w:val="clear" w:color="auto" w:fill="FFFFFF"/>
                <w:lang w:val="en-GB"/>
              </w:rPr>
              <w:br/>
            </w:r>
            <w:r w:rsidR="000C5D3E">
              <w:rPr>
                <w:lang w:val="en-GB"/>
              </w:rPr>
              <w:t>C26-EXT-5</w:t>
            </w:r>
            <w:r w:rsidR="000C5D3E" w:rsidRPr="000C5D3E">
              <w:rPr>
                <w:rStyle w:val="FootnoteReference"/>
                <w:rFonts w:cstheme="minorHAnsi"/>
                <w:color w:val="2F2F2F"/>
                <w:shd w:val="clear" w:color="auto" w:fill="FFFFFF"/>
                <w:lang w:val="en-GB"/>
              </w:rPr>
              <w:footnoteReference w:customMarkFollows="1" w:id="1"/>
              <w:sym w:font="Symbol" w:char="F02A"/>
            </w:r>
            <w:r w:rsidRPr="00914BCE">
              <w:rPr>
                <w:rFonts w:asciiTheme="minorHAnsi" w:hAnsiTheme="minorHAnsi" w:cstheme="minorHAnsi"/>
                <w:color w:val="2F2F2F"/>
                <w:shd w:val="clear" w:color="auto" w:fill="FFFFFF"/>
                <w:lang w:val="en-GB"/>
              </w:rPr>
              <w:t xml:space="preserve">, </w:t>
            </w:r>
            <w:r w:rsidRPr="00914BCE">
              <w:rPr>
                <w:rFonts w:asciiTheme="minorHAnsi" w:hAnsiTheme="minorHAnsi" w:cstheme="minorHAnsi"/>
                <w:color w:val="2F2F2F"/>
                <w:shd w:val="clear" w:color="auto" w:fill="FFFFFF"/>
                <w:lang w:val="en-GB"/>
              </w:rPr>
              <w:br/>
            </w:r>
            <w:hyperlink r:id="rId11" w:history="1">
              <w:r w:rsidRPr="00914BCE">
                <w:rPr>
                  <w:rStyle w:val="Hyperlink"/>
                  <w:rFonts w:asciiTheme="minorHAnsi" w:hAnsiTheme="minorHAnsi" w:cstheme="minorHAnsi"/>
                  <w:shd w:val="clear" w:color="auto" w:fill="FFFFFF"/>
                  <w:lang w:val="en-GB"/>
                </w:rPr>
                <w:t>C26</w:t>
              </w:r>
              <w:r w:rsidRPr="00914BCE">
                <w:rPr>
                  <w:rStyle w:val="Hyperlink"/>
                  <w:rFonts w:asciiTheme="minorHAnsi" w:hAnsiTheme="minorHAnsi" w:cstheme="minorHAnsi"/>
                  <w:shd w:val="clear" w:color="auto" w:fill="FFFFFF"/>
                  <w:lang w:val="en-GB"/>
                </w:rPr>
                <w:noBreakHyphen/>
                <w:t>EXT/6</w:t>
              </w:r>
            </w:hyperlink>
            <w:r w:rsidRPr="00914BCE">
              <w:rPr>
                <w:rFonts w:asciiTheme="minorHAnsi" w:hAnsiTheme="minorHAnsi" w:cstheme="minorHAnsi"/>
                <w:color w:val="2F2F2F"/>
                <w:shd w:val="clear" w:color="auto" w:fill="FFFFFF"/>
                <w:lang w:val="en-GB"/>
              </w:rPr>
              <w:t xml:space="preserve">, </w:t>
            </w:r>
            <w:r w:rsidRPr="00914BCE">
              <w:rPr>
                <w:rFonts w:asciiTheme="minorHAnsi" w:hAnsiTheme="minorHAnsi" w:cstheme="minorHAnsi"/>
                <w:color w:val="2F2F2F"/>
                <w:shd w:val="clear" w:color="auto" w:fill="FFFFFF"/>
                <w:lang w:val="en-GB"/>
              </w:rPr>
              <w:br/>
            </w:r>
            <w:hyperlink r:id="rId12" w:history="1">
              <w:r w:rsidRPr="00914BCE">
                <w:rPr>
                  <w:rStyle w:val="Hyperlink"/>
                  <w:rFonts w:asciiTheme="minorHAnsi" w:hAnsiTheme="minorHAnsi" w:cstheme="minorHAnsi"/>
                  <w:shd w:val="clear" w:color="auto" w:fill="FFFFFF"/>
                  <w:lang w:val="en-GB"/>
                </w:rPr>
                <w:t>C26</w:t>
              </w:r>
              <w:r w:rsidRPr="00914BCE">
                <w:rPr>
                  <w:rStyle w:val="Hyperlink"/>
                  <w:rFonts w:asciiTheme="minorHAnsi" w:hAnsiTheme="minorHAnsi" w:cstheme="minorHAnsi"/>
                  <w:shd w:val="clear" w:color="auto" w:fill="FFFFFF"/>
                  <w:lang w:val="en-GB"/>
                </w:rPr>
                <w:noBreakHyphen/>
                <w:t>EXT/7</w:t>
              </w:r>
            </w:hyperlink>
          </w:p>
        </w:tc>
      </w:tr>
      <w:tr w:rsidR="00DC0D50" w:rsidRPr="00DC0D50" w14:paraId="6311EEA7" w14:textId="7A886906" w:rsidTr="00DC0D50">
        <w:trPr>
          <w:cantSplit/>
        </w:trPr>
        <w:tc>
          <w:tcPr>
            <w:tcW w:w="576" w:type="dxa"/>
            <w:tcMar>
              <w:left w:w="0" w:type="dxa"/>
            </w:tcMar>
          </w:tcPr>
          <w:p w14:paraId="0E86C3CB" w14:textId="65A76667" w:rsidR="00DC0D50" w:rsidRDefault="00DC0D50" w:rsidP="00234DB3">
            <w:pPr>
              <w:pStyle w:val="Tabletext"/>
              <w:jc w:val="center"/>
              <w:rPr>
                <w:lang w:val="es-ES"/>
              </w:rPr>
            </w:pPr>
            <w:r>
              <w:rPr>
                <w:lang w:val="es-ES"/>
              </w:rPr>
              <w:t>4</w:t>
            </w:r>
          </w:p>
        </w:tc>
        <w:tc>
          <w:tcPr>
            <w:tcW w:w="5928" w:type="dxa"/>
            <w:gridSpan w:val="2"/>
          </w:tcPr>
          <w:p w14:paraId="31CFD83D" w14:textId="7067C032" w:rsidR="00DC0D50" w:rsidRDefault="00DC0D50" w:rsidP="00DC0D50">
            <w:pPr>
              <w:pStyle w:val="Tabletext"/>
              <w:rPr>
                <w:lang w:val="es-ES"/>
              </w:rPr>
            </w:pPr>
            <w:r>
              <w:rPr>
                <w:lang w:val="es-ES"/>
              </w:rPr>
              <w:t>Clausura de la reunión</w:t>
            </w:r>
          </w:p>
        </w:tc>
        <w:tc>
          <w:tcPr>
            <w:tcW w:w="2710" w:type="dxa"/>
          </w:tcPr>
          <w:p w14:paraId="5E320576" w14:textId="57452EEE" w:rsidR="00DC0D50" w:rsidRDefault="00DC0D50" w:rsidP="00DC0D50">
            <w:pPr>
              <w:pStyle w:val="Tabletext"/>
              <w:jc w:val="center"/>
              <w:rPr>
                <w:lang w:val="es-ES"/>
              </w:rPr>
            </w:pPr>
            <w:r>
              <w:rPr>
                <w:lang w:val="es-ES"/>
              </w:rPr>
              <w:t>–</w:t>
            </w:r>
          </w:p>
        </w:tc>
      </w:tr>
      <w:bookmarkEnd w:id="0"/>
    </w:tbl>
    <w:p w14:paraId="4576126C" w14:textId="77777777" w:rsidR="001559F5" w:rsidRPr="00F679A7" w:rsidRDefault="001559F5">
      <w:pPr>
        <w:tabs>
          <w:tab w:val="clear" w:pos="567"/>
          <w:tab w:val="clear" w:pos="1134"/>
          <w:tab w:val="clear" w:pos="1701"/>
          <w:tab w:val="clear" w:pos="2268"/>
          <w:tab w:val="clear" w:pos="2835"/>
        </w:tabs>
        <w:overflowPunct/>
        <w:autoSpaceDE/>
        <w:autoSpaceDN/>
        <w:adjustRightInd/>
        <w:spacing w:before="0"/>
        <w:textAlignment w:val="auto"/>
        <w:rPr>
          <w:lang w:val="es-ES_tradnl"/>
        </w:rPr>
      </w:pPr>
      <w:r w:rsidRPr="00F679A7">
        <w:rPr>
          <w:lang w:val="es-ES_tradnl"/>
        </w:rPr>
        <w:br w:type="page"/>
      </w:r>
    </w:p>
    <w:p w14:paraId="2B5E9B56" w14:textId="77777777" w:rsidR="00DC0D50" w:rsidRPr="00827F71" w:rsidRDefault="00DC0D50" w:rsidP="00DC0D50">
      <w:pPr>
        <w:pStyle w:val="Heading1"/>
        <w:rPr>
          <w:lang w:val="es-ES"/>
        </w:rPr>
      </w:pPr>
      <w:r>
        <w:rPr>
          <w:lang w:val="es-ES"/>
        </w:rPr>
        <w:lastRenderedPageBreak/>
        <w:t>1</w:t>
      </w:r>
      <w:r>
        <w:rPr>
          <w:lang w:val="es-ES"/>
        </w:rPr>
        <w:tab/>
        <w:t>Apertura de la reunión</w:t>
      </w:r>
    </w:p>
    <w:p w14:paraId="6779EE8F" w14:textId="77777777" w:rsidR="00DC0D50" w:rsidRPr="006A5ACF" w:rsidRDefault="00DC0D50" w:rsidP="00535747">
      <w:pPr>
        <w:jc w:val="both"/>
        <w:rPr>
          <w:spacing w:val="-2"/>
          <w:lang w:val="es-ES"/>
        </w:rPr>
      </w:pPr>
      <w:bookmarkStart w:id="1" w:name="_Hlk201404443"/>
      <w:r w:rsidRPr="006A5ACF">
        <w:rPr>
          <w:spacing w:val="-2"/>
          <w:lang w:val="es-ES"/>
        </w:rPr>
        <w:t>1.1</w:t>
      </w:r>
      <w:r w:rsidRPr="006A5ACF">
        <w:rPr>
          <w:spacing w:val="-2"/>
          <w:lang w:val="es-ES"/>
        </w:rPr>
        <w:tab/>
        <w:t>El Presidente da la bienvenida a los participantes, algunos de los cuales siguen los debates a distancia, y recuerda que, durante su reunión de abril y mayo de 2026, el Consejo debatió los preparativos para la Conferencia de Plenipotenciarios de 2026 (PP-26) y acordó que la Secretaría seguiría supervisando de cerca la evolución de los acontecimientos relacionados con la conferencia, en estrecha coordinación con el país anfitrión y el Departamento de Seguridad de las Naciones Unidas (UNDSS). Cuatro meses antes de la Conferencia se había emprendido un examen exhaustivo de la situación. Habida cuenta de las preguntas e inquietudes planteadas por los Miembros y en aras de la transparencia y la inclusión, el Presidente ha considerado importante convocar una reunión extraordinaria del Consejo. La Conferencia de Plenipotenciarios es el órgano supremo de la Unión, y la participación de todos los Estados Miembros al más alto nivel es esencial para garantizar la legitimidad, la eficacia y el éxito de sus deliberaciones y decisiones. El objetivo de la sesión extraordinaria es examinar la información disponible más reciente, considerar la evaluación preparada por la Secretaría y orientar a la Secretaria General sobre el camino a seguir en relación con los preparativos para la PP-26, a fin de garantizar que cualquier decisión o recomendación se base en la información más actualizada y tenga en cuenta los intereses de toda la Unión. Expresa su agradecimiento a la Secretaria General, a la Secretaría, al país anfitrión y al UNDSS por sus esfuerzos para facilitar los preparativos de la Conferencia y la reunión del Consejo.</w:t>
      </w:r>
      <w:bookmarkEnd w:id="1"/>
    </w:p>
    <w:p w14:paraId="4BC1C641" w14:textId="7FDC72D9" w:rsidR="00DC0D50" w:rsidRPr="00F270C9" w:rsidRDefault="00DC0D50" w:rsidP="00540AC8">
      <w:pPr>
        <w:pStyle w:val="Heading1"/>
        <w:rPr>
          <w:lang w:val="es-ES"/>
        </w:rPr>
      </w:pPr>
      <w:r w:rsidRPr="00540AC8">
        <w:rPr>
          <w:lang w:val="es-ES"/>
        </w:rPr>
        <w:t>2</w:t>
      </w:r>
      <w:r>
        <w:rPr>
          <w:lang w:val="es-ES"/>
        </w:rPr>
        <w:tab/>
      </w:r>
      <w:r w:rsidRPr="00540AC8">
        <w:rPr>
          <w:lang w:val="es-ES"/>
        </w:rPr>
        <w:t>Aprobación del orden del día (Documento</w:t>
      </w:r>
      <w:r w:rsidR="006A5ACF">
        <w:rPr>
          <w:lang w:val="es-ES"/>
        </w:rPr>
        <w:t xml:space="preserve"> </w:t>
      </w:r>
      <w:hyperlink r:id="rId13" w:history="1">
        <w:r w:rsidR="00234DB3">
          <w:rPr>
            <w:rStyle w:val="Hyperlink"/>
            <w:rFonts w:eastAsia="Times New Roman" w:cs="Times New Roman"/>
            <w:szCs w:val="20"/>
            <w:lang w:val="es-ES"/>
          </w:rPr>
          <w:t>C26-EXT/1(Rev.1)</w:t>
        </w:r>
      </w:hyperlink>
      <w:r w:rsidRPr="00540AC8">
        <w:rPr>
          <w:lang w:val="es-ES"/>
        </w:rPr>
        <w:t>)</w:t>
      </w:r>
      <w:hyperlink r:id="rId14" w:history="1"/>
    </w:p>
    <w:p w14:paraId="63DF9170" w14:textId="1BF0DE96" w:rsidR="00DC0D50" w:rsidRPr="00533002" w:rsidRDefault="00DC0D50" w:rsidP="00535747">
      <w:pPr>
        <w:jc w:val="both"/>
        <w:rPr>
          <w:lang w:val="es-ES"/>
        </w:rPr>
      </w:pPr>
      <w:r>
        <w:rPr>
          <w:lang w:val="es-ES"/>
        </w:rPr>
        <w:t>2.1</w:t>
      </w:r>
      <w:r>
        <w:rPr>
          <w:lang w:val="es-ES"/>
        </w:rPr>
        <w:tab/>
        <w:t>El Presidente sugiere que, tras la presentación del Documento C26-EXT/2 por la Secretaría en relación con el punto 3 del orden del día, se invite al Embajador y Representante Permanente del Estado de Qatar ante la Oficina de las Naciones Unidas y otras organizaciones internacionales en Ginebra y al observador de Qatar a presentar las contribuciones de su administración, tras lo cual podrían presentarse los Documentos C26</w:t>
      </w:r>
      <w:r w:rsidR="00540AC8">
        <w:rPr>
          <w:lang w:val="es-ES"/>
        </w:rPr>
        <w:noBreakHyphen/>
      </w:r>
      <w:r>
        <w:rPr>
          <w:lang w:val="es-ES"/>
        </w:rPr>
        <w:t>EXT/7, C26-EXT/4 y C26</w:t>
      </w:r>
      <w:r w:rsidR="006A5ACF">
        <w:rPr>
          <w:lang w:val="es-ES"/>
        </w:rPr>
        <w:noBreakHyphen/>
      </w:r>
      <w:r>
        <w:rPr>
          <w:lang w:val="es-ES"/>
        </w:rPr>
        <w:t xml:space="preserve">EXT/3, en ese orden. Habida cuenta del carácter excepcional de la cuestión, propone además que, en caso de que resulte necesario para facilitar un debate transparente, informado y constructivo, se permita </w:t>
      </w:r>
      <w:r w:rsidR="00637C0A">
        <w:rPr>
          <w:lang w:val="es-ES"/>
        </w:rPr>
        <w:t>al Estado Miembro observador</w:t>
      </w:r>
      <w:r>
        <w:rPr>
          <w:lang w:val="es-ES"/>
        </w:rPr>
        <w:t xml:space="preserve"> de Qatar volver a hablar en el marco del mismo punto del orden del día para responder a las preguntas.</w:t>
      </w:r>
    </w:p>
    <w:p w14:paraId="12DB7020" w14:textId="77777777" w:rsidR="00DC0D50" w:rsidRPr="00533002" w:rsidRDefault="00DC0D50" w:rsidP="00535747">
      <w:pPr>
        <w:jc w:val="both"/>
        <w:rPr>
          <w:lang w:val="es-ES"/>
        </w:rPr>
      </w:pPr>
      <w:r>
        <w:rPr>
          <w:lang w:val="es-ES"/>
        </w:rPr>
        <w:t>2.2</w:t>
      </w:r>
      <w:r>
        <w:rPr>
          <w:lang w:val="es-ES"/>
        </w:rPr>
        <w:tab/>
        <w:t xml:space="preserve">El Consejo </w:t>
      </w:r>
      <w:r>
        <w:rPr>
          <w:b/>
          <w:bCs/>
          <w:lang w:val="es-ES"/>
        </w:rPr>
        <w:t xml:space="preserve">acepta </w:t>
      </w:r>
      <w:r>
        <w:rPr>
          <w:lang w:val="es-ES"/>
        </w:rPr>
        <w:t xml:space="preserve">la propuesta del Presidente y se </w:t>
      </w:r>
      <w:r>
        <w:rPr>
          <w:b/>
          <w:bCs/>
          <w:lang w:val="es-ES"/>
        </w:rPr>
        <w:t>aprueba</w:t>
      </w:r>
      <w:r>
        <w:rPr>
          <w:lang w:val="es-ES"/>
        </w:rPr>
        <w:t xml:space="preserve"> el orden del día.</w:t>
      </w:r>
    </w:p>
    <w:p w14:paraId="07692776" w14:textId="2197AA09" w:rsidR="00DC0D50" w:rsidRPr="00F270C9" w:rsidRDefault="00DC0D50" w:rsidP="00540AC8">
      <w:pPr>
        <w:pStyle w:val="Heading1"/>
        <w:rPr>
          <w:lang w:val="es-ES"/>
        </w:rPr>
      </w:pPr>
      <w:r w:rsidRPr="00540AC8">
        <w:rPr>
          <w:lang w:val="es-ES"/>
        </w:rPr>
        <w:t>3</w:t>
      </w:r>
      <w:r>
        <w:rPr>
          <w:lang w:val="es-ES"/>
        </w:rPr>
        <w:tab/>
      </w:r>
      <w:r w:rsidRPr="00540AC8">
        <w:rPr>
          <w:lang w:val="es-ES"/>
        </w:rPr>
        <w:t xml:space="preserve">Preparativos para la Conferencia de Plenipotenciarios de 2026 (Documentos </w:t>
      </w:r>
      <w:hyperlink r:id="rId15" w:history="1">
        <w:r w:rsidRPr="00FE7340">
          <w:rPr>
            <w:rStyle w:val="Hyperlink"/>
            <w:lang w:val="es-ES"/>
          </w:rPr>
          <w:t>C26</w:t>
        </w:r>
        <w:r w:rsidRPr="00FE7340">
          <w:rPr>
            <w:rStyle w:val="Hyperlink"/>
            <w:lang w:val="es-ES"/>
          </w:rPr>
          <w:noBreakHyphen/>
          <w:t>EXT/2</w:t>
        </w:r>
      </w:hyperlink>
      <w:r w:rsidRPr="007C7E34">
        <w:rPr>
          <w:lang w:val="es-ES"/>
        </w:rPr>
        <w:t xml:space="preserve">, </w:t>
      </w:r>
      <w:hyperlink r:id="rId16" w:history="1">
        <w:r w:rsidRPr="00FE7340">
          <w:rPr>
            <w:rStyle w:val="Hyperlink"/>
            <w:lang w:val="es-ES"/>
          </w:rPr>
          <w:t>C26</w:t>
        </w:r>
        <w:r w:rsidRPr="00FE7340">
          <w:rPr>
            <w:rStyle w:val="Hyperlink"/>
            <w:lang w:val="es-ES"/>
          </w:rPr>
          <w:noBreakHyphen/>
          <w:t>EXT/3</w:t>
        </w:r>
      </w:hyperlink>
      <w:r w:rsidRPr="007C7E34">
        <w:rPr>
          <w:lang w:val="es-ES"/>
        </w:rPr>
        <w:t xml:space="preserve">, </w:t>
      </w:r>
      <w:hyperlink r:id="rId17" w:history="1">
        <w:r w:rsidRPr="00FE7340">
          <w:rPr>
            <w:rStyle w:val="Hyperlink"/>
            <w:lang w:val="es-ES"/>
          </w:rPr>
          <w:t>C26</w:t>
        </w:r>
        <w:r w:rsidRPr="00FE7340">
          <w:rPr>
            <w:rStyle w:val="Hyperlink"/>
            <w:lang w:val="es-ES"/>
          </w:rPr>
          <w:noBreakHyphen/>
          <w:t>EXT/4</w:t>
        </w:r>
      </w:hyperlink>
      <w:r w:rsidRPr="007C7E34">
        <w:rPr>
          <w:lang w:val="es-ES"/>
        </w:rPr>
        <w:t xml:space="preserve">, </w:t>
      </w:r>
      <w:hyperlink r:id="rId18" w:history="1">
        <w:r w:rsidRPr="00FE7340">
          <w:rPr>
            <w:rStyle w:val="Hyperlink"/>
            <w:lang w:val="es-ES"/>
          </w:rPr>
          <w:t>C26</w:t>
        </w:r>
        <w:r w:rsidRPr="00FE7340">
          <w:rPr>
            <w:rStyle w:val="Hyperlink"/>
            <w:lang w:val="es-ES"/>
          </w:rPr>
          <w:noBreakHyphen/>
          <w:t>EXT/6</w:t>
        </w:r>
      </w:hyperlink>
      <w:r w:rsidRPr="007C7E34">
        <w:rPr>
          <w:lang w:val="es-ES"/>
        </w:rPr>
        <w:t xml:space="preserve"> </w:t>
      </w:r>
      <w:r>
        <w:rPr>
          <w:lang w:val="es-ES"/>
        </w:rPr>
        <w:t>y</w:t>
      </w:r>
      <w:r w:rsidRPr="007C7E34">
        <w:rPr>
          <w:lang w:val="es-ES"/>
        </w:rPr>
        <w:t xml:space="preserve"> </w:t>
      </w:r>
      <w:hyperlink r:id="rId19" w:history="1">
        <w:r w:rsidRPr="00FE7340">
          <w:rPr>
            <w:rStyle w:val="Hyperlink"/>
            <w:lang w:val="es-ES"/>
          </w:rPr>
          <w:t>C26</w:t>
        </w:r>
        <w:r w:rsidRPr="00FE7340">
          <w:rPr>
            <w:rStyle w:val="Hyperlink"/>
            <w:lang w:val="es-ES"/>
          </w:rPr>
          <w:noBreakHyphen/>
          <w:t>EXT/7</w:t>
        </w:r>
      </w:hyperlink>
      <w:r w:rsidRPr="00540AC8">
        <w:rPr>
          <w:lang w:val="es-ES"/>
        </w:rPr>
        <w:t>)</w:t>
      </w:r>
      <w:hyperlink r:id="rId20" w:history="1"/>
      <w:hyperlink r:id="rId21" w:history="1"/>
      <w:hyperlink r:id="rId22" w:history="1"/>
      <w:hyperlink r:id="rId23" w:history="1"/>
      <w:hyperlink r:id="rId24" w:history="1"/>
      <w:hyperlink r:id="rId25" w:history="1"/>
    </w:p>
    <w:p w14:paraId="681B974E" w14:textId="77777777" w:rsidR="00DC0D50" w:rsidRPr="00BE0766" w:rsidRDefault="00DC0D50" w:rsidP="006A5ACF">
      <w:pPr>
        <w:jc w:val="both"/>
        <w:rPr>
          <w:spacing w:val="-3"/>
          <w:lang w:val="es-ES"/>
        </w:rPr>
      </w:pPr>
      <w:r w:rsidRPr="00BE0766">
        <w:rPr>
          <w:spacing w:val="-3"/>
          <w:lang w:val="es-ES"/>
        </w:rPr>
        <w:t>3.1</w:t>
      </w:r>
      <w:r w:rsidRPr="00BE0766">
        <w:rPr>
          <w:spacing w:val="-3"/>
          <w:lang w:val="es-ES"/>
        </w:rPr>
        <w:tab/>
        <w:t xml:space="preserve">La Secretaria General expresa su agradecimiento al Presidente por haber convocado la reunión extraordinaria del Consejo y a todos los Estados Miembros del Consejo por su constante participación, apoyo y orientación en un momento tan importante para la Unión. Tal y como solicita el Consejo, la Secretaría sigue supervisando la evolución de los preparativos de la PP-26, en estrecha coordinación con el país anfitrión y el UNDSS; las preguntas e inquietudes planteadas por los Estados Miembros se han señalado a la atención del Presidente y el Vicepresidente del Consejo. A fin de garantizar que todos los Estados Miembros estén informados en igualdad de condiciones, el Presidente ha considerado oportuno convocar la reunión extraordinaria para que el Consejo pueda recibir una evaluación actualizada y objetiva de la situación y ofrecer orientaciones sobre el camino a seguir, teniendo en cuenta las implicaciones de las diversas opciones disponibles. La Secretaría está dispuesta a actuar como decida el Consejo y a seguir </w:t>
      </w:r>
      <w:r w:rsidRPr="00BE0766">
        <w:rPr>
          <w:spacing w:val="-3"/>
          <w:lang w:val="es-ES"/>
        </w:rPr>
        <w:lastRenderedPageBreak/>
        <w:t>colaborando estrechamente con los Estados Miembros para garantizar el éxito de la convocación de una Conferencia segura, inclusiva y eficiente accesible para todas las delegaciones.</w:t>
      </w:r>
    </w:p>
    <w:p w14:paraId="05888972" w14:textId="77777777" w:rsidR="00DC0D50" w:rsidRPr="00533002" w:rsidRDefault="00DC0D50" w:rsidP="00DC0D50">
      <w:pPr>
        <w:jc w:val="both"/>
        <w:rPr>
          <w:lang w:val="es-ES"/>
        </w:rPr>
      </w:pPr>
      <w:r>
        <w:rPr>
          <w:lang w:val="es-ES"/>
        </w:rPr>
        <w:t>3.2</w:t>
      </w:r>
      <w:r>
        <w:rPr>
          <w:lang w:val="es-ES"/>
        </w:rPr>
        <w:tab/>
        <w:t>La Jefa del Departamento de Planificación Estratégica y Relaciones con los Miembros presenta el Documento C26-EXT/2, en el que se evalúa la situación a partir de la información disponible a mediados de agosto de 2026 y se exponen dos escenarios para los preparativos ulteriores de la PP-26, con las correspondientes consideraciones operativas y financieras y consecuencias de procedimiento, incluido el requisito de contar con el apoyo de la mayoría de los Estados Miembros de conformidad con el número 47 del Convenio de la UIT en caso de que cambien las fechas y el lugar de celebración de la Conferencia. Desde la publicación del informe, se ha notificado a la Secretaría que el Centro Internacional de Conferencias de Ginebra (CICG), donde se había efectuado una reserva provisional para enero de 2027, ha recibido otras solicitudes de reservas para el mismo mes. La reserva provisional de la UIT, que había seguido siendo válida sin reserva formal gracias al apoyo de las autoridades suizas, podría perderse si no se confirmaba antes de que finalizara la semana. Se pide al Consejo que examine las hipótesis presentadas, proporcione orientaciones, adopte las decisiones que estime oportunas y dé instrucciones a la Secretaria General en consecuencia.</w:t>
      </w:r>
    </w:p>
    <w:p w14:paraId="620D826D" w14:textId="77777777" w:rsidR="00DC0D50" w:rsidRPr="00533002" w:rsidRDefault="00DC0D50" w:rsidP="00DC0D50">
      <w:pPr>
        <w:jc w:val="both"/>
        <w:rPr>
          <w:lang w:val="es-ES"/>
        </w:rPr>
      </w:pPr>
      <w:r>
        <w:rPr>
          <w:lang w:val="es-ES"/>
        </w:rPr>
        <w:t>3.3</w:t>
      </w:r>
      <w:r>
        <w:rPr>
          <w:lang w:val="es-ES"/>
        </w:rPr>
        <w:tab/>
        <w:t>El observador de Qatar presenta la contribución contenida en el Documento C26-EXT/6 y reafirma el pleno compromiso de su Administración de acoger una Conferencia de Plenipotenciarios exitosa, integradora y productiva que brinde la oportunidad de reunir a la comunidad mundial de las TIC para avanzar en el diálogo, fortalecer la cooperación y configurar el futuro del desarrollo digital en beneficio de todas las naciones. Como país anfitrión, Qatar mantiene su compromiso de dar la bienvenida a todos los Estados Miembros y participantes y de crear el entorno necesario para que la Conferencia alcance sus objetivos en un espíritu de apertura, cooperación y respeto mutuo.</w:t>
      </w:r>
    </w:p>
    <w:p w14:paraId="3B51694A" w14:textId="03D33231" w:rsidR="00DC0D50" w:rsidRPr="00533002" w:rsidRDefault="00DC0D50" w:rsidP="006A5ACF">
      <w:pPr>
        <w:jc w:val="both"/>
        <w:rPr>
          <w:lang w:val="es-ES"/>
        </w:rPr>
      </w:pPr>
      <w:r>
        <w:rPr>
          <w:lang w:val="es-ES"/>
        </w:rPr>
        <w:t>3.4</w:t>
      </w:r>
      <w:r>
        <w:rPr>
          <w:lang w:val="es-ES"/>
        </w:rPr>
        <w:tab/>
        <w:t>La Sra. Hend Abdalrahman Al-Muftah (Embajadora y Representante Permanente del Estado de Qatar ante la Oficina de las Naciones Unidas y otras organizaciones internacionales en Ginebra) presenta una evaluación de riesgos de seguridad y protección, preparada por la Unidad de Gestión de Riesgos de su país, relativa a la situación en Qatar y en la región en general y a los preparativos que se están llevando a cabo para acoger la PP-26. A pesar de la necesidad de ser conscientes del entorno regional y geopolítico, no hay indicios de que la situación de seguridad imperante impida o perturbe significativamente la celebración de la Conferencia. La seguridad y la protección de todos los participantes seguirá siendo la principal prioridad. Su administración se compromete a colaborar con la Unión para elaborar y aplicar un plan de contingencia exhaustivo en caso de que surja algún riesgo importante antes o durante la Conferencia.</w:t>
      </w:r>
    </w:p>
    <w:p w14:paraId="3D40FF9E" w14:textId="77777777" w:rsidR="00DC0D50" w:rsidRPr="00533002" w:rsidRDefault="00DC0D50" w:rsidP="006A5ACF">
      <w:pPr>
        <w:jc w:val="both"/>
        <w:rPr>
          <w:lang w:val="es-ES"/>
        </w:rPr>
      </w:pPr>
      <w:r>
        <w:rPr>
          <w:lang w:val="es-ES"/>
        </w:rPr>
        <w:t>3.5</w:t>
      </w:r>
      <w:r>
        <w:rPr>
          <w:lang w:val="es-ES"/>
        </w:rPr>
        <w:tab/>
        <w:t>En respuesta a una serie de preguntas formuladas por consejeros y observadores antes de la reunión, proporciona información adicional sobre la gestión del espacio aéreo, incluida la capacidad y los horarios de funcionamiento de las líneas aéreas, el volumen de tráfico de pasajeros y los planes de contingencia para los viajes aéreos; planes de evacuación y puntos de reunión en los lugares de celebración de los eventos; y la planificación de contingencias en general, incluso en caso de cierres prolongados del espacio aéreo.</w:t>
      </w:r>
    </w:p>
    <w:p w14:paraId="019B3209" w14:textId="596DAF12" w:rsidR="00DC0D50" w:rsidRPr="00533002" w:rsidRDefault="00DC0D50" w:rsidP="006A5ACF">
      <w:pPr>
        <w:jc w:val="both"/>
        <w:rPr>
          <w:spacing w:val="-2"/>
          <w:lang w:val="es-ES"/>
        </w:rPr>
      </w:pPr>
      <w:r>
        <w:rPr>
          <w:lang w:val="es-ES"/>
        </w:rPr>
        <w:t>3.6</w:t>
      </w:r>
      <w:r>
        <w:rPr>
          <w:lang w:val="es-ES"/>
        </w:rPr>
        <w:tab/>
        <w:t>El consejero de Argelia, en nombre del Grupo Africano</w:t>
      </w:r>
      <w:r w:rsidR="003813DF">
        <w:rPr>
          <w:lang w:val="es-ES"/>
        </w:rPr>
        <w:t xml:space="preserve"> de Embajadores en Ginebra</w:t>
      </w:r>
      <w:r>
        <w:rPr>
          <w:lang w:val="es-ES"/>
        </w:rPr>
        <w:t>, presenta el Documento C26</w:t>
      </w:r>
      <w:r w:rsidR="00540AC8">
        <w:rPr>
          <w:lang w:val="es-ES"/>
        </w:rPr>
        <w:noBreakHyphen/>
      </w:r>
      <w:r>
        <w:rPr>
          <w:lang w:val="es-ES"/>
        </w:rPr>
        <w:t xml:space="preserve">EXT/7, que contiene una carta al Presidente en la que se expresa la plena confianza del Grupo en la capacidad de Qatar para acoger con éxito la PP-26 en noviembre de 2026, de conformidad con la Resolución 77 (Rev. Bucarest, 2022) de la </w:t>
      </w:r>
      <w:r>
        <w:rPr>
          <w:lang w:val="es-ES"/>
        </w:rPr>
        <w:lastRenderedPageBreak/>
        <w:t>Conferencia de Plenipotenciarios y el Acuerdo 636 (C23) del Consejo. A fin de garantizar la continuidad y evitar incertidumbres, costes adicionales y dificultades operacionales, el Grupo está firmemente convencido de que deben mantenerse las disposiciones ya aprobadas. Los preparativos están muy avanzados y se han efectuado importantes inversiones; además, no se han identificado consideraciones de seguridad que impidan la organización segura y ordenada de la Conferencia en Doha.</w:t>
      </w:r>
    </w:p>
    <w:p w14:paraId="39DB2A62" w14:textId="77777777" w:rsidR="00DC0D50" w:rsidRPr="00533002" w:rsidRDefault="00DC0D50" w:rsidP="006A5ACF">
      <w:pPr>
        <w:jc w:val="both"/>
        <w:rPr>
          <w:lang w:val="es-ES"/>
        </w:rPr>
      </w:pPr>
      <w:r>
        <w:rPr>
          <w:lang w:val="es-ES"/>
        </w:rPr>
        <w:t>3.7</w:t>
      </w:r>
      <w:r>
        <w:rPr>
          <w:lang w:val="es-ES"/>
        </w:rPr>
        <w:tab/>
        <w:t>El observador de la Federación de Rusia, hablando también en nombre de Azerbaiyán, Belarús y Uzbekistán, presenta el Documento C26-EXT/4, en el que se detallan los fundamentos jurídicos sobre los que se han tomado las disposiciones para la PP-26 y se analizan los riesgos jurídicos y financieros de aplazar la Conferencia hasta enero de 2027. En su opinión, ese aplazamiento sería inaceptable, sobre todo porque el UNDSS no ha recomendado directamente hasta la fecha la celebración del evento en Doha en noviembre de 2026. La PP-26 debería desarrollarse según lo previsto, con un orden del día completo.</w:t>
      </w:r>
    </w:p>
    <w:p w14:paraId="27F5C466" w14:textId="438AA429" w:rsidR="00DC0D50" w:rsidRPr="00533002" w:rsidRDefault="00DC0D50" w:rsidP="006A5ACF">
      <w:pPr>
        <w:jc w:val="both"/>
        <w:rPr>
          <w:lang w:val="es-ES"/>
        </w:rPr>
      </w:pPr>
      <w:r>
        <w:rPr>
          <w:lang w:val="es-ES"/>
        </w:rPr>
        <w:t>3.8</w:t>
      </w:r>
      <w:r>
        <w:rPr>
          <w:lang w:val="es-ES"/>
        </w:rPr>
        <w:tab/>
        <w:t xml:space="preserve">La observadora del Sudán, en nombre </w:t>
      </w:r>
      <w:r w:rsidR="001338CA">
        <w:rPr>
          <w:lang w:val="es-ES"/>
        </w:rPr>
        <w:t>del Consejo de Embajadores</w:t>
      </w:r>
      <w:r>
        <w:rPr>
          <w:lang w:val="es-ES"/>
        </w:rPr>
        <w:t xml:space="preserve"> Árabes</w:t>
      </w:r>
      <w:r w:rsidR="001338CA">
        <w:rPr>
          <w:lang w:val="es-ES"/>
        </w:rPr>
        <w:t xml:space="preserve"> en Ginebra</w:t>
      </w:r>
      <w:r>
        <w:rPr>
          <w:lang w:val="es-ES"/>
        </w:rPr>
        <w:t>, presenta el Documento C26-EXT/3, que contiene una carta a la Presidencia en la que se insiste en la importancia de garantizar una convocatoria exitosa y ordenada de la PP-26 y se expresa la plena confianza de los Estados Árabes en la capacidad de Qatar para acoger el evento. La información adicional proporcionada durante la reunión del Consejo pone de relieve el alcance de los preparativos que se están realizando. Cambiar el lugar o las fechas de la Conferencia tendría consecuencias financieras, logísticas y de otra índole y podría afectar la capacidad de las delegaciones para participar plenamente. Cualquier cambio de esa índole debería basarse en evaluaciones técnicas y de seguridad objetivas y actualizadas, así como en decisiones ya adoptadas por los órganos competentes de la Unión.</w:t>
      </w:r>
    </w:p>
    <w:p w14:paraId="1A7C5759" w14:textId="4318B604" w:rsidR="00DC0D50" w:rsidRPr="00533002" w:rsidRDefault="00DC0D50" w:rsidP="006A5ACF">
      <w:pPr>
        <w:jc w:val="both"/>
        <w:rPr>
          <w:spacing w:val="-2"/>
          <w:lang w:val="es-ES"/>
        </w:rPr>
      </w:pPr>
      <w:r>
        <w:rPr>
          <w:lang w:val="es-ES"/>
        </w:rPr>
        <w:t>3.9</w:t>
      </w:r>
      <w:r>
        <w:rPr>
          <w:lang w:val="es-ES"/>
        </w:rPr>
        <w:tab/>
        <w:t xml:space="preserve">Los consejeros y observadores, algunos de los cuales participaron a distancia, acogen con beneplácito la celebración de una reunión extraordinaria del Consejo para debatir la cuestión y expresan su agradecimiento por la detallada información proporcionada por la Secretaría y la Delegación de Qatar. Los oradores elogian los amplios preparativos ya emprendidos por el gobierno del país anfitrión para garantizar que la PP-26 pudiera desarrollarse según lo previsto, de conformidad con la </w:t>
      </w:r>
      <w:r w:rsidRPr="009E6018">
        <w:rPr>
          <w:lang w:val="es-ES"/>
        </w:rPr>
        <w:t>Resolución 77</w:t>
      </w:r>
      <w:r>
        <w:rPr>
          <w:lang w:val="es-ES"/>
        </w:rPr>
        <w:t xml:space="preserve"> (Rev. Bucarest, 2022) y el Acuerdo 636 (C23) del Consejo, y expresan su plena confianza en la capacidad de Qatar para organizar una conferencia segura, protegida, exitosa e inclusiva. Se expresa un apoyo unánime a la celebración del evento en Doha en noviembre de 2026, como estaba previsto. Las consideraciones jurídicas, logísticas, financieras y de seguridad, incluida la última evaluación del UNDSS, apuntan a mantener los acuerdos actuales como la mejor opción, a menos que se produjera un deterioro de la situación de seguridad en la región</w:t>
      </w:r>
      <w:r w:rsidR="00902057">
        <w:rPr>
          <w:lang w:val="es-ES"/>
        </w:rPr>
        <w:t>.</w:t>
      </w:r>
      <w:r>
        <w:rPr>
          <w:lang w:val="es-ES"/>
        </w:rPr>
        <w:t xml:space="preserve"> </w:t>
      </w:r>
      <w:r w:rsidR="00902057">
        <w:rPr>
          <w:lang w:val="es-ES"/>
        </w:rPr>
        <w:t>Algunos Consejeros</w:t>
      </w:r>
      <w:r>
        <w:rPr>
          <w:lang w:val="es-ES"/>
        </w:rPr>
        <w:t xml:space="preserve"> también hacen hincapié en la necesidad de un plan de contingencia sólido contra esa posibilidad.</w:t>
      </w:r>
    </w:p>
    <w:p w14:paraId="2F2FA017" w14:textId="77777777" w:rsidR="00DC0D50" w:rsidRPr="00BE0766" w:rsidRDefault="00DC0D50" w:rsidP="006A5ACF">
      <w:pPr>
        <w:jc w:val="both"/>
        <w:rPr>
          <w:spacing w:val="-2"/>
          <w:lang w:val="es-ES"/>
        </w:rPr>
      </w:pPr>
      <w:r w:rsidRPr="00BE0766">
        <w:rPr>
          <w:spacing w:val="-2"/>
          <w:lang w:val="es-ES"/>
        </w:rPr>
        <w:t>3.10</w:t>
      </w:r>
      <w:r w:rsidRPr="00BE0766">
        <w:rPr>
          <w:spacing w:val="-2"/>
          <w:lang w:val="es-ES"/>
        </w:rPr>
        <w:tab/>
        <w:t>Habida cuenta del fuerte apoyo expresado, el Presidente entiende que el Consejo acuerda no modificar el Acuerdo 636 (C23) del Consejo y, en consecuencia, que acuerda encargar a la Secretaría que prosiga los preparativos para la Conferencia de Plenipotenciarios que se celebrará en Doha (Qatar) del lunes 9 de noviembre al viernes 27 de noviembre de 2026.</w:t>
      </w:r>
    </w:p>
    <w:p w14:paraId="511D5305" w14:textId="6136ED09" w:rsidR="00DC0D50" w:rsidRPr="00533002" w:rsidRDefault="00DC0D50" w:rsidP="00DC0D50">
      <w:pPr>
        <w:rPr>
          <w:lang w:val="es-ES"/>
        </w:rPr>
      </w:pPr>
      <w:r>
        <w:rPr>
          <w:lang w:val="es-ES"/>
        </w:rPr>
        <w:t>3.11</w:t>
      </w:r>
      <w:r>
        <w:rPr>
          <w:lang w:val="es-ES"/>
        </w:rPr>
        <w:tab/>
        <w:t xml:space="preserve">Así </w:t>
      </w:r>
      <w:r>
        <w:rPr>
          <w:b/>
          <w:bCs/>
          <w:lang w:val="es-ES"/>
        </w:rPr>
        <w:t>se acuerda</w:t>
      </w:r>
      <w:r>
        <w:rPr>
          <w:lang w:val="es-ES"/>
        </w:rPr>
        <w:t>.</w:t>
      </w:r>
    </w:p>
    <w:p w14:paraId="6D06B749" w14:textId="77777777" w:rsidR="00DC0D50" w:rsidRPr="00533002" w:rsidRDefault="00DC0D50" w:rsidP="006A5ACF">
      <w:pPr>
        <w:jc w:val="both"/>
        <w:rPr>
          <w:lang w:val="es-ES"/>
        </w:rPr>
      </w:pPr>
      <w:r>
        <w:rPr>
          <w:lang w:val="es-ES"/>
        </w:rPr>
        <w:t>3.12</w:t>
      </w:r>
      <w:r>
        <w:rPr>
          <w:lang w:val="es-ES"/>
        </w:rPr>
        <w:tab/>
        <w:t>La Sra. Abdalrahman Al-Muftah (Qatar) expresa su agradecimiento por la confianza depositada en su país y en su Gobierno para acoger la Conferencia y por el apoyo ofrecido por todos los interesados.</w:t>
      </w:r>
    </w:p>
    <w:p w14:paraId="35B26EDF" w14:textId="77777777" w:rsidR="00DC0D50" w:rsidRPr="00533002" w:rsidRDefault="00DC0D50" w:rsidP="006A5ACF">
      <w:pPr>
        <w:jc w:val="both"/>
        <w:rPr>
          <w:lang w:val="es-ES"/>
        </w:rPr>
      </w:pPr>
      <w:r>
        <w:rPr>
          <w:lang w:val="es-ES"/>
        </w:rPr>
        <w:lastRenderedPageBreak/>
        <w:t>3.13</w:t>
      </w:r>
      <w:r>
        <w:rPr>
          <w:lang w:val="es-ES"/>
        </w:rPr>
        <w:tab/>
        <w:t>El Presidente invita al Consejo a examinar la propuesta de autorizar a la Secretaria General a cancelar la Conferencia en Qatar si determina que, debido a la evolución de las circunstancias, la Conferencia ya no puede celebrarse de manera segura y eficaz en Doha.</w:t>
      </w:r>
    </w:p>
    <w:p w14:paraId="19542486" w14:textId="77777777" w:rsidR="00DC0D50" w:rsidRPr="00533002" w:rsidRDefault="00DC0D50" w:rsidP="006A5ACF">
      <w:pPr>
        <w:jc w:val="both"/>
        <w:rPr>
          <w:lang w:val="es-ES"/>
        </w:rPr>
      </w:pPr>
      <w:r>
        <w:rPr>
          <w:lang w:val="es-ES"/>
        </w:rPr>
        <w:t>3.14</w:t>
      </w:r>
      <w:r>
        <w:rPr>
          <w:lang w:val="es-ES"/>
        </w:rPr>
        <w:tab/>
        <w:t>Los consejeros expresaron un amplio apoyo a la propuesta, pero varios preguntaron por los aspectos prácticos logísticos que entrañaría y los fundamentos jurídicos que la sustentan. Se destaca la importancia de que se consulte estrechamente al Consejo de inmediato, en caso de que sea necesario adoptar una decisión al respecto. Un consejero opina que el Consejo no está facultado para delegar esa decisión en la Secretaria General, ya que cambiar las fechas o el lugar acordados para la PP-26 supondría modificar una decisión de la Conferencia de Plenipotenciarios; si las circunstancias lo exigen, se convocará una segunda reunión extraordinaria del Consejo para considerar la cancelación de la Conferencia y recabar posteriormente la aprobación requerida de la mayoría de los Estados Miembros. Otro consejero dice que la celebración de otra reunión extraordinaria del Consejo antes de la PP-26 brindaría la oportunidad de proporcionar a los Estados Miembros información adicional y garantías. Un tercer consejero destaca la necesidad de que el Consejo confíe en los funcionarios de elección de la Unión para adoptar decisiones cuando el tiempo apremiara.</w:t>
      </w:r>
    </w:p>
    <w:p w14:paraId="4C09F568" w14:textId="77777777" w:rsidR="00DC0D50" w:rsidRPr="00533002" w:rsidRDefault="00DC0D50" w:rsidP="006A5ACF">
      <w:pPr>
        <w:jc w:val="both"/>
        <w:rPr>
          <w:lang w:val="es-ES"/>
        </w:rPr>
      </w:pPr>
      <w:r>
        <w:rPr>
          <w:lang w:val="es-ES"/>
        </w:rPr>
        <w:t>3.15</w:t>
      </w:r>
      <w:r>
        <w:rPr>
          <w:lang w:val="es-ES"/>
        </w:rPr>
        <w:tab/>
        <w:t>El Presidente destaca la urgencia del asunto, dice que, si la situación sobre el terreno o las recomendaciones del UNDSS cambian poco antes de la Conferencia, es posible que no haya tiempo para que el Consejo se reúna. Habrá que dar al país anfitrión la certidumbre que necesita para poder proseguir sus preparativos. En lugar de celebrar otra reunión extraordinaria del Consejo, sugiere que el país anfitrión organice una sesión de información en línea antes de la Conferencia.</w:t>
      </w:r>
    </w:p>
    <w:p w14:paraId="3518709F" w14:textId="697FCA2C" w:rsidR="00DC0D50" w:rsidRPr="00533002" w:rsidRDefault="00DC0D50" w:rsidP="006A5ACF">
      <w:pPr>
        <w:jc w:val="both"/>
        <w:rPr>
          <w:lang w:val="es-ES"/>
        </w:rPr>
      </w:pPr>
      <w:r>
        <w:rPr>
          <w:lang w:val="es-ES"/>
        </w:rPr>
        <w:t>3.16</w:t>
      </w:r>
      <w:r>
        <w:rPr>
          <w:lang w:val="es-ES"/>
        </w:rPr>
        <w:tab/>
        <w:t>En respuesta a las preguntas de varios consejeros, el Asesor Jurídico explica que</w:t>
      </w:r>
      <w:r w:rsidR="00902057">
        <w:rPr>
          <w:lang w:val="es-ES"/>
        </w:rPr>
        <w:t xml:space="preserve">, de </w:t>
      </w:r>
      <w:r>
        <w:rPr>
          <w:lang w:val="es-ES"/>
        </w:rPr>
        <w:t>conformidad con el Artículo 1 del Convenio de la UIT, las fechas exactas y el lugar de celebración de una Conferencia de Plenipotenciarios pueden modificarse a propuesta del Consejo, a reserva del acuerdo de la mayoría de los Estados Miembros. La Resolución 83 (C</w:t>
      </w:r>
      <w:r w:rsidR="005B4E0C">
        <w:rPr>
          <w:lang w:val="es-ES"/>
        </w:rPr>
        <w:noBreakHyphen/>
      </w:r>
      <w:r>
        <w:rPr>
          <w:lang w:val="es-ES"/>
        </w:rPr>
        <w:t xml:space="preserve">1948, modificada por última vez en </w:t>
      </w:r>
      <w:r w:rsidR="005B4E0C">
        <w:rPr>
          <w:lang w:val="es-ES"/>
        </w:rPr>
        <w:t>C-</w:t>
      </w:r>
      <w:r>
        <w:rPr>
          <w:lang w:val="es-ES"/>
        </w:rPr>
        <w:t>1990) del Consejo autoriza explícitamente a la Secretaría a incluir disposiciones en los acuerdos con el país anfitrión que contemplen la posible cancelación o aplazamiento de una conferencia. Autorizar a la Secretaria General a cancelar la Conferencia en las condiciones indicadas en el Documento C26-EXT/2 le daría una discrecionalidad limitada para actuar ante circunstancias que escapan al control de la Unión o del país anfitrión. Si, por ejemplo, el UNDSS desaconsejase que el personal viajara a la región, la Conferencia no podría llevarse a cabo en la práctica como estaba previsto; sin embargo, la cancelación de las disposiciones para Doha no implica la cancelación total de la Conferencia de Plenipotenciarios de 2026. Si se cancelara la Conferencia de Doha, la Secretaria General y el Presidente del Consejo tendrían que convocar una reunión extraordinaria del Consejo con el único fin de decidir cómo proceder en tal caso.</w:t>
      </w:r>
    </w:p>
    <w:p w14:paraId="05A55570" w14:textId="667BF983" w:rsidR="00DC0D50" w:rsidRPr="00533002" w:rsidRDefault="00DC0D50" w:rsidP="006A5ACF">
      <w:pPr>
        <w:jc w:val="both"/>
        <w:rPr>
          <w:lang w:val="es-ES"/>
        </w:rPr>
      </w:pPr>
      <w:r>
        <w:rPr>
          <w:lang w:val="es-ES"/>
        </w:rPr>
        <w:t>3.17</w:t>
      </w:r>
      <w:r>
        <w:rPr>
          <w:lang w:val="es-ES"/>
        </w:rPr>
        <w:tab/>
      </w:r>
      <w:r w:rsidR="00FC327E">
        <w:rPr>
          <w:lang w:val="es-ES"/>
        </w:rPr>
        <w:t>Teniendo en cuenta las sugerencias de los Consejeros en relación con el procedimiento y las circunstancias específicas en las que podría cancelarse la PP de Do</w:t>
      </w:r>
      <w:r w:rsidR="00B84D3D">
        <w:rPr>
          <w:lang w:val="es-ES"/>
        </w:rPr>
        <w:t>h</w:t>
      </w:r>
      <w:r w:rsidR="00FC327E">
        <w:rPr>
          <w:lang w:val="es-ES"/>
        </w:rPr>
        <w:t>a,</w:t>
      </w:r>
      <w:r w:rsidR="00B84D3D">
        <w:rPr>
          <w:lang w:val="es-ES"/>
        </w:rPr>
        <w:t xml:space="preserve"> </w:t>
      </w:r>
      <w:r w:rsidR="00020E71">
        <w:rPr>
          <w:lang w:val="es-ES"/>
        </w:rPr>
        <w:t>el</w:t>
      </w:r>
      <w:r>
        <w:rPr>
          <w:lang w:val="es-ES"/>
        </w:rPr>
        <w:t xml:space="preserve"> Presidente entiende que el Consejo acuerda autorizar a la Secretaria Geneal, en estrecha e inmediata coordinación con los Estados Miembros del Consejo, a cancelar la Conferencia en Qatar, si determina que, debido a las circunstancias en desarrollo, la Conferencia ya no puede celebrarse de manera segura y eficaz en Doha, incluso en circunstancias en que las orientaciones de seguridad pertinentes de las Naciones Unidas impidan viajar o desplegar personal de las Naciones Unidas en la región.</w:t>
      </w:r>
    </w:p>
    <w:p w14:paraId="32CB5CB7" w14:textId="77777777" w:rsidR="00DC0D50" w:rsidRPr="00533002" w:rsidRDefault="00DC0D50" w:rsidP="006A5ACF">
      <w:pPr>
        <w:jc w:val="both"/>
        <w:rPr>
          <w:lang w:val="es-ES"/>
        </w:rPr>
      </w:pPr>
      <w:r>
        <w:rPr>
          <w:lang w:val="es-ES"/>
        </w:rPr>
        <w:lastRenderedPageBreak/>
        <w:t>3.18</w:t>
      </w:r>
      <w:r>
        <w:rPr>
          <w:lang w:val="es-ES"/>
        </w:rPr>
        <w:tab/>
        <w:t xml:space="preserve">Así </w:t>
      </w:r>
      <w:r w:rsidRPr="005B4E0C">
        <w:rPr>
          <w:b/>
          <w:bCs/>
          <w:lang w:val="es-ES"/>
        </w:rPr>
        <w:t>s</w:t>
      </w:r>
      <w:r>
        <w:rPr>
          <w:b/>
          <w:bCs/>
          <w:lang w:val="es-ES"/>
        </w:rPr>
        <w:t>e acuerda</w:t>
      </w:r>
      <w:r>
        <w:rPr>
          <w:lang w:val="es-ES"/>
        </w:rPr>
        <w:t>.</w:t>
      </w:r>
    </w:p>
    <w:p w14:paraId="3EB0A6B5" w14:textId="3AF0F5A9" w:rsidR="00DC0D50" w:rsidRPr="00533002" w:rsidRDefault="00DC0D50" w:rsidP="006A5ACF">
      <w:pPr>
        <w:jc w:val="both"/>
        <w:rPr>
          <w:lang w:val="es-ES"/>
        </w:rPr>
      </w:pPr>
      <w:r>
        <w:rPr>
          <w:lang w:val="es-ES"/>
        </w:rPr>
        <w:t>3.19</w:t>
      </w:r>
      <w:r>
        <w:rPr>
          <w:lang w:val="es-ES"/>
        </w:rPr>
        <w:tab/>
        <w:t>El consejero de China expresa su reserva con respecto al acuerdo al que se acaba de llegar.</w:t>
      </w:r>
      <w:r w:rsidR="001B7251">
        <w:rPr>
          <w:lang w:val="es-ES"/>
        </w:rPr>
        <w:t xml:space="preserve"> El Presidente toma nota de esa reserva.</w:t>
      </w:r>
    </w:p>
    <w:p w14:paraId="19F83982" w14:textId="0E37B38C" w:rsidR="00DC0D50" w:rsidRPr="00BE0766" w:rsidRDefault="00DC0D50" w:rsidP="006A5ACF">
      <w:pPr>
        <w:jc w:val="both"/>
        <w:rPr>
          <w:spacing w:val="-2"/>
          <w:lang w:val="es-ES"/>
        </w:rPr>
      </w:pPr>
      <w:r w:rsidRPr="00BE0766">
        <w:rPr>
          <w:spacing w:val="-2"/>
          <w:lang w:val="es-ES"/>
        </w:rPr>
        <w:t>3.20</w:t>
      </w:r>
      <w:r w:rsidRPr="00BE0766">
        <w:rPr>
          <w:spacing w:val="-2"/>
          <w:lang w:val="es-ES"/>
        </w:rPr>
        <w:tab/>
        <w:t>El Presidente entiende que el Consejo acuerda solicitar a la Secretaría y a Qatar que finalicen y firmen el acuerdo de país anfitrión antes del 10 de septiembre de 2026, y que el acuerdo debe incluir disposiciones que permitan a la Secretaria General cancelar la Conferencia sin coste ni responsabilidad para la UIT, si determina que, debido a las circunstancias en desarrollo, la Conferencia ya no puede llevarse a cabo de manera segura y eficaz en Doha.</w:t>
      </w:r>
    </w:p>
    <w:p w14:paraId="62C2FC34" w14:textId="77777777" w:rsidR="00DC0D50" w:rsidRPr="00533002" w:rsidRDefault="00DC0D50" w:rsidP="006A5ACF">
      <w:pPr>
        <w:jc w:val="both"/>
        <w:rPr>
          <w:lang w:val="es-ES"/>
        </w:rPr>
      </w:pPr>
      <w:r>
        <w:rPr>
          <w:lang w:val="es-ES"/>
        </w:rPr>
        <w:t>3.21</w:t>
      </w:r>
      <w:r>
        <w:rPr>
          <w:lang w:val="es-ES"/>
        </w:rPr>
        <w:tab/>
        <w:t xml:space="preserve">Así </w:t>
      </w:r>
      <w:r>
        <w:rPr>
          <w:b/>
          <w:bCs/>
          <w:lang w:val="es-ES"/>
        </w:rPr>
        <w:t>se acuerda</w:t>
      </w:r>
      <w:r>
        <w:rPr>
          <w:lang w:val="es-ES"/>
        </w:rPr>
        <w:t>.</w:t>
      </w:r>
    </w:p>
    <w:p w14:paraId="6D5237C5" w14:textId="77777777" w:rsidR="00DC0D50" w:rsidRPr="00533002" w:rsidRDefault="00DC0D50" w:rsidP="006A5ACF">
      <w:pPr>
        <w:jc w:val="both"/>
        <w:rPr>
          <w:lang w:val="es-ES"/>
        </w:rPr>
      </w:pPr>
      <w:r>
        <w:rPr>
          <w:lang w:val="es-ES"/>
        </w:rPr>
        <w:t>3.22</w:t>
      </w:r>
      <w:r>
        <w:rPr>
          <w:lang w:val="es-ES"/>
        </w:rPr>
        <w:tab/>
        <w:t>El Presidente invita al Consejo a considerar el plan de contingencia esbozado en el Documento C26-EXT/2, según el cual, si fuera necesario cancelar la Conferencia de Doha, se recurriría en su lugar al CICG.</w:t>
      </w:r>
    </w:p>
    <w:p w14:paraId="06327B74" w14:textId="77777777" w:rsidR="00DC0D50" w:rsidRPr="00533002" w:rsidRDefault="00DC0D50" w:rsidP="006A5ACF">
      <w:pPr>
        <w:jc w:val="both"/>
        <w:rPr>
          <w:lang w:val="es-ES"/>
        </w:rPr>
      </w:pPr>
      <w:r>
        <w:rPr>
          <w:lang w:val="es-ES"/>
        </w:rPr>
        <w:t>3.23</w:t>
      </w:r>
      <w:r>
        <w:rPr>
          <w:lang w:val="es-ES"/>
        </w:rPr>
        <w:tab/>
        <w:t>Si bien algunos consejeros y observadores dicen que apoyan el plan de contingencia propuesto como medida de seguridad necesaria para facilitar la continuidad y la previsibilidad y garantizar que la Conferencia pueda celebrarse de manera oportuna, incluso si las circunstancias cambian, otros se declaran preocupados por los elevados costes que ello implica y preguntan por otras opciones, incluida la posibilidad de celebrar la Conferencia en Doha pero en una fecha posterior. Algunos sugieren que sería prematuro comprometerse con una fecha y lugar de celebración específicos en la presente reunión. Un consejero solicita un desglose detallado de las cifras presentadas en el Documento C26-EXT/2 en relación con los costes de la celebración de la Conferencia en el CICG en enero de 2027.</w:t>
      </w:r>
    </w:p>
    <w:p w14:paraId="59B6C06B" w14:textId="77777777" w:rsidR="00DC0D50" w:rsidRPr="00533002" w:rsidRDefault="00DC0D50" w:rsidP="006A5ACF">
      <w:pPr>
        <w:jc w:val="both"/>
        <w:rPr>
          <w:lang w:val="es-ES"/>
        </w:rPr>
      </w:pPr>
      <w:r>
        <w:rPr>
          <w:lang w:val="es-ES"/>
        </w:rPr>
        <w:t>3.24</w:t>
      </w:r>
      <w:r>
        <w:rPr>
          <w:lang w:val="es-ES"/>
        </w:rPr>
        <w:tab/>
        <w:t>El consejero de Suiza dice que la contratación del CICG para eventos de la Unión suele estar subvencionada por su Gobierno; sin embargo, esa subvención no se aplica a las tasas de anulación que pudieran originarse, incluso en lo que respecta a los acuerdos de contingencia en cuestión.</w:t>
      </w:r>
    </w:p>
    <w:p w14:paraId="5300BA50" w14:textId="77777777" w:rsidR="00DC0D50" w:rsidRPr="00533002" w:rsidRDefault="00DC0D50" w:rsidP="006A5ACF">
      <w:pPr>
        <w:jc w:val="both"/>
        <w:rPr>
          <w:lang w:val="es-ES"/>
        </w:rPr>
      </w:pPr>
      <w:r>
        <w:rPr>
          <w:lang w:val="es-ES"/>
        </w:rPr>
        <w:t>3.25</w:t>
      </w:r>
      <w:r>
        <w:rPr>
          <w:lang w:val="es-ES"/>
        </w:rPr>
        <w:tab/>
        <w:t>El consejero de Rumania, que ha acogido la Conferencia de Plenipotenciarios (Bucarest, 2022), sugiere que la situación se resuelva mediante la inclusión de las disposiciones oportunas en el acuerdo de país anfitrión que se firmará entre Qatar y la Unión.</w:t>
      </w:r>
    </w:p>
    <w:p w14:paraId="5DF8690D" w14:textId="77777777" w:rsidR="00DC0D50" w:rsidRPr="00533002" w:rsidRDefault="00DC0D50" w:rsidP="006A5ACF">
      <w:pPr>
        <w:jc w:val="both"/>
        <w:rPr>
          <w:lang w:val="es-ES"/>
        </w:rPr>
      </w:pPr>
      <w:r>
        <w:rPr>
          <w:lang w:val="es-ES"/>
        </w:rPr>
        <w:t>3.26</w:t>
      </w:r>
      <w:r>
        <w:rPr>
          <w:lang w:val="es-ES"/>
        </w:rPr>
        <w:tab/>
        <w:t>La Secretaria General destaca la importancia de aprobar un plan de contingencia como elemento sensato, prudente y responsable de las disposiciones para la Conferencia. Garantizar un lugar de celebración que permita el aplazamiento más breve posible, si las circunstancias así lo exigen, redunda en beneficio de la Unión.</w:t>
      </w:r>
    </w:p>
    <w:p w14:paraId="1DE2F755" w14:textId="6C87886E" w:rsidR="00DC0D50" w:rsidRPr="00533002" w:rsidRDefault="00DC0D50" w:rsidP="006A5ACF">
      <w:pPr>
        <w:jc w:val="both"/>
        <w:rPr>
          <w:lang w:val="es-ES"/>
        </w:rPr>
      </w:pPr>
      <w:r>
        <w:rPr>
          <w:lang w:val="es-ES"/>
        </w:rPr>
        <w:t>3.27</w:t>
      </w:r>
      <w:r>
        <w:rPr>
          <w:lang w:val="es-ES"/>
        </w:rPr>
        <w:tab/>
        <w:t>El Vicesecretario General añade que la Secretaría ha llevado a cabo una búsqueda exhaustiva de lugares adecuados en Ginebra. La opción presentada representa la disponibilidad más temprana</w:t>
      </w:r>
      <w:r w:rsidR="005576F0">
        <w:rPr>
          <w:lang w:val="es-ES"/>
        </w:rPr>
        <w:t>, así como el coste más bajo</w:t>
      </w:r>
      <w:r>
        <w:rPr>
          <w:lang w:val="es-ES"/>
        </w:rPr>
        <w:t>; si no se adopta y la Conferencia de Doha se cancela con poca antelación, es probable que pasen por lo menos seis meses antes de que</w:t>
      </w:r>
      <w:r w:rsidR="00FC6091">
        <w:rPr>
          <w:lang w:val="es-ES"/>
        </w:rPr>
        <w:t xml:space="preserve"> la Conferencia pueda celebrarse debido </w:t>
      </w:r>
      <w:r w:rsidR="00B82A52">
        <w:rPr>
          <w:lang w:val="es-ES"/>
        </w:rPr>
        <w:t xml:space="preserve">a </w:t>
      </w:r>
      <w:r w:rsidR="000B294D">
        <w:rPr>
          <w:lang w:val="es-ES"/>
        </w:rPr>
        <w:t>las</w:t>
      </w:r>
      <w:r>
        <w:rPr>
          <w:lang w:val="es-ES"/>
        </w:rPr>
        <w:t xml:space="preserve"> disposiciones alternativas</w:t>
      </w:r>
      <w:r w:rsidR="000B294D">
        <w:rPr>
          <w:lang w:val="es-ES"/>
        </w:rPr>
        <w:t xml:space="preserve"> que habría que tomar en ese momento</w:t>
      </w:r>
      <w:r>
        <w:rPr>
          <w:lang w:val="es-ES"/>
        </w:rPr>
        <w:t xml:space="preserve">. Retrasar la Conferencia retrasaría sus decisiones, lo que tendría </w:t>
      </w:r>
      <w:r w:rsidR="00C6776E">
        <w:rPr>
          <w:lang w:val="es-ES"/>
        </w:rPr>
        <w:t>importantes repercusiones</w:t>
      </w:r>
      <w:r>
        <w:rPr>
          <w:lang w:val="es-ES"/>
        </w:rPr>
        <w:t xml:space="preserve"> para el funcionamiento de la Unión. Dado que el CICG ha informado recientemente a la Secretaría de que ha recibido otras solicitudes de reserva para enero de 2027, ahora se requiere una decisión urgente.</w:t>
      </w:r>
    </w:p>
    <w:p w14:paraId="27374907" w14:textId="77777777" w:rsidR="00DC0D50" w:rsidRPr="00BE0766" w:rsidRDefault="00DC0D50" w:rsidP="006A5ACF">
      <w:pPr>
        <w:jc w:val="both"/>
        <w:rPr>
          <w:spacing w:val="-2"/>
          <w:lang w:val="es-ES"/>
        </w:rPr>
      </w:pPr>
      <w:r w:rsidRPr="00BE0766">
        <w:rPr>
          <w:spacing w:val="-2"/>
          <w:lang w:val="es-ES"/>
        </w:rPr>
        <w:t>3.28</w:t>
      </w:r>
      <w:r w:rsidRPr="00BE0766">
        <w:rPr>
          <w:spacing w:val="-2"/>
          <w:lang w:val="es-ES"/>
        </w:rPr>
        <w:tab/>
        <w:t xml:space="preserve">En respuesta a la pregunta de un consejero, el Jefe del Departamento de Gestión de Recursos Financieros dice que los servicios de interpretación y traducción para la PP-26 ya están </w:t>
      </w:r>
      <w:r w:rsidRPr="00BE0766">
        <w:rPr>
          <w:spacing w:val="-2"/>
          <w:lang w:val="es-ES"/>
        </w:rPr>
        <w:lastRenderedPageBreak/>
        <w:t>previstos en el presupuesto bienal de la Unión para 2026-2027, aprobado en la Resolución 1435 (C25) del Consejo, y no están incluidos en los costes de contratación del CICG. En respuesta a otro, explica que, de conformidad con la Decisión 5 (Rev. Bucarest, 2022) de la Conferencia de Plenipotenciarios, la Cuenta de Provisión debe mantenerse a un nivel superior al 6 % de los gastos anuales totales. A 31 de diciembre de 2025, el saldo de la Cuenta de Provisión superaba con creces los 31 millones CHF, lo que representa una tasa de cobertura del 19,86 %.</w:t>
      </w:r>
    </w:p>
    <w:p w14:paraId="0EF96085" w14:textId="77777777" w:rsidR="00DC0D50" w:rsidRPr="00533002" w:rsidRDefault="00DC0D50" w:rsidP="006A5ACF">
      <w:pPr>
        <w:jc w:val="both"/>
        <w:rPr>
          <w:lang w:val="es-ES"/>
        </w:rPr>
      </w:pPr>
      <w:r>
        <w:rPr>
          <w:lang w:val="es-ES"/>
        </w:rPr>
        <w:t>3.29</w:t>
      </w:r>
      <w:r>
        <w:rPr>
          <w:lang w:val="es-ES"/>
        </w:rPr>
        <w:tab/>
        <w:t>El Presidente entiende que el Consejo ha acordado mantener un plan de contingencia que implique la utilización del CICG, en caso de que la Secretaria General cancele la Conferencia.</w:t>
      </w:r>
    </w:p>
    <w:p w14:paraId="0FF89307" w14:textId="77777777" w:rsidR="00DC0D50" w:rsidRPr="00533002" w:rsidRDefault="00DC0D50" w:rsidP="006A5ACF">
      <w:pPr>
        <w:jc w:val="both"/>
        <w:rPr>
          <w:lang w:val="es-ES"/>
        </w:rPr>
      </w:pPr>
      <w:r>
        <w:rPr>
          <w:lang w:val="es-ES"/>
        </w:rPr>
        <w:t>3.30</w:t>
      </w:r>
      <w:r>
        <w:rPr>
          <w:lang w:val="es-ES"/>
        </w:rPr>
        <w:tab/>
        <w:t xml:space="preserve">Así </w:t>
      </w:r>
      <w:r>
        <w:rPr>
          <w:b/>
          <w:bCs/>
          <w:lang w:val="es-ES"/>
        </w:rPr>
        <w:t>se acuerda</w:t>
      </w:r>
      <w:r>
        <w:rPr>
          <w:lang w:val="es-ES"/>
        </w:rPr>
        <w:t>.</w:t>
      </w:r>
    </w:p>
    <w:p w14:paraId="4E2D3CAC" w14:textId="79FE8167" w:rsidR="00DC0D50" w:rsidRPr="00533002" w:rsidRDefault="00DC0D50" w:rsidP="006A5ACF">
      <w:pPr>
        <w:jc w:val="both"/>
        <w:rPr>
          <w:lang w:val="es-ES"/>
        </w:rPr>
      </w:pPr>
      <w:r>
        <w:rPr>
          <w:lang w:val="es-ES"/>
        </w:rPr>
        <w:t>3.31</w:t>
      </w:r>
      <w:r>
        <w:rPr>
          <w:lang w:val="es-ES"/>
        </w:rPr>
        <w:tab/>
        <w:t>El Presidente entiende, además, que el Consejo acuerda aprobar la utilización de la Cuenta de Provisión para cubrir las tasas de cancelación del CICG que ascienden a 1</w:t>
      </w:r>
      <w:r w:rsidR="005B4E0C">
        <w:rPr>
          <w:lang w:val="es-ES"/>
        </w:rPr>
        <w:t> </w:t>
      </w:r>
      <w:r>
        <w:rPr>
          <w:lang w:val="es-ES"/>
        </w:rPr>
        <w:t>003</w:t>
      </w:r>
      <w:r w:rsidR="005B4E0C">
        <w:rPr>
          <w:lang w:val="es-ES"/>
        </w:rPr>
        <w:t> </w:t>
      </w:r>
      <w:r>
        <w:rPr>
          <w:lang w:val="es-ES"/>
        </w:rPr>
        <w:t>950</w:t>
      </w:r>
      <w:r w:rsidR="005B4E0C">
        <w:rPr>
          <w:lang w:val="es-ES"/>
        </w:rPr>
        <w:t> </w:t>
      </w:r>
      <w:r>
        <w:rPr>
          <w:lang w:val="es-ES"/>
        </w:rPr>
        <w:t>CHF.</w:t>
      </w:r>
    </w:p>
    <w:p w14:paraId="387D771D" w14:textId="77777777" w:rsidR="00DC0D50" w:rsidRPr="00533002" w:rsidRDefault="00DC0D50" w:rsidP="00DC0D50">
      <w:pPr>
        <w:rPr>
          <w:lang w:val="es-ES"/>
        </w:rPr>
      </w:pPr>
      <w:r>
        <w:rPr>
          <w:lang w:val="es-ES"/>
        </w:rPr>
        <w:t>3.32</w:t>
      </w:r>
      <w:r>
        <w:rPr>
          <w:lang w:val="es-ES"/>
        </w:rPr>
        <w:tab/>
        <w:t xml:space="preserve">Así </w:t>
      </w:r>
      <w:r>
        <w:rPr>
          <w:b/>
          <w:bCs/>
          <w:lang w:val="es-ES"/>
        </w:rPr>
        <w:t>se acuerda</w:t>
      </w:r>
      <w:r>
        <w:rPr>
          <w:lang w:val="es-ES"/>
        </w:rPr>
        <w:t>.</w:t>
      </w:r>
    </w:p>
    <w:p w14:paraId="404F6B34" w14:textId="6806173A" w:rsidR="00DC0D50" w:rsidRPr="00533002" w:rsidRDefault="00DC0D50" w:rsidP="006A5ACF">
      <w:pPr>
        <w:jc w:val="both"/>
        <w:rPr>
          <w:lang w:val="es-ES"/>
        </w:rPr>
      </w:pPr>
      <w:r>
        <w:rPr>
          <w:lang w:val="es-ES"/>
        </w:rPr>
        <w:t>3.33</w:t>
      </w:r>
      <w:r>
        <w:rPr>
          <w:lang w:val="es-ES"/>
        </w:rPr>
        <w:tab/>
        <w:t>El Presidente invita al Consejo a considerar las fechas concretas en las que se</w:t>
      </w:r>
      <w:r w:rsidR="006D7ACB">
        <w:rPr>
          <w:lang w:val="es-ES"/>
        </w:rPr>
        <w:t xml:space="preserve"> convocará </w:t>
      </w:r>
      <w:r w:rsidR="00050358">
        <w:rPr>
          <w:lang w:val="es-ES"/>
        </w:rPr>
        <w:t>la Conferencia en el CICG</w:t>
      </w:r>
      <w:r>
        <w:rPr>
          <w:lang w:val="es-ES"/>
        </w:rPr>
        <w:t>, sujeta a consulta con los Estados Miembros, como se indica en el Documento C26-EXT/2.</w:t>
      </w:r>
    </w:p>
    <w:p w14:paraId="41D0714C" w14:textId="4CB5FD49" w:rsidR="00DC0D50" w:rsidRPr="00533002" w:rsidRDefault="00DC0D50" w:rsidP="006A5ACF">
      <w:pPr>
        <w:jc w:val="both"/>
        <w:rPr>
          <w:lang w:val="es-ES"/>
        </w:rPr>
      </w:pPr>
      <w:r>
        <w:rPr>
          <w:lang w:val="es-ES"/>
        </w:rPr>
        <w:t>3.34</w:t>
      </w:r>
      <w:r>
        <w:rPr>
          <w:lang w:val="es-ES"/>
        </w:rPr>
        <w:tab/>
        <w:t xml:space="preserve">Un consejero sugiere que </w:t>
      </w:r>
      <w:r w:rsidR="00E553EE">
        <w:rPr>
          <w:lang w:val="es-ES"/>
        </w:rPr>
        <w:t>una simple</w:t>
      </w:r>
      <w:r>
        <w:rPr>
          <w:lang w:val="es-ES"/>
        </w:rPr>
        <w:t xml:space="preserve"> referencia a una consulta no refleja</w:t>
      </w:r>
      <w:r w:rsidR="005B53AC">
        <w:rPr>
          <w:lang w:val="es-ES"/>
        </w:rPr>
        <w:t xml:space="preserve"> plenamente</w:t>
      </w:r>
      <w:r>
        <w:rPr>
          <w:lang w:val="es-ES"/>
        </w:rPr>
        <w:t xml:space="preserve"> el escenario presentado en la sección 5 de ese documento, en la que se menciona explícitamente la obtención del apoyo de la mayoría de los Estados Miembros.</w:t>
      </w:r>
    </w:p>
    <w:p w14:paraId="74974E6B" w14:textId="77777777" w:rsidR="00DC0D50" w:rsidRPr="00BE0766" w:rsidRDefault="00DC0D50" w:rsidP="006A5ACF">
      <w:pPr>
        <w:jc w:val="both"/>
        <w:rPr>
          <w:spacing w:val="-2"/>
          <w:lang w:val="es-ES"/>
        </w:rPr>
      </w:pPr>
      <w:r w:rsidRPr="00BE0766">
        <w:rPr>
          <w:spacing w:val="-2"/>
          <w:lang w:val="es-ES"/>
        </w:rPr>
        <w:t>3.35</w:t>
      </w:r>
      <w:r w:rsidRPr="00BE0766">
        <w:rPr>
          <w:spacing w:val="-2"/>
          <w:lang w:val="es-ES"/>
        </w:rPr>
        <w:tab/>
        <w:t>El Presidente entiende que el Consejo ha acordado que, si se cancela la Conferencia en Doha, se celebrará en Ginebra del 11 al 29 de enero de 2027, con sujeción al apoyo de la mayoría de los Estados Miembros de la UIT mediante una consulta de dos semanas de duración.</w:t>
      </w:r>
    </w:p>
    <w:p w14:paraId="6BA84898" w14:textId="77777777" w:rsidR="00DC0D50" w:rsidRPr="00533002" w:rsidRDefault="00DC0D50" w:rsidP="00DC0D50">
      <w:pPr>
        <w:rPr>
          <w:lang w:val="es-ES"/>
        </w:rPr>
      </w:pPr>
      <w:r>
        <w:rPr>
          <w:lang w:val="es-ES"/>
        </w:rPr>
        <w:t>3.36</w:t>
      </w:r>
      <w:r>
        <w:rPr>
          <w:lang w:val="es-ES"/>
        </w:rPr>
        <w:tab/>
        <w:t xml:space="preserve">Así </w:t>
      </w:r>
      <w:r>
        <w:rPr>
          <w:b/>
          <w:bCs/>
          <w:lang w:val="es-ES"/>
        </w:rPr>
        <w:t>se acuerda</w:t>
      </w:r>
      <w:r>
        <w:rPr>
          <w:lang w:val="es-ES"/>
        </w:rPr>
        <w:t>.</w:t>
      </w:r>
    </w:p>
    <w:p w14:paraId="31F5D473" w14:textId="77777777" w:rsidR="00DC0D50" w:rsidRPr="00533002" w:rsidRDefault="00DC0D50" w:rsidP="00DC0D50">
      <w:pPr>
        <w:pStyle w:val="Heading1"/>
        <w:rPr>
          <w:lang w:val="es-ES"/>
        </w:rPr>
      </w:pPr>
      <w:r>
        <w:rPr>
          <w:lang w:val="es-ES"/>
        </w:rPr>
        <w:t>4</w:t>
      </w:r>
      <w:r>
        <w:rPr>
          <w:lang w:val="es-ES"/>
        </w:rPr>
        <w:tab/>
        <w:t>Clausura de la reunión</w:t>
      </w:r>
    </w:p>
    <w:p w14:paraId="3EE4028A" w14:textId="77777777" w:rsidR="00DC0D50" w:rsidRPr="00533002" w:rsidRDefault="00DC0D50" w:rsidP="006A5ACF">
      <w:pPr>
        <w:jc w:val="both"/>
        <w:rPr>
          <w:lang w:val="es-ES"/>
        </w:rPr>
      </w:pPr>
      <w:r>
        <w:rPr>
          <w:lang w:val="es-ES"/>
        </w:rPr>
        <w:t>4.1</w:t>
      </w:r>
      <w:r>
        <w:rPr>
          <w:lang w:val="es-ES"/>
        </w:rPr>
        <w:tab/>
        <w:t>La Secretaria General acoge con satisfacción el liderazgo y el compromiso demostrados por el Presidente y el Vicepresidente del Consejo, así como por el compromiso de todos los consejeros y observadores para garantizar que la PP-26 pueda celebrarse de manera segura, protegida y accesible. Alienta a todos los Estados Miembros a participar al más alto nivel en los debates que configurarán el futuro de la Unión durante los próximos cuatro años.</w:t>
      </w:r>
    </w:p>
    <w:p w14:paraId="4C423BE7" w14:textId="77777777" w:rsidR="00DC0D50" w:rsidRPr="00533002" w:rsidRDefault="00DC0D50" w:rsidP="006A5ACF">
      <w:pPr>
        <w:jc w:val="both"/>
        <w:rPr>
          <w:lang w:val="es-ES"/>
        </w:rPr>
      </w:pPr>
      <w:r>
        <w:rPr>
          <w:lang w:val="es-ES"/>
        </w:rPr>
        <w:t>4.2</w:t>
      </w:r>
      <w:r>
        <w:rPr>
          <w:lang w:val="es-ES"/>
        </w:rPr>
        <w:tab/>
        <w:t>El Presidente dice que la Conferencia será vital no sólo para la UIT, sino en particular para los jóvenes de todo el mundo, que se enfrentan a la incertidumbre de un panorama digital y económico que cambia rápidamente. En una coyuntura tan crítica, corresponde a la Unión proporcionar un liderazgo claro y tomar decisiones acertadas sobre los temas comprendidos en su mandato.</w:t>
      </w:r>
    </w:p>
    <w:p w14:paraId="520EAD3C" w14:textId="3579B1DA" w:rsidR="00DC0D50" w:rsidRPr="006A5ACF" w:rsidRDefault="00DC0D50" w:rsidP="006A5ACF">
      <w:pPr>
        <w:tabs>
          <w:tab w:val="clear" w:pos="2268"/>
          <w:tab w:val="clear" w:pos="2835"/>
          <w:tab w:val="left" w:pos="6379"/>
        </w:tabs>
        <w:spacing w:before="600"/>
        <w:rPr>
          <w:lang w:val="es-ES"/>
        </w:rPr>
      </w:pPr>
      <w:r>
        <w:rPr>
          <w:lang w:val="es-ES"/>
        </w:rPr>
        <w:t>La Secretaria General:</w:t>
      </w:r>
      <w:r>
        <w:rPr>
          <w:lang w:val="es-ES"/>
        </w:rPr>
        <w:tab/>
        <w:t>El Presidente:</w:t>
      </w:r>
      <w:r w:rsidR="006A5ACF">
        <w:rPr>
          <w:lang w:val="es-ES"/>
        </w:rPr>
        <w:br/>
      </w:r>
      <w:r>
        <w:rPr>
          <w:lang w:val="es-ES"/>
        </w:rPr>
        <w:t>D. BOGDAN-MARTIN</w:t>
      </w:r>
      <w:r>
        <w:rPr>
          <w:lang w:val="es-ES"/>
        </w:rPr>
        <w:tab/>
        <w:t>B. TIJANI</w:t>
      </w:r>
    </w:p>
    <w:sectPr w:rsidR="00DC0D50" w:rsidRPr="006A5ACF" w:rsidSect="00C538FC">
      <w:footerReference w:type="default" r:id="rId26"/>
      <w:headerReference w:type="first" r:id="rId27"/>
      <w:footerReference w:type="first" r:id="rId28"/>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6F62E" w14:textId="77777777" w:rsidR="003F5A56" w:rsidRDefault="003F5A56">
      <w:r>
        <w:separator/>
      </w:r>
    </w:p>
  </w:endnote>
  <w:endnote w:type="continuationSeparator" w:id="0">
    <w:p w14:paraId="102D18E1" w14:textId="77777777" w:rsidR="003F5A56" w:rsidRDefault="003F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3273A4" w:rsidRPr="00784011" w14:paraId="035B3289" w14:textId="77777777" w:rsidTr="00E31DCE">
      <w:trPr>
        <w:jc w:val="center"/>
      </w:trPr>
      <w:tc>
        <w:tcPr>
          <w:tcW w:w="1803" w:type="dxa"/>
          <w:vAlign w:val="center"/>
        </w:tcPr>
        <w:p w14:paraId="0A878A6B" w14:textId="7F15CEAB" w:rsidR="003273A4" w:rsidRDefault="002946E2" w:rsidP="003273A4">
          <w:pPr>
            <w:pStyle w:val="Header"/>
            <w:jc w:val="left"/>
            <w:rPr>
              <w:noProof/>
            </w:rPr>
          </w:pPr>
          <w:r>
            <w:rPr>
              <w:noProof/>
            </w:rPr>
            <w:t xml:space="preserve">gDoc </w:t>
          </w:r>
          <w:r w:rsidR="00DC0D50">
            <w:rPr>
              <w:noProof/>
            </w:rPr>
            <w:t>2602221</w:t>
          </w:r>
        </w:p>
      </w:tc>
      <w:tc>
        <w:tcPr>
          <w:tcW w:w="8261" w:type="dxa"/>
        </w:tcPr>
        <w:p w14:paraId="0CD5DBBA" w14:textId="0EE297AD" w:rsidR="003273A4" w:rsidRPr="00E06FD5" w:rsidRDefault="003273A4" w:rsidP="00F679A7">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F85E5C">
            <w:rPr>
              <w:bCs/>
            </w:rPr>
            <w:t>6</w:t>
          </w:r>
          <w:r w:rsidR="00F679A7">
            <w:rPr>
              <w:bCs/>
            </w:rPr>
            <w:t>-EXT</w:t>
          </w:r>
          <w:r w:rsidRPr="00623AE3">
            <w:rPr>
              <w:bCs/>
            </w:rPr>
            <w:t>/</w:t>
          </w:r>
          <w:r w:rsidR="00DC0D50">
            <w:rPr>
              <w:bCs/>
            </w:rPr>
            <w:t>8</w:t>
          </w:r>
          <w:r w:rsidRPr="00623AE3">
            <w:rPr>
              <w:bCs/>
            </w:rPr>
            <w:t>-</w:t>
          </w:r>
          <w:r>
            <w:rPr>
              <w:bCs/>
            </w:rPr>
            <w:t>S</w:t>
          </w:r>
          <w:r>
            <w:rPr>
              <w:bCs/>
            </w:rPr>
            <w:tab/>
          </w:r>
          <w:r>
            <w:fldChar w:fldCharType="begin"/>
          </w:r>
          <w:r>
            <w:instrText>PAGE</w:instrText>
          </w:r>
          <w:r>
            <w:fldChar w:fldCharType="separate"/>
          </w:r>
          <w:r>
            <w:t>1</w:t>
          </w:r>
          <w:r>
            <w:rPr>
              <w:noProof/>
            </w:rPr>
            <w:fldChar w:fldCharType="end"/>
          </w:r>
        </w:p>
      </w:tc>
    </w:tr>
  </w:tbl>
  <w:p w14:paraId="5CAE5B94" w14:textId="77777777" w:rsidR="00760F1C" w:rsidRPr="003273A4" w:rsidRDefault="00760F1C" w:rsidP="003273A4">
    <w:pPr>
      <w:pStyle w:val="Foo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F24B71" w:rsidRPr="00784011" w14:paraId="33644779" w14:textId="77777777" w:rsidTr="00E31DCE">
      <w:trPr>
        <w:jc w:val="center"/>
      </w:trPr>
      <w:tc>
        <w:tcPr>
          <w:tcW w:w="1803" w:type="dxa"/>
          <w:vAlign w:val="center"/>
        </w:tcPr>
        <w:p w14:paraId="4DC4C988" w14:textId="77777777" w:rsidR="00F24B71" w:rsidRPr="002946E2" w:rsidRDefault="00F85E5C" w:rsidP="00F24B71">
          <w:pPr>
            <w:pStyle w:val="Header"/>
            <w:jc w:val="left"/>
            <w:rPr>
              <w:noProof/>
            </w:rPr>
          </w:pPr>
          <w:hyperlink r:id="rId1" w:anchor="/es" w:history="1">
            <w:r>
              <w:rPr>
                <w:rStyle w:val="Hyperlink"/>
                <w:noProof/>
              </w:rPr>
              <w:t>council.itu.int/2026</w:t>
            </w:r>
          </w:hyperlink>
          <w:r w:rsidR="002946E2" w:rsidRPr="002946E2">
            <w:rPr>
              <w:noProof/>
            </w:rPr>
            <w:t xml:space="preserve"> </w:t>
          </w:r>
        </w:p>
      </w:tc>
      <w:tc>
        <w:tcPr>
          <w:tcW w:w="8261" w:type="dxa"/>
        </w:tcPr>
        <w:p w14:paraId="11743D67" w14:textId="4713401A" w:rsidR="00F24B71" w:rsidRPr="00E06FD5" w:rsidRDefault="00F24B71" w:rsidP="00F679A7">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F85E5C">
            <w:rPr>
              <w:bCs/>
            </w:rPr>
            <w:t>6</w:t>
          </w:r>
          <w:r w:rsidR="00F679A7">
            <w:rPr>
              <w:bCs/>
            </w:rPr>
            <w:t>-EXT</w:t>
          </w:r>
          <w:r w:rsidRPr="00623AE3">
            <w:rPr>
              <w:bCs/>
            </w:rPr>
            <w:t>/</w:t>
          </w:r>
          <w:r w:rsidR="00DC0D50">
            <w:rPr>
              <w:bCs/>
            </w:rPr>
            <w:t>8</w:t>
          </w:r>
          <w:r w:rsidRPr="00623AE3">
            <w:rPr>
              <w:bCs/>
            </w:rPr>
            <w:t>-</w:t>
          </w:r>
          <w:r w:rsidR="003273A4">
            <w:rPr>
              <w:bCs/>
            </w:rPr>
            <w:t>S</w:t>
          </w:r>
          <w:r>
            <w:rPr>
              <w:bCs/>
            </w:rPr>
            <w:tab/>
          </w:r>
          <w:r>
            <w:fldChar w:fldCharType="begin"/>
          </w:r>
          <w:r>
            <w:instrText>PAGE</w:instrText>
          </w:r>
          <w:r>
            <w:fldChar w:fldCharType="separate"/>
          </w:r>
          <w:r>
            <w:t>1</w:t>
          </w:r>
          <w:r>
            <w:rPr>
              <w:noProof/>
            </w:rPr>
            <w:fldChar w:fldCharType="end"/>
          </w:r>
        </w:p>
      </w:tc>
    </w:tr>
  </w:tbl>
  <w:p w14:paraId="2916C97F" w14:textId="77777777" w:rsidR="00760F1C" w:rsidRPr="00F24B71" w:rsidRDefault="00760F1C" w:rsidP="00F24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1467" w14:textId="77777777" w:rsidR="003F5A56" w:rsidRDefault="003F5A56">
      <w:r>
        <w:t>____________________</w:t>
      </w:r>
    </w:p>
  </w:footnote>
  <w:footnote w:type="continuationSeparator" w:id="0">
    <w:p w14:paraId="055FD4CA" w14:textId="77777777" w:rsidR="003F5A56" w:rsidRDefault="003F5A56">
      <w:r>
        <w:continuationSeparator/>
      </w:r>
    </w:p>
  </w:footnote>
  <w:footnote w:id="1">
    <w:p w14:paraId="5088A93A" w14:textId="31F15863" w:rsidR="000C5D3E" w:rsidRPr="009F04A3" w:rsidRDefault="000C5D3E">
      <w:pPr>
        <w:pStyle w:val="FootnoteText"/>
        <w:rPr>
          <w:lang w:val="es-ES"/>
        </w:rPr>
      </w:pPr>
      <w:r w:rsidRPr="000C5D3E">
        <w:rPr>
          <w:rStyle w:val="FootnoteReference"/>
        </w:rPr>
        <w:sym w:font="Symbol" w:char="F02A"/>
      </w:r>
      <w:r w:rsidRPr="009F04A3">
        <w:rPr>
          <w:lang w:val="es-ES"/>
        </w:rPr>
        <w:tab/>
      </w:r>
      <w:r w:rsidR="00927CBB" w:rsidRPr="009F04A3">
        <w:rPr>
          <w:lang w:val="es-ES"/>
        </w:rPr>
        <w:t>E</w:t>
      </w:r>
      <w:r w:rsidR="00DD575D">
        <w:rPr>
          <w:lang w:val="es-ES"/>
        </w:rPr>
        <w:t xml:space="preserve">l presente </w:t>
      </w:r>
      <w:r w:rsidR="00927CBB" w:rsidRPr="009F04A3">
        <w:rPr>
          <w:lang w:val="es-ES"/>
        </w:rPr>
        <w:t>documento ha sido retirado después de la reunión</w:t>
      </w:r>
      <w:r w:rsidR="0053574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73272" w14:textId="77777777" w:rsidR="001559F5" w:rsidRPr="00F679A7" w:rsidRDefault="00F679A7" w:rsidP="00F679A7">
    <w:pPr>
      <w:pStyle w:val="Header"/>
      <w:jc w:val="left"/>
    </w:pPr>
    <w:r>
      <w:rPr>
        <w:noProof/>
      </w:rPr>
      <w:drawing>
        <wp:inline distT="0" distB="0" distL="0" distR="0" wp14:anchorId="4FCDC4E2" wp14:editId="2406F888">
          <wp:extent cx="3105505" cy="936000"/>
          <wp:effectExtent l="0" t="0" r="0" b="0"/>
          <wp:docPr id="1827020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20446" name="Picture 1827020446"/>
                  <pic:cNvPicPr/>
                </pic:nvPicPr>
                <pic:blipFill>
                  <a:blip r:embed="rId1">
                    <a:extLst>
                      <a:ext uri="{28A0092B-C50C-407E-A947-70E740481C1C}">
                        <a14:useLocalDpi xmlns:a14="http://schemas.microsoft.com/office/drawing/2010/main" val="0"/>
                      </a:ext>
                    </a:extLst>
                  </a:blip>
                  <a:stretch>
                    <a:fillRect/>
                  </a:stretch>
                </pic:blipFill>
                <pic:spPr>
                  <a:xfrm>
                    <a:off x="0" y="0"/>
                    <a:ext cx="3105505" cy="936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7F"/>
    <w:rsid w:val="000007D1"/>
    <w:rsid w:val="00010513"/>
    <w:rsid w:val="0001132C"/>
    <w:rsid w:val="0001696F"/>
    <w:rsid w:val="00020E71"/>
    <w:rsid w:val="00033377"/>
    <w:rsid w:val="00050358"/>
    <w:rsid w:val="0006007D"/>
    <w:rsid w:val="00093EEB"/>
    <w:rsid w:val="000A450B"/>
    <w:rsid w:val="000B0D00"/>
    <w:rsid w:val="000B294D"/>
    <w:rsid w:val="000B7C15"/>
    <w:rsid w:val="000C5D3E"/>
    <w:rsid w:val="000D1D0F"/>
    <w:rsid w:val="000E3F07"/>
    <w:rsid w:val="000F5290"/>
    <w:rsid w:val="000F5A95"/>
    <w:rsid w:val="0010165C"/>
    <w:rsid w:val="001338CA"/>
    <w:rsid w:val="00146BFB"/>
    <w:rsid w:val="001559F5"/>
    <w:rsid w:val="00157AC4"/>
    <w:rsid w:val="0016169C"/>
    <w:rsid w:val="001958F5"/>
    <w:rsid w:val="001B6E2B"/>
    <w:rsid w:val="001B7251"/>
    <w:rsid w:val="001F14A2"/>
    <w:rsid w:val="00234DB3"/>
    <w:rsid w:val="00277DEA"/>
    <w:rsid w:val="002801AA"/>
    <w:rsid w:val="002946E2"/>
    <w:rsid w:val="002C3F32"/>
    <w:rsid w:val="002C4676"/>
    <w:rsid w:val="002C70B0"/>
    <w:rsid w:val="002F3CC4"/>
    <w:rsid w:val="003032E2"/>
    <w:rsid w:val="0031300A"/>
    <w:rsid w:val="003273A4"/>
    <w:rsid w:val="0034796E"/>
    <w:rsid w:val="003813DF"/>
    <w:rsid w:val="00393CAB"/>
    <w:rsid w:val="003F5A56"/>
    <w:rsid w:val="004060AE"/>
    <w:rsid w:val="004571B0"/>
    <w:rsid w:val="00464691"/>
    <w:rsid w:val="00465C35"/>
    <w:rsid w:val="00473962"/>
    <w:rsid w:val="00495CD8"/>
    <w:rsid w:val="004B5D49"/>
    <w:rsid w:val="004C6D81"/>
    <w:rsid w:val="004D3A3C"/>
    <w:rsid w:val="00513630"/>
    <w:rsid w:val="00535747"/>
    <w:rsid w:val="00540AC8"/>
    <w:rsid w:val="005576F0"/>
    <w:rsid w:val="00560125"/>
    <w:rsid w:val="00570B9C"/>
    <w:rsid w:val="00585553"/>
    <w:rsid w:val="005A75E6"/>
    <w:rsid w:val="005B34D9"/>
    <w:rsid w:val="005B4E0C"/>
    <w:rsid w:val="005B53AC"/>
    <w:rsid w:val="005D0CCF"/>
    <w:rsid w:val="005E507D"/>
    <w:rsid w:val="005F0915"/>
    <w:rsid w:val="005F3BCB"/>
    <w:rsid w:val="005F410F"/>
    <w:rsid w:val="0060149A"/>
    <w:rsid w:val="00601924"/>
    <w:rsid w:val="00637C0A"/>
    <w:rsid w:val="00640DFE"/>
    <w:rsid w:val="006447EA"/>
    <w:rsid w:val="0064481D"/>
    <w:rsid w:val="0064731F"/>
    <w:rsid w:val="00664572"/>
    <w:rsid w:val="00666D09"/>
    <w:rsid w:val="00670579"/>
    <w:rsid w:val="006710F6"/>
    <w:rsid w:val="00677A97"/>
    <w:rsid w:val="006A5ACF"/>
    <w:rsid w:val="006C1B56"/>
    <w:rsid w:val="006D4761"/>
    <w:rsid w:val="006D7ACB"/>
    <w:rsid w:val="00726872"/>
    <w:rsid w:val="00760F1C"/>
    <w:rsid w:val="007657F0"/>
    <w:rsid w:val="0077110E"/>
    <w:rsid w:val="0077252D"/>
    <w:rsid w:val="007955DA"/>
    <w:rsid w:val="007E5DD3"/>
    <w:rsid w:val="007F350B"/>
    <w:rsid w:val="00820BE4"/>
    <w:rsid w:val="00822EDC"/>
    <w:rsid w:val="00827F71"/>
    <w:rsid w:val="008451E8"/>
    <w:rsid w:val="0084546D"/>
    <w:rsid w:val="008F6ABC"/>
    <w:rsid w:val="00902057"/>
    <w:rsid w:val="00913B9C"/>
    <w:rsid w:val="00927CBB"/>
    <w:rsid w:val="00927F93"/>
    <w:rsid w:val="00956E77"/>
    <w:rsid w:val="00995A99"/>
    <w:rsid w:val="009A338E"/>
    <w:rsid w:val="009A76A8"/>
    <w:rsid w:val="009F04A3"/>
    <w:rsid w:val="009F4811"/>
    <w:rsid w:val="00A01F4F"/>
    <w:rsid w:val="00A109AF"/>
    <w:rsid w:val="00A42326"/>
    <w:rsid w:val="00A94438"/>
    <w:rsid w:val="00AA390C"/>
    <w:rsid w:val="00AD1736"/>
    <w:rsid w:val="00AD5A4D"/>
    <w:rsid w:val="00AF0EAC"/>
    <w:rsid w:val="00B0200A"/>
    <w:rsid w:val="00B060DF"/>
    <w:rsid w:val="00B1560D"/>
    <w:rsid w:val="00B574DB"/>
    <w:rsid w:val="00B72F2A"/>
    <w:rsid w:val="00B826C2"/>
    <w:rsid w:val="00B8298E"/>
    <w:rsid w:val="00B82A52"/>
    <w:rsid w:val="00B84D3D"/>
    <w:rsid w:val="00BB6FD8"/>
    <w:rsid w:val="00BD0723"/>
    <w:rsid w:val="00BD2518"/>
    <w:rsid w:val="00BE0766"/>
    <w:rsid w:val="00BF1D1C"/>
    <w:rsid w:val="00C20C59"/>
    <w:rsid w:val="00C2727F"/>
    <w:rsid w:val="00C4421B"/>
    <w:rsid w:val="00C538FC"/>
    <w:rsid w:val="00C55B1F"/>
    <w:rsid w:val="00C57F45"/>
    <w:rsid w:val="00C6776E"/>
    <w:rsid w:val="00C717BA"/>
    <w:rsid w:val="00C839DB"/>
    <w:rsid w:val="00CE0B7F"/>
    <w:rsid w:val="00CF1A67"/>
    <w:rsid w:val="00CF7924"/>
    <w:rsid w:val="00D2750E"/>
    <w:rsid w:val="00D375E0"/>
    <w:rsid w:val="00D50A36"/>
    <w:rsid w:val="00D62446"/>
    <w:rsid w:val="00DA4EA2"/>
    <w:rsid w:val="00DA5BF8"/>
    <w:rsid w:val="00DC0D50"/>
    <w:rsid w:val="00DC3D3E"/>
    <w:rsid w:val="00DD575D"/>
    <w:rsid w:val="00DD7758"/>
    <w:rsid w:val="00DE2C90"/>
    <w:rsid w:val="00DE3B24"/>
    <w:rsid w:val="00DE7376"/>
    <w:rsid w:val="00E06947"/>
    <w:rsid w:val="00E11319"/>
    <w:rsid w:val="00E21444"/>
    <w:rsid w:val="00E34072"/>
    <w:rsid w:val="00E3592D"/>
    <w:rsid w:val="00E405F9"/>
    <w:rsid w:val="00E50D76"/>
    <w:rsid w:val="00E553EE"/>
    <w:rsid w:val="00E678B8"/>
    <w:rsid w:val="00E8018B"/>
    <w:rsid w:val="00E9298D"/>
    <w:rsid w:val="00E92DE8"/>
    <w:rsid w:val="00EB1212"/>
    <w:rsid w:val="00ED65AB"/>
    <w:rsid w:val="00F12850"/>
    <w:rsid w:val="00F24B71"/>
    <w:rsid w:val="00F33BF4"/>
    <w:rsid w:val="00F679A7"/>
    <w:rsid w:val="00F7105E"/>
    <w:rsid w:val="00F75F57"/>
    <w:rsid w:val="00F82FEE"/>
    <w:rsid w:val="00F85E5C"/>
    <w:rsid w:val="00F92BED"/>
    <w:rsid w:val="00FC327E"/>
    <w:rsid w:val="00FC6091"/>
    <w:rsid w:val="00FD57D3"/>
    <w:rsid w:val="00FE57F6"/>
    <w:rsid w:val="00FE7340"/>
    <w:rsid w:val="00FF11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937BA"/>
  <w15:docId w15:val="{7EF8986C-12CA-452A-AE55-07478C12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5A95"/>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0F5A95"/>
    <w:pPr>
      <w:keepNext/>
      <w:keepLines/>
      <w:spacing w:before="360"/>
      <w:ind w:left="567" w:hanging="567"/>
      <w:outlineLvl w:val="0"/>
    </w:pPr>
    <w:rPr>
      <w:b/>
      <w:sz w:val="28"/>
    </w:rPr>
  </w:style>
  <w:style w:type="paragraph" w:styleId="Heading2">
    <w:name w:val="heading 2"/>
    <w:basedOn w:val="Heading1"/>
    <w:next w:val="Normal"/>
    <w:qFormat/>
    <w:rsid w:val="000F5A95"/>
    <w:pPr>
      <w:spacing w:before="200"/>
      <w:outlineLvl w:val="1"/>
    </w:pPr>
    <w:rPr>
      <w:sz w:val="24"/>
    </w:rPr>
  </w:style>
  <w:style w:type="paragraph" w:styleId="Heading3">
    <w:name w:val="heading 3"/>
    <w:basedOn w:val="Heading1"/>
    <w:next w:val="Normal"/>
    <w:qFormat/>
    <w:rsid w:val="000F5A95"/>
    <w:pPr>
      <w:spacing w:before="200"/>
      <w:outlineLvl w:val="2"/>
    </w:pPr>
    <w:rPr>
      <w:sz w:val="24"/>
    </w:rPr>
  </w:style>
  <w:style w:type="paragraph" w:styleId="Heading4">
    <w:name w:val="heading 4"/>
    <w:basedOn w:val="Heading3"/>
    <w:next w:val="Normal"/>
    <w:qFormat/>
    <w:rsid w:val="000F5A95"/>
    <w:pPr>
      <w:ind w:left="1134" w:hanging="1134"/>
      <w:outlineLvl w:val="3"/>
    </w:pPr>
  </w:style>
  <w:style w:type="paragraph" w:styleId="Heading5">
    <w:name w:val="heading 5"/>
    <w:basedOn w:val="Heading4"/>
    <w:next w:val="Normal"/>
    <w:qFormat/>
    <w:rsid w:val="000F5A95"/>
    <w:pPr>
      <w:outlineLvl w:val="4"/>
    </w:pPr>
  </w:style>
  <w:style w:type="paragraph" w:styleId="Heading6">
    <w:name w:val="heading 6"/>
    <w:basedOn w:val="Heading4"/>
    <w:next w:val="Normal"/>
    <w:qFormat/>
    <w:rsid w:val="000F5A95"/>
    <w:pPr>
      <w:outlineLvl w:val="5"/>
    </w:pPr>
  </w:style>
  <w:style w:type="paragraph" w:styleId="Heading7">
    <w:name w:val="heading 7"/>
    <w:basedOn w:val="Heading4"/>
    <w:next w:val="Normal"/>
    <w:qFormat/>
    <w:rsid w:val="000F5A95"/>
    <w:pPr>
      <w:ind w:left="1701" w:hanging="1701"/>
      <w:outlineLvl w:val="6"/>
    </w:pPr>
  </w:style>
  <w:style w:type="paragraph" w:styleId="Heading8">
    <w:name w:val="heading 8"/>
    <w:basedOn w:val="Heading4"/>
    <w:next w:val="Normal"/>
    <w:qFormat/>
    <w:rsid w:val="000F5A95"/>
    <w:pPr>
      <w:ind w:left="1701" w:hanging="1701"/>
      <w:outlineLvl w:val="7"/>
    </w:pPr>
  </w:style>
  <w:style w:type="paragraph" w:styleId="Heading9">
    <w:name w:val="heading 9"/>
    <w:basedOn w:val="Heading4"/>
    <w:next w:val="Normal"/>
    <w:qFormat/>
    <w:rsid w:val="000F5A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0F5A95"/>
  </w:style>
  <w:style w:type="paragraph" w:styleId="TOC4">
    <w:name w:val="toc 4"/>
    <w:basedOn w:val="TOC1"/>
    <w:next w:val="Normal"/>
    <w:rsid w:val="000F5A95"/>
  </w:style>
  <w:style w:type="paragraph" w:styleId="TOC3">
    <w:name w:val="toc 3"/>
    <w:basedOn w:val="TOC1"/>
    <w:next w:val="Normal"/>
    <w:rsid w:val="000F5A95"/>
  </w:style>
  <w:style w:type="paragraph" w:styleId="TOC2">
    <w:name w:val="toc 2"/>
    <w:basedOn w:val="TOC1"/>
    <w:next w:val="Normal"/>
    <w:rsid w:val="000F5A95"/>
    <w:pPr>
      <w:spacing w:before="160"/>
    </w:pPr>
  </w:style>
  <w:style w:type="paragraph" w:styleId="TOC1">
    <w:name w:val="toc 1"/>
    <w:basedOn w:val="Normal"/>
    <w:rsid w:val="000F5A95"/>
    <w:pPr>
      <w:tabs>
        <w:tab w:val="clear" w:pos="567"/>
        <w:tab w:val="clear" w:pos="1134"/>
        <w:tab w:val="clear" w:pos="1701"/>
        <w:tab w:val="clear" w:pos="2268"/>
        <w:tab w:val="clear" w:pos="2835"/>
        <w:tab w:val="left" w:pos="964"/>
        <w:tab w:val="left" w:leader="dot" w:pos="7938"/>
        <w:tab w:val="right" w:pos="9072"/>
      </w:tabs>
      <w:spacing w:before="200"/>
      <w:ind w:left="964" w:hanging="964"/>
    </w:pPr>
  </w:style>
  <w:style w:type="paragraph" w:styleId="TOC7">
    <w:name w:val="toc 7"/>
    <w:basedOn w:val="TOC6"/>
    <w:next w:val="Normal"/>
    <w:rsid w:val="000F5A95"/>
  </w:style>
  <w:style w:type="paragraph" w:styleId="TOC6">
    <w:name w:val="toc 6"/>
    <w:basedOn w:val="TOC5"/>
    <w:next w:val="Normal"/>
    <w:rsid w:val="000F5A95"/>
  </w:style>
  <w:style w:type="paragraph" w:styleId="TOC5">
    <w:name w:val="toc 5"/>
    <w:basedOn w:val="TOC4"/>
    <w:next w:val="Normal"/>
    <w:rsid w:val="000F5A95"/>
    <w:rPr>
      <w:lang w:val="fr-CH"/>
    </w:rPr>
  </w:style>
  <w:style w:type="paragraph" w:styleId="Index7">
    <w:name w:val="index 7"/>
    <w:basedOn w:val="Normal"/>
    <w:next w:val="Normal"/>
    <w:rsid w:val="000F5A95"/>
    <w:pPr>
      <w:ind w:left="1698"/>
    </w:pPr>
  </w:style>
  <w:style w:type="paragraph" w:styleId="Index6">
    <w:name w:val="index 6"/>
    <w:basedOn w:val="Normal"/>
    <w:next w:val="Normal"/>
    <w:rsid w:val="000F5A95"/>
    <w:pPr>
      <w:ind w:left="1415"/>
    </w:pPr>
  </w:style>
  <w:style w:type="paragraph" w:styleId="Index5">
    <w:name w:val="index 5"/>
    <w:basedOn w:val="Normal"/>
    <w:next w:val="Normal"/>
    <w:rsid w:val="000F5A95"/>
    <w:pPr>
      <w:ind w:left="1132"/>
    </w:pPr>
  </w:style>
  <w:style w:type="paragraph" w:styleId="Index4">
    <w:name w:val="index 4"/>
    <w:basedOn w:val="Normal"/>
    <w:next w:val="Normal"/>
    <w:rsid w:val="000F5A95"/>
    <w:pPr>
      <w:ind w:left="849"/>
    </w:pPr>
  </w:style>
  <w:style w:type="paragraph" w:styleId="Index3">
    <w:name w:val="index 3"/>
    <w:basedOn w:val="Normal"/>
    <w:next w:val="Normal"/>
    <w:rsid w:val="000F5A95"/>
    <w:pPr>
      <w:ind w:left="566"/>
    </w:pPr>
  </w:style>
  <w:style w:type="paragraph" w:styleId="Index2">
    <w:name w:val="index 2"/>
    <w:basedOn w:val="Normal"/>
    <w:next w:val="Normal"/>
    <w:rsid w:val="000F5A95"/>
    <w:pPr>
      <w:ind w:left="283"/>
    </w:pPr>
  </w:style>
  <w:style w:type="paragraph" w:styleId="Index1">
    <w:name w:val="index 1"/>
    <w:basedOn w:val="Normal"/>
    <w:next w:val="Normal"/>
    <w:rsid w:val="000F5A95"/>
  </w:style>
  <w:style w:type="character" w:styleId="LineNumber">
    <w:name w:val="line number"/>
    <w:basedOn w:val="DefaultParagraphFont"/>
    <w:rsid w:val="000F5A95"/>
  </w:style>
  <w:style w:type="paragraph" w:styleId="IndexHeading">
    <w:name w:val="index heading"/>
    <w:basedOn w:val="Normal"/>
    <w:next w:val="Index1"/>
    <w:rsid w:val="000F5A95"/>
  </w:style>
  <w:style w:type="paragraph" w:styleId="Footer">
    <w:name w:val="footer"/>
    <w:basedOn w:val="Normal"/>
    <w:rsid w:val="000F5A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0F5A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0F5A95"/>
    <w:rPr>
      <w:rFonts w:ascii="Calibri" w:hAnsi="Calibri"/>
      <w:position w:val="6"/>
      <w:sz w:val="16"/>
    </w:rPr>
  </w:style>
  <w:style w:type="paragraph" w:styleId="FootnoteText">
    <w:name w:val="footnote text"/>
    <w:basedOn w:val="Normal"/>
    <w:rsid w:val="000F5A95"/>
    <w:pPr>
      <w:keepLines/>
      <w:tabs>
        <w:tab w:val="left" w:pos="256"/>
      </w:tabs>
      <w:ind w:left="256" w:hanging="256"/>
    </w:pPr>
    <w:rPr>
      <w:sz w:val="22"/>
    </w:rPr>
  </w:style>
  <w:style w:type="paragraph" w:styleId="NormalIndent">
    <w:name w:val="Normal Indent"/>
    <w:basedOn w:val="Normal"/>
    <w:rsid w:val="000F5A95"/>
    <w:pPr>
      <w:ind w:left="567"/>
    </w:pPr>
  </w:style>
  <w:style w:type="paragraph" w:customStyle="1" w:styleId="AnnexNo">
    <w:name w:val="Annex_No"/>
    <w:basedOn w:val="Normal"/>
    <w:next w:val="Annexref"/>
    <w:rsid w:val="000F5A95"/>
    <w:pPr>
      <w:keepNext/>
      <w:keepLines/>
      <w:spacing w:before="720"/>
      <w:jc w:val="center"/>
    </w:pPr>
    <w:rPr>
      <w:caps/>
      <w:sz w:val="28"/>
    </w:rPr>
  </w:style>
  <w:style w:type="paragraph" w:customStyle="1" w:styleId="Annextitle">
    <w:name w:val="Annex_title"/>
    <w:basedOn w:val="Normal"/>
    <w:next w:val="Normalaftertitle"/>
    <w:rsid w:val="000F5A95"/>
    <w:pPr>
      <w:keepNext/>
      <w:keepLines/>
      <w:spacing w:before="240" w:after="240"/>
      <w:jc w:val="center"/>
    </w:pPr>
    <w:rPr>
      <w:b/>
      <w:sz w:val="28"/>
    </w:rPr>
  </w:style>
  <w:style w:type="paragraph" w:customStyle="1" w:styleId="Annexref">
    <w:name w:val="Annex_ref"/>
    <w:basedOn w:val="Normal"/>
    <w:next w:val="Annextitle"/>
    <w:rsid w:val="000F5A95"/>
    <w:pPr>
      <w:keepNext/>
      <w:keepLines/>
      <w:jc w:val="center"/>
    </w:pPr>
    <w:rPr>
      <w:sz w:val="28"/>
    </w:rPr>
  </w:style>
  <w:style w:type="paragraph" w:customStyle="1" w:styleId="Normalaftertitle">
    <w:name w:val="Normal after title"/>
    <w:basedOn w:val="Normal"/>
    <w:next w:val="Normal"/>
    <w:rsid w:val="000F5A95"/>
    <w:pPr>
      <w:spacing w:before="240"/>
    </w:pPr>
  </w:style>
  <w:style w:type="paragraph" w:customStyle="1" w:styleId="AppendixNo">
    <w:name w:val="Appendix_No"/>
    <w:basedOn w:val="AnnexNo"/>
    <w:next w:val="Appendixref"/>
    <w:rsid w:val="000F5A95"/>
  </w:style>
  <w:style w:type="paragraph" w:customStyle="1" w:styleId="Appendixtitle">
    <w:name w:val="Appendix_title"/>
    <w:basedOn w:val="Annextitle"/>
    <w:next w:val="Normalaftertitle"/>
    <w:rsid w:val="000F5A95"/>
  </w:style>
  <w:style w:type="paragraph" w:customStyle="1" w:styleId="Appendixref">
    <w:name w:val="Appendix_ref"/>
    <w:basedOn w:val="Annexref"/>
    <w:next w:val="Appendixtitle"/>
    <w:rsid w:val="000F5A95"/>
  </w:style>
  <w:style w:type="paragraph" w:customStyle="1" w:styleId="enumlev1">
    <w:name w:val="enumlev1"/>
    <w:basedOn w:val="Normal"/>
    <w:rsid w:val="000F5A95"/>
    <w:pPr>
      <w:spacing w:before="80"/>
      <w:ind w:left="567" w:hanging="567"/>
    </w:pPr>
  </w:style>
  <w:style w:type="paragraph" w:customStyle="1" w:styleId="enumlev2">
    <w:name w:val="enumlev2"/>
    <w:basedOn w:val="enumlev1"/>
    <w:rsid w:val="000F5A95"/>
    <w:pPr>
      <w:ind w:left="1134"/>
    </w:pPr>
  </w:style>
  <w:style w:type="paragraph" w:customStyle="1" w:styleId="enumlev3">
    <w:name w:val="enumlev3"/>
    <w:basedOn w:val="enumlev2"/>
    <w:rsid w:val="000F5A95"/>
    <w:pPr>
      <w:ind w:left="1701"/>
    </w:pPr>
  </w:style>
  <w:style w:type="paragraph" w:customStyle="1" w:styleId="Artheading">
    <w:name w:val="Art_heading"/>
    <w:basedOn w:val="Normal"/>
    <w:next w:val="Normalaftertitle"/>
    <w:rsid w:val="000F5A95"/>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0F5A95"/>
    <w:pPr>
      <w:keepNext/>
      <w:keepLines/>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0F5A95"/>
    <w:pPr>
      <w:keepNext/>
      <w:keepLines/>
      <w:tabs>
        <w:tab w:val="clear" w:pos="567"/>
        <w:tab w:val="clear" w:pos="1134"/>
        <w:tab w:val="clear" w:pos="1701"/>
        <w:tab w:val="clear" w:pos="2268"/>
        <w:tab w:val="clear" w:pos="2835"/>
      </w:tabs>
      <w:spacing w:before="240" w:after="240"/>
      <w:jc w:val="center"/>
    </w:pPr>
    <w:rPr>
      <w:b/>
      <w:sz w:val="28"/>
    </w:rPr>
  </w:style>
  <w:style w:type="paragraph" w:customStyle="1" w:styleId="Call">
    <w:name w:val="Call"/>
    <w:basedOn w:val="Normal"/>
    <w:next w:val="Normal"/>
    <w:rsid w:val="000F5A95"/>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Chaptitle"/>
    <w:rsid w:val="000F5A95"/>
  </w:style>
  <w:style w:type="paragraph" w:customStyle="1" w:styleId="Chaptitle">
    <w:name w:val="Chap_title"/>
    <w:basedOn w:val="Arttitle"/>
    <w:next w:val="Normalaftertitle"/>
    <w:rsid w:val="000F5A95"/>
  </w:style>
  <w:style w:type="paragraph" w:customStyle="1" w:styleId="Equationlegend">
    <w:name w:val="Equation_legend"/>
    <w:basedOn w:val="NormalIndent"/>
    <w:rsid w:val="000F5A95"/>
    <w:pPr>
      <w:tabs>
        <w:tab w:val="right" w:pos="1531"/>
      </w:tabs>
      <w:spacing w:before="80"/>
      <w:ind w:left="1701" w:hanging="1701"/>
    </w:pPr>
  </w:style>
  <w:style w:type="paragraph" w:customStyle="1" w:styleId="Figure">
    <w:name w:val="Figure"/>
    <w:basedOn w:val="Normal"/>
    <w:next w:val="Normal"/>
    <w:rsid w:val="000F5A95"/>
    <w:pPr>
      <w:spacing w:after="240"/>
      <w:jc w:val="center"/>
    </w:pPr>
  </w:style>
  <w:style w:type="paragraph" w:customStyle="1" w:styleId="Figuretitle">
    <w:name w:val="Figure_title"/>
    <w:basedOn w:val="Tabletitle"/>
    <w:next w:val="Normalaftertitle"/>
    <w:rsid w:val="000F5A95"/>
    <w:pPr>
      <w:spacing w:before="120" w:after="0"/>
    </w:pPr>
  </w:style>
  <w:style w:type="paragraph" w:customStyle="1" w:styleId="Tabletitle">
    <w:name w:val="Table_title"/>
    <w:basedOn w:val="TableNo"/>
    <w:next w:val="Tabletext"/>
    <w:rsid w:val="000F5A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0F5A95"/>
    <w:pPr>
      <w:keepNext/>
      <w:keepLines/>
      <w:spacing w:before="480" w:after="120"/>
      <w:jc w:val="center"/>
    </w:pPr>
    <w:rPr>
      <w:caps/>
    </w:rPr>
  </w:style>
  <w:style w:type="paragraph" w:customStyle="1" w:styleId="Tabletext">
    <w:name w:val="Table_text"/>
    <w:basedOn w:val="Normal"/>
    <w:rsid w:val="000F5A95"/>
    <w:pPr>
      <w:tabs>
        <w:tab w:val="clear" w:pos="1134"/>
        <w:tab w:val="clear" w:pos="1701"/>
        <w:tab w:val="clear" w:pos="2268"/>
        <w:tab w:val="clear" w:pos="2835"/>
        <w:tab w:val="left" w:pos="284"/>
        <w:tab w:val="left" w:pos="851"/>
      </w:tabs>
      <w:spacing w:before="40" w:after="40"/>
    </w:pPr>
    <w:rPr>
      <w:sz w:val="22"/>
    </w:rPr>
  </w:style>
  <w:style w:type="paragraph" w:customStyle="1" w:styleId="Figurelegend">
    <w:name w:val="Figure_legend"/>
    <w:basedOn w:val="Normal"/>
    <w:next w:val="Normal"/>
    <w:rsid w:val="000F5A95"/>
    <w:pPr>
      <w:spacing w:before="20" w:after="240"/>
    </w:pPr>
    <w:rPr>
      <w:sz w:val="18"/>
    </w:rPr>
  </w:style>
  <w:style w:type="paragraph" w:customStyle="1" w:styleId="Equation">
    <w:name w:val="Equation"/>
    <w:basedOn w:val="Normal"/>
    <w:rsid w:val="000F5A95"/>
    <w:pPr>
      <w:tabs>
        <w:tab w:val="center" w:pos="4820"/>
        <w:tab w:val="right" w:pos="9639"/>
      </w:tabs>
    </w:pPr>
  </w:style>
  <w:style w:type="paragraph" w:customStyle="1" w:styleId="Head">
    <w:name w:val="Head"/>
    <w:basedOn w:val="Normal"/>
    <w:rsid w:val="000F5A95"/>
    <w:pPr>
      <w:tabs>
        <w:tab w:val="left" w:pos="6663"/>
      </w:tabs>
      <w:overflowPunct/>
      <w:autoSpaceDE/>
      <w:autoSpaceDN/>
      <w:adjustRightInd/>
      <w:spacing w:before="0"/>
      <w:textAlignment w:val="auto"/>
    </w:pPr>
  </w:style>
  <w:style w:type="paragraph" w:customStyle="1" w:styleId="toc0">
    <w:name w:val="toc 0"/>
    <w:basedOn w:val="Normal"/>
    <w:next w:val="TOC1"/>
    <w:rsid w:val="000F5A95"/>
    <w:pPr>
      <w:tabs>
        <w:tab w:val="clear" w:pos="567"/>
        <w:tab w:val="clear" w:pos="1134"/>
        <w:tab w:val="clear" w:pos="1701"/>
        <w:tab w:val="clear" w:pos="2268"/>
        <w:tab w:val="clear" w:pos="2835"/>
        <w:tab w:val="right" w:pos="9781"/>
      </w:tabs>
    </w:pPr>
    <w:rPr>
      <w:b/>
    </w:rPr>
  </w:style>
  <w:style w:type="paragraph" w:styleId="List">
    <w:name w:val="List"/>
    <w:basedOn w:val="Normal"/>
    <w:rsid w:val="000F5A95"/>
    <w:pPr>
      <w:tabs>
        <w:tab w:val="left" w:pos="2127"/>
      </w:tabs>
      <w:ind w:left="2127" w:hanging="2127"/>
    </w:pPr>
  </w:style>
  <w:style w:type="paragraph" w:customStyle="1" w:styleId="Part">
    <w:name w:val="Part"/>
    <w:basedOn w:val="Normal"/>
    <w:rsid w:val="000F5A95"/>
    <w:pPr>
      <w:tabs>
        <w:tab w:val="left" w:pos="1276"/>
      </w:tabs>
      <w:spacing w:before="199"/>
      <w:ind w:left="1701" w:hanging="1701"/>
    </w:pPr>
    <w:rPr>
      <w:caps/>
    </w:rPr>
  </w:style>
  <w:style w:type="paragraph" w:customStyle="1" w:styleId="Figurewithouttitle">
    <w:name w:val="Figure_without_title"/>
    <w:basedOn w:val="Figure"/>
    <w:next w:val="Normal"/>
    <w:rsid w:val="000F5A95"/>
  </w:style>
  <w:style w:type="character" w:styleId="PageNumber">
    <w:name w:val="page number"/>
    <w:basedOn w:val="DefaultParagraphFont"/>
    <w:rsid w:val="000F5A95"/>
    <w:rPr>
      <w:rFonts w:ascii="Calibri" w:hAnsi="Calibri"/>
    </w:rPr>
  </w:style>
  <w:style w:type="paragraph" w:customStyle="1" w:styleId="meeting">
    <w:name w:val="meeting"/>
    <w:basedOn w:val="Head"/>
    <w:next w:val="Head"/>
    <w:rsid w:val="000F5A95"/>
    <w:pPr>
      <w:tabs>
        <w:tab w:val="left" w:pos="7371"/>
      </w:tabs>
      <w:spacing w:after="567"/>
    </w:pPr>
  </w:style>
  <w:style w:type="paragraph" w:customStyle="1" w:styleId="PartNo">
    <w:name w:val="Part_No"/>
    <w:basedOn w:val="AnnexNo"/>
    <w:next w:val="Parttitle"/>
    <w:rsid w:val="000F5A95"/>
  </w:style>
  <w:style w:type="paragraph" w:customStyle="1" w:styleId="Parttitle">
    <w:name w:val="Part_title"/>
    <w:basedOn w:val="Annextitle"/>
    <w:next w:val="Partref"/>
    <w:rsid w:val="000F5A95"/>
  </w:style>
  <w:style w:type="paragraph" w:customStyle="1" w:styleId="Partref">
    <w:name w:val="Part_ref"/>
    <w:basedOn w:val="Annexref"/>
    <w:next w:val="Normalaftertitle"/>
    <w:rsid w:val="000F5A95"/>
  </w:style>
  <w:style w:type="paragraph" w:customStyle="1" w:styleId="Headingb">
    <w:name w:val="Heading_b"/>
    <w:basedOn w:val="Heading3"/>
    <w:next w:val="Normal"/>
    <w:rsid w:val="000F5A95"/>
    <w:pPr>
      <w:spacing w:before="160"/>
      <w:ind w:left="0" w:firstLine="0"/>
      <w:outlineLvl w:val="0"/>
    </w:pPr>
  </w:style>
  <w:style w:type="paragraph" w:customStyle="1" w:styleId="Subject">
    <w:name w:val="Subject"/>
    <w:basedOn w:val="Normal"/>
    <w:next w:val="Source"/>
    <w:rsid w:val="000F5A95"/>
    <w:pPr>
      <w:tabs>
        <w:tab w:val="left" w:pos="709"/>
      </w:tabs>
      <w:spacing w:before="0"/>
      <w:ind w:left="709" w:hanging="709"/>
    </w:pPr>
  </w:style>
  <w:style w:type="paragraph" w:customStyle="1" w:styleId="Source">
    <w:name w:val="Source"/>
    <w:basedOn w:val="Normal"/>
    <w:next w:val="Title1"/>
    <w:rsid w:val="000F5A95"/>
    <w:pPr>
      <w:spacing w:before="840"/>
      <w:jc w:val="center"/>
    </w:pPr>
    <w:rPr>
      <w:b/>
      <w:sz w:val="28"/>
    </w:rPr>
  </w:style>
  <w:style w:type="paragraph" w:customStyle="1" w:styleId="Data">
    <w:name w:val="Data"/>
    <w:basedOn w:val="Subject"/>
    <w:next w:val="Subject"/>
    <w:rsid w:val="000F5A95"/>
  </w:style>
  <w:style w:type="character" w:styleId="Hyperlink">
    <w:name w:val="Hyperlink"/>
    <w:basedOn w:val="DefaultParagraphFont"/>
    <w:rsid w:val="00234DB3"/>
    <w:rPr>
      <w:rFonts w:eastAsiaTheme="minorHAnsi" w:cstheme="minorBidi"/>
      <w:color w:val="4F81BD" w:themeColor="accent1"/>
      <w:szCs w:val="22"/>
      <w:u w:val="single"/>
    </w:rPr>
  </w:style>
  <w:style w:type="character" w:styleId="FollowedHyperlink">
    <w:name w:val="FollowedHyperlink"/>
    <w:basedOn w:val="DefaultParagraphFont"/>
    <w:rsid w:val="000F5A95"/>
    <w:rPr>
      <w:color w:val="800080"/>
      <w:u w:val="single"/>
    </w:rPr>
  </w:style>
  <w:style w:type="paragraph" w:customStyle="1" w:styleId="FirstFooter">
    <w:name w:val="FirstFooter"/>
    <w:basedOn w:val="Footer"/>
    <w:rsid w:val="000F5A95"/>
    <w:rPr>
      <w:caps w:val="0"/>
    </w:rPr>
  </w:style>
  <w:style w:type="paragraph" w:customStyle="1" w:styleId="Note">
    <w:name w:val="Note"/>
    <w:basedOn w:val="Normal"/>
    <w:rsid w:val="000F5A95"/>
    <w:pPr>
      <w:spacing w:before="80"/>
    </w:pPr>
    <w:rPr>
      <w:sz w:val="22"/>
    </w:rPr>
  </w:style>
  <w:style w:type="paragraph" w:styleId="TOC9">
    <w:name w:val="toc 9"/>
    <w:basedOn w:val="Normal"/>
    <w:next w:val="Normal"/>
    <w:rsid w:val="000F5A95"/>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0F5A95"/>
    <w:pPr>
      <w:spacing w:before="160"/>
      <w:ind w:left="0" w:firstLine="0"/>
      <w:outlineLvl w:val="0"/>
    </w:pPr>
    <w:rPr>
      <w:b w:val="0"/>
      <w:i/>
    </w:rPr>
  </w:style>
  <w:style w:type="paragraph" w:customStyle="1" w:styleId="Title1">
    <w:name w:val="Title 1"/>
    <w:basedOn w:val="Normal"/>
    <w:next w:val="Normalaftertitle"/>
    <w:rsid w:val="00535747"/>
    <w:pPr>
      <w:framePr w:hSpace="181" w:wrap="around" w:vAnchor="page" w:hAnchor="page" w:x="1589" w:y="2314"/>
      <w:spacing w:before="360" w:after="120"/>
      <w:jc w:val="center"/>
    </w:pPr>
    <w:rPr>
      <w:caps/>
      <w:sz w:val="28"/>
      <w:szCs w:val="28"/>
      <w:lang w:val="es-ES_tradnl"/>
    </w:rPr>
  </w:style>
  <w:style w:type="paragraph" w:customStyle="1" w:styleId="Title2">
    <w:name w:val="Title 2"/>
    <w:basedOn w:val="Title1"/>
    <w:next w:val="Normalaftertitle"/>
    <w:rsid w:val="000F5A95"/>
    <w:pPr>
      <w:keepNext/>
      <w:keepLines/>
      <w:framePr w:wrap="around"/>
      <w:spacing w:before="240"/>
    </w:pPr>
    <w:rPr>
      <w:b/>
      <w:caps w:val="0"/>
    </w:rPr>
  </w:style>
  <w:style w:type="paragraph" w:customStyle="1" w:styleId="Title3">
    <w:name w:val="Title 3"/>
    <w:basedOn w:val="Title2"/>
    <w:next w:val="Normalaftertitle"/>
    <w:rsid w:val="000F5A95"/>
    <w:pPr>
      <w:framePr w:wrap="around"/>
    </w:pPr>
    <w:rPr>
      <w:b w:val="0"/>
      <w:caps/>
    </w:rPr>
  </w:style>
  <w:style w:type="paragraph" w:customStyle="1" w:styleId="Title4">
    <w:name w:val="Title 4"/>
    <w:basedOn w:val="Annextitle"/>
    <w:next w:val="Normal"/>
    <w:rsid w:val="000F5A95"/>
    <w:pPr>
      <w:spacing w:after="120"/>
    </w:pPr>
    <w:rPr>
      <w:b w:val="0"/>
    </w:rPr>
  </w:style>
  <w:style w:type="paragraph" w:customStyle="1" w:styleId="dnum">
    <w:name w:val="dnum"/>
    <w:basedOn w:val="Normal"/>
    <w:rsid w:val="000F5A95"/>
    <w:pPr>
      <w:framePr w:hSpace="181" w:wrap="notBeside" w:vAnchor="page" w:hAnchor="margin" w:x="1" w:y="852"/>
      <w:shd w:val="solid" w:color="FFFFFF" w:fill="FFFFFF"/>
      <w:tabs>
        <w:tab w:val="left" w:pos="1871"/>
      </w:tabs>
    </w:pPr>
    <w:rPr>
      <w:b/>
      <w:bCs/>
    </w:rPr>
  </w:style>
  <w:style w:type="paragraph" w:customStyle="1" w:styleId="ddate">
    <w:name w:val="ddate"/>
    <w:basedOn w:val="Normal"/>
    <w:rsid w:val="000F5A95"/>
    <w:pPr>
      <w:framePr w:hSpace="181" w:wrap="notBeside" w:vAnchor="page" w:hAnchor="margin" w:x="1" w:y="852"/>
      <w:shd w:val="solid" w:color="FFFFFF" w:fill="FFFFFF"/>
      <w:tabs>
        <w:tab w:val="left" w:pos="1871"/>
      </w:tabs>
      <w:spacing w:before="0"/>
    </w:pPr>
    <w:rPr>
      <w:b/>
      <w:bCs/>
    </w:rPr>
  </w:style>
  <w:style w:type="paragraph" w:customStyle="1" w:styleId="dorlang">
    <w:name w:val="dorlang"/>
    <w:basedOn w:val="Normal"/>
    <w:rsid w:val="000F5A95"/>
    <w:pPr>
      <w:framePr w:hSpace="181" w:wrap="notBeside" w:vAnchor="page" w:hAnchor="margin" w:x="1" w:y="852"/>
      <w:shd w:val="solid" w:color="FFFFFF" w:fill="FFFFFF"/>
      <w:tabs>
        <w:tab w:val="left" w:pos="1871"/>
      </w:tabs>
      <w:spacing w:before="0"/>
    </w:pPr>
    <w:rPr>
      <w:b/>
      <w:bCs/>
    </w:rPr>
  </w:style>
  <w:style w:type="paragraph" w:customStyle="1" w:styleId="RecNo">
    <w:name w:val="Rec_No"/>
    <w:basedOn w:val="Normal"/>
    <w:next w:val="Rectitle"/>
    <w:rsid w:val="000F5A95"/>
    <w:pPr>
      <w:keepNext/>
      <w:keepLines/>
      <w:spacing w:before="720"/>
      <w:jc w:val="center"/>
    </w:pPr>
    <w:rPr>
      <w:caps/>
      <w:sz w:val="28"/>
    </w:rPr>
  </w:style>
  <w:style w:type="paragraph" w:customStyle="1" w:styleId="Rectitle">
    <w:name w:val="Rec_title"/>
    <w:basedOn w:val="Normal"/>
    <w:next w:val="Heading1"/>
    <w:rsid w:val="000F5A95"/>
    <w:pPr>
      <w:keepNext/>
      <w:keepLines/>
      <w:jc w:val="center"/>
    </w:pPr>
    <w:rPr>
      <w:b/>
      <w:sz w:val="28"/>
    </w:rPr>
  </w:style>
  <w:style w:type="paragraph" w:customStyle="1" w:styleId="Recref">
    <w:name w:val="Rec_ref"/>
    <w:basedOn w:val="Rectitle"/>
    <w:next w:val="Recdate"/>
    <w:rsid w:val="000F5A95"/>
    <w:rPr>
      <w:rFonts w:ascii="Times New Roman" w:hAnsi="Times New Roman"/>
      <w:b w:val="0"/>
      <w:sz w:val="24"/>
    </w:rPr>
  </w:style>
  <w:style w:type="paragraph" w:customStyle="1" w:styleId="Recdate">
    <w:name w:val="Rec_date"/>
    <w:basedOn w:val="Recref"/>
    <w:next w:val="Normalaftertitle"/>
    <w:rsid w:val="000F5A95"/>
    <w:pPr>
      <w:jc w:val="right"/>
    </w:pPr>
    <w:rPr>
      <w:sz w:val="22"/>
    </w:rPr>
  </w:style>
  <w:style w:type="paragraph" w:customStyle="1" w:styleId="Questiondate">
    <w:name w:val="Question_date"/>
    <w:basedOn w:val="Recdate"/>
    <w:next w:val="Normalaftertitle"/>
    <w:rsid w:val="000F5A95"/>
  </w:style>
  <w:style w:type="paragraph" w:customStyle="1" w:styleId="QuestionNo">
    <w:name w:val="Question_No"/>
    <w:basedOn w:val="RecNo"/>
    <w:next w:val="Questiontitle"/>
    <w:rsid w:val="000F5A95"/>
  </w:style>
  <w:style w:type="paragraph" w:customStyle="1" w:styleId="Questiontitle">
    <w:name w:val="Question_title"/>
    <w:basedOn w:val="Rectitle"/>
    <w:next w:val="Questionref"/>
    <w:rsid w:val="000F5A95"/>
  </w:style>
  <w:style w:type="paragraph" w:customStyle="1" w:styleId="Questionref">
    <w:name w:val="Question_ref"/>
    <w:basedOn w:val="Recref"/>
    <w:next w:val="Questiondate"/>
    <w:rsid w:val="000F5A95"/>
  </w:style>
  <w:style w:type="paragraph" w:customStyle="1" w:styleId="Reftext">
    <w:name w:val="Ref_text"/>
    <w:basedOn w:val="Normal"/>
    <w:rsid w:val="000F5A95"/>
    <w:pPr>
      <w:ind w:left="567" w:hanging="567"/>
    </w:pPr>
  </w:style>
  <w:style w:type="paragraph" w:customStyle="1" w:styleId="Reftitle">
    <w:name w:val="Ref_title"/>
    <w:basedOn w:val="Normal"/>
    <w:next w:val="Reftext"/>
    <w:rsid w:val="000F5A95"/>
    <w:pPr>
      <w:spacing w:before="480"/>
      <w:jc w:val="center"/>
    </w:pPr>
    <w:rPr>
      <w:caps/>
      <w:sz w:val="28"/>
    </w:rPr>
  </w:style>
  <w:style w:type="paragraph" w:customStyle="1" w:styleId="Repdate">
    <w:name w:val="Rep_date"/>
    <w:basedOn w:val="Recdate"/>
    <w:next w:val="Normalaftertitle"/>
    <w:rsid w:val="000F5A95"/>
  </w:style>
  <w:style w:type="paragraph" w:customStyle="1" w:styleId="RepNo">
    <w:name w:val="Rep_No"/>
    <w:basedOn w:val="RecNo"/>
    <w:next w:val="Reptitle"/>
    <w:rsid w:val="000F5A95"/>
  </w:style>
  <w:style w:type="paragraph" w:customStyle="1" w:styleId="Reptitle">
    <w:name w:val="Rep_title"/>
    <w:basedOn w:val="Rectitle"/>
    <w:next w:val="Repref"/>
    <w:rsid w:val="000F5A95"/>
  </w:style>
  <w:style w:type="paragraph" w:customStyle="1" w:styleId="Repref">
    <w:name w:val="Rep_ref"/>
    <w:basedOn w:val="Recref"/>
    <w:next w:val="Repdate"/>
    <w:rsid w:val="000F5A95"/>
  </w:style>
  <w:style w:type="paragraph" w:customStyle="1" w:styleId="Resdate">
    <w:name w:val="Res_date"/>
    <w:basedOn w:val="Recdate"/>
    <w:next w:val="Normalaftertitle"/>
    <w:rsid w:val="000F5A95"/>
  </w:style>
  <w:style w:type="paragraph" w:customStyle="1" w:styleId="ResNo">
    <w:name w:val="Res_No"/>
    <w:basedOn w:val="AnnexNo"/>
    <w:next w:val="Restitle"/>
    <w:rsid w:val="000F5A95"/>
  </w:style>
  <w:style w:type="paragraph" w:customStyle="1" w:styleId="Restitle">
    <w:name w:val="Res_title"/>
    <w:basedOn w:val="Annextitle"/>
    <w:next w:val="Normal"/>
    <w:rsid w:val="000F5A95"/>
  </w:style>
  <w:style w:type="paragraph" w:customStyle="1" w:styleId="Resref">
    <w:name w:val="Res_ref"/>
    <w:basedOn w:val="Recref"/>
    <w:next w:val="Resdate"/>
    <w:rsid w:val="000F5A95"/>
  </w:style>
  <w:style w:type="paragraph" w:customStyle="1" w:styleId="SectionNo">
    <w:name w:val="Section_No"/>
    <w:basedOn w:val="AnnexNo"/>
    <w:next w:val="Sectiontitle"/>
    <w:rsid w:val="000F5A95"/>
  </w:style>
  <w:style w:type="paragraph" w:customStyle="1" w:styleId="Sectiontitle">
    <w:name w:val="Section_title"/>
    <w:basedOn w:val="Normal"/>
    <w:next w:val="Normalaftertitle"/>
    <w:rsid w:val="000F5A95"/>
    <w:rPr>
      <w:sz w:val="28"/>
    </w:rPr>
  </w:style>
  <w:style w:type="paragraph" w:customStyle="1" w:styleId="SpecialFooter">
    <w:name w:val="Special Footer"/>
    <w:basedOn w:val="Footer"/>
    <w:rsid w:val="000F5A95"/>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rsid w:val="000F5A95"/>
    <w:pPr>
      <w:keepNext/>
      <w:keepLines/>
      <w:spacing w:before="80" w:after="80"/>
      <w:jc w:val="center"/>
    </w:pPr>
    <w:rPr>
      <w:b/>
    </w:rPr>
  </w:style>
  <w:style w:type="paragraph" w:customStyle="1" w:styleId="Tablelegend">
    <w:name w:val="Table_legend"/>
    <w:basedOn w:val="Tabletext"/>
    <w:rsid w:val="000F5A95"/>
    <w:pPr>
      <w:ind w:left="284" w:hanging="284"/>
    </w:pPr>
    <w:rPr>
      <w:sz w:val="20"/>
    </w:rPr>
  </w:style>
  <w:style w:type="paragraph" w:customStyle="1" w:styleId="Tableref">
    <w:name w:val="Table_ref"/>
    <w:basedOn w:val="Normal"/>
    <w:next w:val="Tabletitle"/>
    <w:rsid w:val="000F5A95"/>
    <w:pPr>
      <w:keepNext/>
      <w:keepLines/>
      <w:jc w:val="center"/>
    </w:pPr>
    <w:rPr>
      <w:sz w:val="20"/>
    </w:rPr>
  </w:style>
  <w:style w:type="paragraph" w:customStyle="1" w:styleId="Reasons">
    <w:name w:val="Reasons"/>
    <w:basedOn w:val="Normal"/>
    <w:qFormat/>
    <w:rsid w:val="000F5A95"/>
  </w:style>
  <w:style w:type="paragraph" w:customStyle="1" w:styleId="FigureNo">
    <w:name w:val="Figure_No"/>
    <w:basedOn w:val="Normal"/>
    <w:next w:val="Figuretitle"/>
    <w:rsid w:val="000F5A95"/>
    <w:pPr>
      <w:keepNext/>
      <w:keepLines/>
      <w:spacing w:before="480" w:after="120"/>
      <w:jc w:val="center"/>
    </w:pPr>
    <w:rPr>
      <w:caps/>
    </w:rPr>
  </w:style>
  <w:style w:type="paragraph" w:customStyle="1" w:styleId="Table">
    <w:name w:val="Table_#"/>
    <w:basedOn w:val="Normal"/>
    <w:next w:val="Normal"/>
    <w:rsid w:val="00093EEB"/>
    <w:pPr>
      <w:keepNext/>
      <w:overflowPunct/>
      <w:autoSpaceDE/>
      <w:autoSpaceDN/>
      <w:adjustRightInd/>
      <w:spacing w:before="560" w:after="120"/>
      <w:jc w:val="center"/>
      <w:textAlignment w:val="auto"/>
    </w:pPr>
    <w:rPr>
      <w:caps/>
      <w:lang w:val="en-GB"/>
    </w:rPr>
  </w:style>
  <w:style w:type="paragraph" w:customStyle="1" w:styleId="Subtitle">
    <w:name w:val="Sub_title"/>
    <w:basedOn w:val="Normal"/>
    <w:qFormat/>
    <w:rsid w:val="000F5A95"/>
    <w:pPr>
      <w:framePr w:hSpace="180" w:wrap="around" w:hAnchor="page" w:x="1821" w:y="2317"/>
      <w:spacing w:after="160"/>
    </w:pPr>
    <w:rPr>
      <w:sz w:val="34"/>
      <w:lang w:val="en-GB"/>
    </w:rPr>
  </w:style>
  <w:style w:type="character" w:customStyle="1" w:styleId="HeaderChar">
    <w:name w:val="Header Char"/>
    <w:basedOn w:val="DefaultParagraphFont"/>
    <w:link w:val="Header"/>
    <w:uiPriority w:val="99"/>
    <w:rsid w:val="000F5A95"/>
    <w:rPr>
      <w:rFonts w:ascii="Calibri" w:hAnsi="Calibri"/>
      <w:sz w:val="18"/>
      <w:lang w:val="fr-FR" w:eastAsia="en-US"/>
    </w:rPr>
  </w:style>
  <w:style w:type="table" w:styleId="TableGrid">
    <w:name w:val="Table Grid"/>
    <w:basedOn w:val="TableNormal"/>
    <w:uiPriority w:val="39"/>
    <w:rsid w:val="000F5A9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5A95"/>
    <w:rPr>
      <w:color w:val="666666"/>
    </w:rPr>
  </w:style>
  <w:style w:type="character" w:styleId="UnresolvedMention">
    <w:name w:val="Unresolved Mention"/>
    <w:basedOn w:val="DefaultParagraphFont"/>
    <w:uiPriority w:val="99"/>
    <w:semiHidden/>
    <w:unhideWhenUsed/>
    <w:rsid w:val="002946E2"/>
    <w:rPr>
      <w:color w:val="605E5C"/>
      <w:shd w:val="clear" w:color="auto" w:fill="E1DFDD"/>
    </w:rPr>
  </w:style>
  <w:style w:type="paragraph" w:customStyle="1" w:styleId="firstfooter0">
    <w:name w:val="firstfooter"/>
    <w:basedOn w:val="Normal"/>
    <w:rsid w:val="000F5A9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Object">
    <w:name w:val="Object"/>
    <w:basedOn w:val="Subject"/>
    <w:next w:val="Subject"/>
    <w:rsid w:val="000F5A95"/>
  </w:style>
  <w:style w:type="paragraph" w:customStyle="1" w:styleId="Referencetext">
    <w:name w:val="Reference_text"/>
    <w:basedOn w:val="Normal"/>
    <w:rsid w:val="000F5A95"/>
    <w:pPr>
      <w:framePr w:hSpace="181" w:wrap="around" w:vAnchor="page" w:hAnchor="page" w:x="1589" w:y="2314"/>
      <w:spacing w:after="160"/>
    </w:pPr>
    <w:rPr>
      <w:i/>
      <w:iCs/>
      <w:sz w:val="22"/>
      <w:szCs w:val="22"/>
    </w:rPr>
  </w:style>
  <w:style w:type="paragraph" w:styleId="Revision">
    <w:name w:val="Revision"/>
    <w:hidden/>
    <w:uiPriority w:val="99"/>
    <w:semiHidden/>
    <w:rsid w:val="00C57F4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26EXT-C-0002/es" TargetMode="External"/><Relationship Id="rId13" Type="http://schemas.openxmlformats.org/officeDocument/2006/relationships/hyperlink" Target="https://www.itu.int/md/S26-C26EXT-C-0001/es" TargetMode="External"/><Relationship Id="rId18" Type="http://schemas.openxmlformats.org/officeDocument/2006/relationships/hyperlink" Target="https://www.itu.int/md/S26-C26EXT-C-0006/e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itu.int/md/S26-C26EXT-C-0003/en" TargetMode="External"/><Relationship Id="rId7" Type="http://schemas.openxmlformats.org/officeDocument/2006/relationships/hyperlink" Target="https://www.itu.int/md/S26-C26EXT-C-0001/es" TargetMode="External"/><Relationship Id="rId12" Type="http://schemas.openxmlformats.org/officeDocument/2006/relationships/hyperlink" Target="https://www.itu.int/md/S26-C26EXT-C-0007/es" TargetMode="External"/><Relationship Id="rId17" Type="http://schemas.openxmlformats.org/officeDocument/2006/relationships/hyperlink" Target="https://www.itu.int/md/S26-C26EXT-C-0004/es" TargetMode="External"/><Relationship Id="rId25" Type="http://schemas.openxmlformats.org/officeDocument/2006/relationships/hyperlink" Target="https://www.itu.int/md/S26-C26EXT-C-0007/en" TargetMode="External"/><Relationship Id="rId2" Type="http://schemas.openxmlformats.org/officeDocument/2006/relationships/styles" Target="styles.xml"/><Relationship Id="rId16" Type="http://schemas.openxmlformats.org/officeDocument/2006/relationships/hyperlink" Target="https://www.itu.int/md/S26-C26EXT-C-0003/es" TargetMode="External"/><Relationship Id="rId20" Type="http://schemas.openxmlformats.org/officeDocument/2006/relationships/hyperlink" Target="https://www.itu.int/md/S26-C26EXT-C-0002/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md/S26-C26EXT-C-0006/es" TargetMode="External"/><Relationship Id="rId24" Type="http://schemas.openxmlformats.org/officeDocument/2006/relationships/hyperlink" Target="https://www.itu.int/md/S26-C26EXT-C-0006/en" TargetMode="External"/><Relationship Id="rId5" Type="http://schemas.openxmlformats.org/officeDocument/2006/relationships/footnotes" Target="footnotes.xml"/><Relationship Id="rId15" Type="http://schemas.openxmlformats.org/officeDocument/2006/relationships/hyperlink" Target="https://www.itu.int/md/S26-C26EXT-C-0002/es" TargetMode="External"/><Relationship Id="rId23" Type="http://schemas.openxmlformats.org/officeDocument/2006/relationships/hyperlink" Target="https://www.itu.int/md/S26-C26EXT-C-0005/en" TargetMode="External"/><Relationship Id="rId28" Type="http://schemas.openxmlformats.org/officeDocument/2006/relationships/footer" Target="footer2.xml"/><Relationship Id="rId10" Type="http://schemas.openxmlformats.org/officeDocument/2006/relationships/hyperlink" Target="https://www.itu.int/md/S26-C26EXT-C-0004/es" TargetMode="External"/><Relationship Id="rId19" Type="http://schemas.openxmlformats.org/officeDocument/2006/relationships/hyperlink" Target="https://www.itu.int/md/S26-C26EXT-C-0007/es" TargetMode="External"/><Relationship Id="rId4" Type="http://schemas.openxmlformats.org/officeDocument/2006/relationships/webSettings" Target="webSettings.xml"/><Relationship Id="rId9" Type="http://schemas.openxmlformats.org/officeDocument/2006/relationships/hyperlink" Target="https://www.itu.int/md/S26-C26EXT-C-0003/es" TargetMode="External"/><Relationship Id="rId14" Type="http://schemas.openxmlformats.org/officeDocument/2006/relationships/hyperlink" Target="https://www.itu.int/md/S26-C26EXT-C-0001/en" TargetMode="External"/><Relationship Id="rId22" Type="http://schemas.openxmlformats.org/officeDocument/2006/relationships/hyperlink" Target="https://www.itu.int/md/S26-C26EXT-C-0004/en" TargetMode="External"/><Relationship Id="rId27" Type="http://schemas.openxmlformats.org/officeDocument/2006/relationships/header" Target="head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S%20-%20ITU\GS\PS_Council26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A9CC2-3CB1-4877-9045-CEC7E19E5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PS_Council26EXT.dotx</Template>
  <TotalTime>9</TotalTime>
  <Pages>7</Pages>
  <Words>11145</Words>
  <Characters>11927</Characters>
  <Application>Microsoft Office Word</Application>
  <DocSecurity>0</DocSecurity>
  <Lines>627</Lines>
  <Paragraphs>536</Paragraphs>
  <ScaleCrop>false</ScaleCrop>
  <HeadingPairs>
    <vt:vector size="4" baseType="variant">
      <vt:variant>
        <vt:lpstr>Title</vt:lpstr>
      </vt:variant>
      <vt:variant>
        <vt:i4>1</vt:i4>
      </vt:variant>
      <vt:variant>
        <vt:lpstr>UNIÓN INTERNACIONAL DE TELECOMUNICACIONES	</vt:lpstr>
      </vt:variant>
      <vt:variant>
        <vt:i4>0</vt:i4>
      </vt:variant>
    </vt:vector>
  </HeadingPairs>
  <TitlesOfParts>
    <vt:vector size="1" baseType="lpstr">
      <vt:lpstr/>
    </vt:vector>
  </TitlesOfParts>
  <Manager>Secretaría General - Pool</Manager>
  <Company>International Telecommunication Union</Company>
  <LinksUpToDate>false</LinksUpToDate>
  <CharactersWithSpaces>22536</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 los debates de la reunión extraordinaria del Consejo</dc:title>
  <dc:subject>Sesión extraordinaria del Consejo 2026 de la UIT</dc:subject>
  <cp:keywords>C26-EXT; C26; C2026; Council 2026; PP26</cp:keywords>
  <dc:description/>
  <cp:lastPrinted>2006-03-24T09:51:00Z</cp:lastPrinted>
  <dcterms:created xsi:type="dcterms:W3CDTF">2026-09-28T06:52:00Z</dcterms:created>
  <dcterms:modified xsi:type="dcterms:W3CDTF">2026-09-28T11:54:00Z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Documento C17/-S</vt:lpwstr>
  </property>
  <property fmtid="{D5CDD505-2E9C-101B-9397-08002B2CF9AE}" pid="3" name="Docdate">
    <vt:lpwstr>enero de 2017</vt:lpwstr>
  </property>
  <property fmtid="{D5CDD505-2E9C-101B-9397-08002B2CF9AE}" pid="4" name="Docorlang">
    <vt:lpwstr>Original: inglés</vt:lpwstr>
  </property>
  <property fmtid="{D5CDD505-2E9C-101B-9397-08002B2CF9AE}" pid="5" name="Docbluepink">
    <vt:lpwstr>Consejo 2017 Ginebra, 15-25 de mayo de 2017</vt:lpwstr>
  </property>
  <property fmtid="{D5CDD505-2E9C-101B-9397-08002B2CF9AE}" pid="6" name="Docdest">
    <vt:lpwstr/>
  </property>
  <property fmtid="{D5CDD505-2E9C-101B-9397-08002B2CF9AE}" pid="7" name="Docauthor">
    <vt:lpwstr/>
  </property>
  <property fmtid="{D5CDD505-2E9C-101B-9397-08002B2CF9AE}" pid="8" name="GrammarlyDocumentId">
    <vt:lpwstr>5c03a5c9b91678b956e25536f0296632c716f66cf9a10e87f22af88ff3e788b1</vt:lpwstr>
  </property>
</Properties>
</file>