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FE57F6" w:rsidRPr="008C1DDE" w14:paraId="47EAAD06" w14:textId="77777777" w:rsidTr="00C4421B">
        <w:trPr>
          <w:cantSplit/>
          <w:trHeight w:val="23"/>
        </w:trPr>
        <w:tc>
          <w:tcPr>
            <w:tcW w:w="3969" w:type="dxa"/>
            <w:vMerge w:val="restart"/>
            <w:tcMar>
              <w:left w:w="0" w:type="dxa"/>
            </w:tcMar>
          </w:tcPr>
          <w:p w14:paraId="07E5E1E6" w14:textId="131636B8" w:rsidR="00FE57F6" w:rsidRPr="008C1DDE" w:rsidRDefault="00FE57F6" w:rsidP="00C4421B">
            <w:pPr>
              <w:tabs>
                <w:tab w:val="left" w:pos="851"/>
              </w:tabs>
              <w:spacing w:before="0" w:line="240" w:lineRule="atLeast"/>
              <w:rPr>
                <w:b/>
                <w:lang w:val="es-ES_tradnl"/>
              </w:rPr>
            </w:pPr>
            <w:bookmarkStart w:id="0" w:name="_Hlk133421839"/>
          </w:p>
        </w:tc>
        <w:tc>
          <w:tcPr>
            <w:tcW w:w="5245" w:type="dxa"/>
          </w:tcPr>
          <w:p w14:paraId="1917FA51" w14:textId="7267A03A" w:rsidR="00FE57F6" w:rsidRPr="008C1DDE" w:rsidRDefault="00FE57F6" w:rsidP="00C4421B">
            <w:pPr>
              <w:tabs>
                <w:tab w:val="left" w:pos="851"/>
              </w:tabs>
              <w:spacing w:before="0" w:line="240" w:lineRule="atLeast"/>
              <w:jc w:val="right"/>
              <w:rPr>
                <w:b/>
                <w:lang w:val="es-ES_tradnl"/>
              </w:rPr>
            </w:pPr>
            <w:r w:rsidRPr="008C1DDE">
              <w:rPr>
                <w:b/>
                <w:lang w:val="es-ES_tradnl"/>
              </w:rPr>
              <w:t>Document</w:t>
            </w:r>
            <w:r w:rsidR="00F24B71" w:rsidRPr="008C1DDE">
              <w:rPr>
                <w:b/>
                <w:lang w:val="es-ES_tradnl"/>
              </w:rPr>
              <w:t>o</w:t>
            </w:r>
            <w:r w:rsidRPr="008C1DDE">
              <w:rPr>
                <w:b/>
                <w:lang w:val="es-ES_tradnl"/>
              </w:rPr>
              <w:t xml:space="preserve"> C2</w:t>
            </w:r>
            <w:r w:rsidR="00F85E5C" w:rsidRPr="008C1DDE">
              <w:rPr>
                <w:b/>
                <w:lang w:val="es-ES_tradnl"/>
              </w:rPr>
              <w:t>6</w:t>
            </w:r>
            <w:r w:rsidR="00F679A7" w:rsidRPr="008C1DDE">
              <w:rPr>
                <w:b/>
                <w:lang w:val="es-ES_tradnl"/>
              </w:rPr>
              <w:t>-EXT</w:t>
            </w:r>
            <w:r w:rsidRPr="008C1DDE">
              <w:rPr>
                <w:b/>
                <w:lang w:val="es-ES_tradnl"/>
              </w:rPr>
              <w:t>/</w:t>
            </w:r>
            <w:r w:rsidR="00B42A6A" w:rsidRPr="008C1DDE">
              <w:rPr>
                <w:b/>
                <w:lang w:val="es-ES_tradnl"/>
              </w:rPr>
              <w:t>4</w:t>
            </w:r>
            <w:r w:rsidRPr="008C1DDE">
              <w:rPr>
                <w:b/>
                <w:lang w:val="es-ES_tradnl"/>
              </w:rPr>
              <w:t>-</w:t>
            </w:r>
            <w:r w:rsidR="00F24B71" w:rsidRPr="008C1DDE">
              <w:rPr>
                <w:b/>
                <w:lang w:val="es-ES_tradnl"/>
              </w:rPr>
              <w:t>S</w:t>
            </w:r>
          </w:p>
        </w:tc>
      </w:tr>
      <w:tr w:rsidR="00FE57F6" w:rsidRPr="008C1DDE" w14:paraId="51813B43" w14:textId="77777777" w:rsidTr="00C4421B">
        <w:trPr>
          <w:cantSplit/>
        </w:trPr>
        <w:tc>
          <w:tcPr>
            <w:tcW w:w="3969" w:type="dxa"/>
            <w:vMerge/>
          </w:tcPr>
          <w:p w14:paraId="10FC907B" w14:textId="77777777" w:rsidR="00FE57F6" w:rsidRPr="008C1DDE" w:rsidRDefault="00FE57F6" w:rsidP="00C4421B">
            <w:pPr>
              <w:tabs>
                <w:tab w:val="left" w:pos="851"/>
              </w:tabs>
              <w:spacing w:line="240" w:lineRule="atLeast"/>
              <w:rPr>
                <w:b/>
                <w:lang w:val="es-ES_tradnl"/>
              </w:rPr>
            </w:pPr>
          </w:p>
        </w:tc>
        <w:tc>
          <w:tcPr>
            <w:tcW w:w="5245" w:type="dxa"/>
          </w:tcPr>
          <w:p w14:paraId="443F753B" w14:textId="00DB5F3A" w:rsidR="00FE57F6" w:rsidRPr="008C1DDE" w:rsidRDefault="00B42A6A" w:rsidP="00C4421B">
            <w:pPr>
              <w:tabs>
                <w:tab w:val="left" w:pos="851"/>
              </w:tabs>
              <w:spacing w:before="0"/>
              <w:jc w:val="right"/>
              <w:rPr>
                <w:b/>
                <w:lang w:val="es-ES_tradnl"/>
              </w:rPr>
            </w:pPr>
            <w:r w:rsidRPr="008C1DDE">
              <w:rPr>
                <w:b/>
                <w:lang w:val="es-ES_tradnl"/>
              </w:rPr>
              <w:t>24 de agosto de 2026</w:t>
            </w:r>
          </w:p>
        </w:tc>
      </w:tr>
      <w:tr w:rsidR="00FE57F6" w:rsidRPr="008C1DDE" w14:paraId="20717F4D" w14:textId="77777777" w:rsidTr="00C4421B">
        <w:trPr>
          <w:cantSplit/>
          <w:trHeight w:val="23"/>
        </w:trPr>
        <w:tc>
          <w:tcPr>
            <w:tcW w:w="3969" w:type="dxa"/>
            <w:vMerge/>
          </w:tcPr>
          <w:p w14:paraId="65CB6995" w14:textId="77777777" w:rsidR="00FE57F6" w:rsidRPr="008C1DDE" w:rsidRDefault="00FE57F6" w:rsidP="00C4421B">
            <w:pPr>
              <w:tabs>
                <w:tab w:val="left" w:pos="851"/>
              </w:tabs>
              <w:spacing w:line="240" w:lineRule="atLeast"/>
              <w:rPr>
                <w:b/>
                <w:lang w:val="es-ES_tradnl"/>
              </w:rPr>
            </w:pPr>
          </w:p>
        </w:tc>
        <w:tc>
          <w:tcPr>
            <w:tcW w:w="5245" w:type="dxa"/>
          </w:tcPr>
          <w:p w14:paraId="479E56B7" w14:textId="1DB3BAE9" w:rsidR="00FE57F6" w:rsidRPr="008C1DDE" w:rsidRDefault="00F24B71" w:rsidP="00C4421B">
            <w:pPr>
              <w:tabs>
                <w:tab w:val="left" w:pos="851"/>
              </w:tabs>
              <w:spacing w:before="0" w:line="240" w:lineRule="atLeast"/>
              <w:jc w:val="right"/>
              <w:rPr>
                <w:b/>
                <w:bCs/>
                <w:lang w:val="es-ES_tradnl"/>
              </w:rPr>
            </w:pPr>
            <w:r w:rsidRPr="008C1DDE">
              <w:rPr>
                <w:rFonts w:cstheme="minorHAnsi"/>
                <w:b/>
                <w:bCs/>
                <w:lang w:val="es-ES_tradnl"/>
              </w:rPr>
              <w:t xml:space="preserve">Original: </w:t>
            </w:r>
            <w:r w:rsidR="00B42A6A" w:rsidRPr="008C1DDE">
              <w:rPr>
                <w:rFonts w:cstheme="minorHAnsi"/>
                <w:b/>
                <w:bCs/>
                <w:lang w:val="es-ES_tradnl"/>
              </w:rPr>
              <w:t>ruso</w:t>
            </w:r>
          </w:p>
        </w:tc>
      </w:tr>
      <w:tr w:rsidR="00FE57F6" w:rsidRPr="008C1DDE" w14:paraId="3261E39E" w14:textId="77777777" w:rsidTr="00C4421B">
        <w:trPr>
          <w:cantSplit/>
          <w:trHeight w:val="23"/>
        </w:trPr>
        <w:tc>
          <w:tcPr>
            <w:tcW w:w="3969" w:type="dxa"/>
          </w:tcPr>
          <w:p w14:paraId="3D2D7820" w14:textId="77777777" w:rsidR="00FE57F6" w:rsidRPr="008C1DDE" w:rsidRDefault="00FE57F6" w:rsidP="00C4421B">
            <w:pPr>
              <w:tabs>
                <w:tab w:val="left" w:pos="851"/>
              </w:tabs>
              <w:spacing w:line="240" w:lineRule="atLeast"/>
              <w:rPr>
                <w:b/>
                <w:lang w:val="es-ES_tradnl"/>
              </w:rPr>
            </w:pPr>
          </w:p>
        </w:tc>
        <w:tc>
          <w:tcPr>
            <w:tcW w:w="5245" w:type="dxa"/>
          </w:tcPr>
          <w:p w14:paraId="14664496" w14:textId="77777777" w:rsidR="00FE57F6" w:rsidRPr="008C1DDE" w:rsidRDefault="00FE57F6" w:rsidP="00C4421B">
            <w:pPr>
              <w:tabs>
                <w:tab w:val="left" w:pos="851"/>
              </w:tabs>
              <w:spacing w:before="0" w:line="240" w:lineRule="atLeast"/>
              <w:jc w:val="right"/>
              <w:rPr>
                <w:b/>
                <w:lang w:val="es-ES_tradnl"/>
              </w:rPr>
            </w:pPr>
          </w:p>
        </w:tc>
      </w:tr>
      <w:tr w:rsidR="00FE57F6" w:rsidRPr="008C1DDE" w14:paraId="12982A31" w14:textId="77777777" w:rsidTr="00C4421B">
        <w:trPr>
          <w:cantSplit/>
        </w:trPr>
        <w:tc>
          <w:tcPr>
            <w:tcW w:w="9214" w:type="dxa"/>
            <w:gridSpan w:val="2"/>
            <w:tcMar>
              <w:left w:w="0" w:type="dxa"/>
            </w:tcMar>
          </w:tcPr>
          <w:p w14:paraId="7065F5EB" w14:textId="4B764578" w:rsidR="00FE57F6" w:rsidRPr="008C1DDE" w:rsidRDefault="00B42A6A" w:rsidP="00C4421B">
            <w:pPr>
              <w:pStyle w:val="Source"/>
              <w:jc w:val="left"/>
              <w:rPr>
                <w:sz w:val="34"/>
                <w:szCs w:val="34"/>
                <w:lang w:val="es-ES_tradnl"/>
              </w:rPr>
            </w:pPr>
            <w:r w:rsidRPr="008C1DDE">
              <w:rPr>
                <w:bCs/>
                <w:color w:val="000000"/>
                <w:sz w:val="32"/>
                <w:szCs w:val="32"/>
                <w:lang w:val="es-ES_tradnl"/>
              </w:rPr>
              <w:t>Federación de Rusia</w:t>
            </w:r>
          </w:p>
        </w:tc>
      </w:tr>
      <w:tr w:rsidR="00FE57F6" w:rsidRPr="00B40419" w14:paraId="30FDF428" w14:textId="77777777" w:rsidTr="00C4421B">
        <w:trPr>
          <w:cantSplit/>
        </w:trPr>
        <w:tc>
          <w:tcPr>
            <w:tcW w:w="9214" w:type="dxa"/>
            <w:gridSpan w:val="2"/>
            <w:tcMar>
              <w:left w:w="0" w:type="dxa"/>
            </w:tcMar>
          </w:tcPr>
          <w:p w14:paraId="729749FA" w14:textId="36295686" w:rsidR="00FE57F6" w:rsidRPr="008C1DDE" w:rsidRDefault="00CF1E38" w:rsidP="00C4421B">
            <w:pPr>
              <w:pStyle w:val="Subtitle"/>
              <w:framePr w:hSpace="0" w:wrap="auto" w:hAnchor="text" w:xAlign="left" w:yAlign="inline"/>
              <w:rPr>
                <w:lang w:val="es-ES_tradnl"/>
              </w:rPr>
            </w:pPr>
            <w:r>
              <w:rPr>
                <w:color w:val="000000"/>
                <w:sz w:val="32"/>
                <w:lang w:val="es-ES_tradnl"/>
              </w:rPr>
              <w:t xml:space="preserve">FECHA Y </w:t>
            </w:r>
            <w:r w:rsidR="00B42A6A" w:rsidRPr="008C1DDE">
              <w:rPr>
                <w:color w:val="000000"/>
                <w:sz w:val="32"/>
                <w:lang w:val="es-ES_tradnl"/>
              </w:rPr>
              <w:t xml:space="preserve">LUGAR DE CELEBRACIÓN </w:t>
            </w:r>
            <w:r w:rsidRPr="008C1DDE">
              <w:rPr>
                <w:color w:val="000000"/>
                <w:sz w:val="32"/>
                <w:lang w:val="es-ES_tradnl"/>
              </w:rPr>
              <w:t>ESPECÍFIC</w:t>
            </w:r>
            <w:r>
              <w:rPr>
                <w:color w:val="000000"/>
                <w:sz w:val="32"/>
                <w:lang w:val="es-ES_tradnl"/>
              </w:rPr>
              <w:t>O</w:t>
            </w:r>
            <w:r w:rsidRPr="008C1DDE">
              <w:rPr>
                <w:color w:val="000000"/>
                <w:sz w:val="32"/>
                <w:lang w:val="es-ES_tradnl"/>
              </w:rPr>
              <w:t xml:space="preserve">S </w:t>
            </w:r>
            <w:r w:rsidR="00B42A6A" w:rsidRPr="008C1DDE">
              <w:rPr>
                <w:color w:val="000000"/>
                <w:sz w:val="32"/>
                <w:lang w:val="es-ES_tradnl"/>
              </w:rPr>
              <w:t>DE LA CONFERENCIA DE PLENIPOTENCIARIOS DE LA UIT DE 2026</w:t>
            </w:r>
          </w:p>
        </w:tc>
      </w:tr>
      <w:tr w:rsidR="00FE57F6" w:rsidRPr="008C1DDE" w14:paraId="6CBFFBF7" w14:textId="77777777" w:rsidTr="00C4421B">
        <w:trPr>
          <w:cantSplit/>
        </w:trPr>
        <w:tc>
          <w:tcPr>
            <w:tcW w:w="9214" w:type="dxa"/>
            <w:gridSpan w:val="2"/>
            <w:tcBorders>
              <w:top w:val="single" w:sz="4" w:space="0" w:color="auto"/>
              <w:bottom w:val="single" w:sz="4" w:space="0" w:color="auto"/>
            </w:tcBorders>
            <w:tcMar>
              <w:left w:w="0" w:type="dxa"/>
            </w:tcMar>
          </w:tcPr>
          <w:p w14:paraId="198C7195" w14:textId="77777777" w:rsidR="00FE57F6" w:rsidRPr="008C1DDE" w:rsidRDefault="00F24B71" w:rsidP="00C4421B">
            <w:pPr>
              <w:spacing w:before="160"/>
              <w:rPr>
                <w:b/>
                <w:bCs/>
                <w:sz w:val="26"/>
                <w:szCs w:val="26"/>
                <w:lang w:val="es-ES_tradnl"/>
              </w:rPr>
            </w:pPr>
            <w:r w:rsidRPr="008C1DDE">
              <w:rPr>
                <w:b/>
                <w:bCs/>
                <w:sz w:val="26"/>
                <w:szCs w:val="26"/>
                <w:lang w:val="es-ES_tradnl"/>
              </w:rPr>
              <w:t>Finalidad</w:t>
            </w:r>
          </w:p>
          <w:p w14:paraId="3BEE2CCF" w14:textId="77777777" w:rsidR="00FE57F6" w:rsidRPr="008C1DDE" w:rsidRDefault="00FE57F6" w:rsidP="00C4421B">
            <w:pPr>
              <w:rPr>
                <w:lang w:val="es-ES_tradnl"/>
              </w:rPr>
            </w:pPr>
          </w:p>
          <w:p w14:paraId="3B39C635" w14:textId="77777777" w:rsidR="00FE57F6" w:rsidRPr="008C1DDE" w:rsidRDefault="00F24B71" w:rsidP="00C4421B">
            <w:pPr>
              <w:spacing w:before="160"/>
              <w:rPr>
                <w:b/>
                <w:bCs/>
                <w:sz w:val="26"/>
                <w:szCs w:val="26"/>
                <w:lang w:val="es-ES_tradnl"/>
              </w:rPr>
            </w:pPr>
            <w:r w:rsidRPr="008C1DDE">
              <w:rPr>
                <w:b/>
                <w:bCs/>
                <w:sz w:val="26"/>
                <w:szCs w:val="26"/>
                <w:lang w:val="es-ES_tradnl"/>
              </w:rPr>
              <w:t xml:space="preserve">Acción solicitada </w:t>
            </w:r>
            <w:r w:rsidR="00677A97" w:rsidRPr="008C1DDE">
              <w:rPr>
                <w:b/>
                <w:bCs/>
                <w:sz w:val="26"/>
                <w:szCs w:val="26"/>
                <w:lang w:val="es-ES_tradnl"/>
              </w:rPr>
              <w:t>al</w:t>
            </w:r>
            <w:r w:rsidRPr="008C1DDE">
              <w:rPr>
                <w:b/>
                <w:bCs/>
                <w:sz w:val="26"/>
                <w:szCs w:val="26"/>
                <w:lang w:val="es-ES_tradnl"/>
              </w:rPr>
              <w:t xml:space="preserve"> Consejo</w:t>
            </w:r>
          </w:p>
          <w:p w14:paraId="3275C442" w14:textId="43B52BEC" w:rsidR="00F92BED" w:rsidRPr="008C1DDE" w:rsidRDefault="00B42A6A" w:rsidP="00B42A6A">
            <w:pPr>
              <w:rPr>
                <w:lang w:val="es-ES_tradnl"/>
              </w:rPr>
            </w:pPr>
            <w:r w:rsidRPr="00B42A6A">
              <w:rPr>
                <w:lang w:val="es-ES_tradnl"/>
              </w:rPr>
              <w:t xml:space="preserve">Se invita al Consejo a </w:t>
            </w:r>
            <w:r w:rsidRPr="00B42A6A">
              <w:rPr>
                <w:b/>
                <w:bCs/>
                <w:lang w:val="es-ES_tradnl"/>
              </w:rPr>
              <w:t>examinar</w:t>
            </w:r>
            <w:r w:rsidRPr="00B42A6A">
              <w:rPr>
                <w:lang w:val="es-ES_tradnl"/>
              </w:rPr>
              <w:t xml:space="preserve"> el presente documento y a adoptar las medidas oportunas.</w:t>
            </w:r>
          </w:p>
          <w:p w14:paraId="6EA7B510" w14:textId="77777777" w:rsidR="00FE57F6" w:rsidRPr="008C1DDE" w:rsidRDefault="00FE57F6" w:rsidP="00C4421B">
            <w:pPr>
              <w:spacing w:before="160"/>
              <w:rPr>
                <w:caps/>
                <w:sz w:val="22"/>
                <w:lang w:val="es-ES_tradnl"/>
              </w:rPr>
            </w:pPr>
            <w:r w:rsidRPr="008C1DDE">
              <w:rPr>
                <w:sz w:val="22"/>
                <w:lang w:val="es-ES_tradnl"/>
              </w:rPr>
              <w:t>__________________</w:t>
            </w:r>
          </w:p>
          <w:p w14:paraId="32DA1316" w14:textId="3E68D258" w:rsidR="00FE57F6" w:rsidRPr="008C1DDE" w:rsidRDefault="00F24B71" w:rsidP="00C4421B">
            <w:pPr>
              <w:spacing w:before="160"/>
              <w:rPr>
                <w:b/>
                <w:bCs/>
                <w:sz w:val="26"/>
                <w:szCs w:val="26"/>
                <w:lang w:val="es-ES_tradnl"/>
              </w:rPr>
            </w:pPr>
            <w:r w:rsidRPr="008C1DDE">
              <w:rPr>
                <w:b/>
                <w:bCs/>
                <w:sz w:val="26"/>
                <w:szCs w:val="26"/>
                <w:lang w:val="es-ES_tradnl"/>
              </w:rPr>
              <w:t>Referencia</w:t>
            </w:r>
            <w:r w:rsidR="00F92BED" w:rsidRPr="008C1DDE">
              <w:rPr>
                <w:b/>
                <w:bCs/>
                <w:sz w:val="26"/>
                <w:szCs w:val="26"/>
                <w:lang w:val="es-ES_tradnl"/>
              </w:rPr>
              <w:t>s</w:t>
            </w:r>
          </w:p>
          <w:p w14:paraId="731AF899" w14:textId="0B74A9FA" w:rsidR="00FE57F6" w:rsidRPr="008C1DDE" w:rsidRDefault="00B42A6A" w:rsidP="00C4421B">
            <w:pPr>
              <w:spacing w:after="160"/>
              <w:rPr>
                <w:i/>
                <w:iCs/>
                <w:sz w:val="22"/>
                <w:szCs w:val="22"/>
                <w:lang w:val="es-ES_tradnl"/>
              </w:rPr>
            </w:pPr>
            <w:r w:rsidRPr="008C1DDE">
              <w:rPr>
                <w:i/>
                <w:iCs/>
                <w:sz w:val="22"/>
                <w:szCs w:val="22"/>
                <w:lang w:val="es-ES_tradnl"/>
              </w:rPr>
              <w:t>-</w:t>
            </w:r>
          </w:p>
        </w:tc>
      </w:tr>
      <w:bookmarkEnd w:id="0"/>
    </w:tbl>
    <w:p w14:paraId="1C3232A3" w14:textId="77777777" w:rsidR="00093EEB" w:rsidRPr="008C1DDE" w:rsidRDefault="00093EEB">
      <w:pPr>
        <w:rPr>
          <w:lang w:val="es-ES_tradnl"/>
        </w:rPr>
      </w:pPr>
    </w:p>
    <w:p w14:paraId="6F954359" w14:textId="39C2892C" w:rsidR="00B42A6A" w:rsidRPr="008C1DDE" w:rsidRDefault="001559F5" w:rsidP="00B42A6A">
      <w:pPr>
        <w:pStyle w:val="Heading1"/>
        <w:rPr>
          <w:lang w:val="es-ES_tradnl"/>
        </w:rPr>
      </w:pPr>
      <w:r w:rsidRPr="008C1DDE">
        <w:rPr>
          <w:lang w:val="es-ES_tradnl"/>
        </w:rPr>
        <w:br w:type="page"/>
      </w:r>
      <w:r w:rsidR="00B42A6A" w:rsidRPr="008C1DDE">
        <w:rPr>
          <w:lang w:val="es-ES_tradnl"/>
        </w:rPr>
        <w:lastRenderedPageBreak/>
        <w:t>I</w:t>
      </w:r>
      <w:r w:rsidR="00B42A6A" w:rsidRPr="008C1DDE">
        <w:rPr>
          <w:lang w:val="es-ES_tradnl"/>
        </w:rPr>
        <w:tab/>
        <w:t>Situación actual</w:t>
      </w:r>
    </w:p>
    <w:p w14:paraId="4C459F4C" w14:textId="5EEA7EF7" w:rsidR="00B42A6A" w:rsidRPr="008C1DDE" w:rsidRDefault="00B42A6A" w:rsidP="00B42A6A">
      <w:pPr>
        <w:pStyle w:val="enumlev1"/>
        <w:rPr>
          <w:lang w:val="es-ES_tradnl"/>
        </w:rPr>
      </w:pPr>
      <w:r w:rsidRPr="008C1DDE">
        <w:rPr>
          <w:lang w:val="es-ES_tradnl"/>
        </w:rPr>
        <w:t>1</w:t>
      </w:r>
      <w:r w:rsidR="006654F1">
        <w:rPr>
          <w:lang w:val="es-ES_tradnl"/>
        </w:rPr>
        <w:t>)</w:t>
      </w:r>
      <w:r w:rsidRPr="008C1DDE">
        <w:rPr>
          <w:lang w:val="es-ES_tradnl"/>
        </w:rPr>
        <w:tab/>
        <w:t>La Conferencia de Plenipotenciarios de la UIT es el órgano supremo de la Unión (número 40</w:t>
      </w:r>
      <w:r w:rsidR="00CF1E38">
        <w:rPr>
          <w:lang w:val="es-ES_tradnl"/>
        </w:rPr>
        <w:t>,</w:t>
      </w:r>
      <w:r w:rsidRPr="008C1DDE">
        <w:rPr>
          <w:lang w:val="es-ES_tradnl"/>
        </w:rPr>
        <w:t xml:space="preserve"> inciso </w:t>
      </w:r>
      <w:r w:rsidRPr="008C1DDE">
        <w:rPr>
          <w:i/>
          <w:iCs/>
          <w:lang w:val="es-ES_tradnl"/>
        </w:rPr>
        <w:t>a)</w:t>
      </w:r>
      <w:r w:rsidRPr="008C1DDE">
        <w:rPr>
          <w:lang w:val="es-ES_tradnl"/>
        </w:rPr>
        <w:t xml:space="preserve"> del Artículo 7 de la Constitución).</w:t>
      </w:r>
    </w:p>
    <w:p w14:paraId="25FD0B17" w14:textId="6515C117" w:rsidR="00B42A6A" w:rsidRPr="008C1DDE" w:rsidRDefault="00B42A6A" w:rsidP="00B42A6A">
      <w:pPr>
        <w:pStyle w:val="enumlev1"/>
        <w:rPr>
          <w:lang w:val="es-ES_tradnl"/>
        </w:rPr>
      </w:pPr>
      <w:r w:rsidRPr="008C1DDE">
        <w:rPr>
          <w:lang w:val="es-ES_tradnl"/>
        </w:rPr>
        <w:t>2</w:t>
      </w:r>
      <w:r w:rsidR="006654F1">
        <w:rPr>
          <w:lang w:val="es-ES_tradnl"/>
        </w:rPr>
        <w:t>)</w:t>
      </w:r>
      <w:r w:rsidRPr="008C1DDE">
        <w:rPr>
          <w:lang w:val="es-ES_tradnl"/>
        </w:rPr>
        <w:tab/>
        <w:t>El Consejo (número 41</w:t>
      </w:r>
      <w:r w:rsidR="00CF1E38">
        <w:rPr>
          <w:lang w:val="es-ES_tradnl"/>
        </w:rPr>
        <w:t>,</w:t>
      </w:r>
      <w:r w:rsidRPr="008C1DDE">
        <w:rPr>
          <w:lang w:val="es-ES_tradnl"/>
        </w:rPr>
        <w:t xml:space="preserve"> inciso </w:t>
      </w:r>
      <w:r w:rsidRPr="008C1DDE">
        <w:rPr>
          <w:i/>
          <w:iCs/>
          <w:lang w:val="es-ES_tradnl"/>
        </w:rPr>
        <w:t>b)</w:t>
      </w:r>
      <w:r w:rsidRPr="008C1DDE">
        <w:rPr>
          <w:lang w:val="es-ES_tradnl"/>
        </w:rPr>
        <w:t xml:space="preserve"> </w:t>
      </w:r>
      <w:r w:rsidR="00CF1E38">
        <w:rPr>
          <w:lang w:val="es-ES_tradnl"/>
        </w:rPr>
        <w:t xml:space="preserve">del Artículo 7 </w:t>
      </w:r>
      <w:r w:rsidRPr="008C1DDE">
        <w:rPr>
          <w:lang w:val="es-ES_tradnl"/>
        </w:rPr>
        <w:t>de la Constitución) actúa en nombre de la Conferencia de Plenipotenciarios en el intervalo entre Conferencias de Plenipotenciarios como órgano rector de la Unión y toma todas las medidas necesarias para facilitar la aplicación por los Estados Miembros de las disposiciones de la Constitución, el Convenio, los Reglamentos Administrativos, las decisiones de las conferencias, asambleas y otras reuniones de la Unión (Artículo 10 de la Constitución).</w:t>
      </w:r>
    </w:p>
    <w:p w14:paraId="779F3B15" w14:textId="0E9D76C3" w:rsidR="00B42A6A" w:rsidRPr="008C1DDE" w:rsidRDefault="00B42A6A" w:rsidP="00B42A6A">
      <w:pPr>
        <w:pStyle w:val="enumlev1"/>
        <w:rPr>
          <w:lang w:val="es-ES_tradnl"/>
        </w:rPr>
      </w:pPr>
      <w:r w:rsidRPr="008C1DDE">
        <w:rPr>
          <w:lang w:val="es-ES_tradnl"/>
        </w:rPr>
        <w:t>3</w:t>
      </w:r>
      <w:r w:rsidR="006654F1">
        <w:rPr>
          <w:lang w:val="es-ES_tradnl"/>
        </w:rPr>
        <w:t>)</w:t>
      </w:r>
      <w:r w:rsidRPr="008C1DDE">
        <w:rPr>
          <w:lang w:val="es-ES_tradnl"/>
        </w:rPr>
        <w:tab/>
        <w:t xml:space="preserve">El Consejo, en el intervalo entre dos Conferencias de Plenipotenciarios, supervisará la gestión y la administración generales de la Unión; en particular, de conformidad con el número 79 del Convenio (inciso </w:t>
      </w:r>
      <w:r w:rsidRPr="008C1DDE">
        <w:rPr>
          <w:i/>
          <w:iCs/>
          <w:lang w:val="es-ES_tradnl"/>
        </w:rPr>
        <w:t>13</w:t>
      </w:r>
      <w:r w:rsidRPr="008C1DDE">
        <w:rPr>
          <w:lang w:val="es-ES_tradnl"/>
        </w:rPr>
        <w:t xml:space="preserve"> del párrafo 11 del Artículo 4 de la Sección 2), adoptará todas las medidas necesarias, con el acuerdo de la mayoría de los Estados Miembros, para resolver provisionalmente las cuestiones </w:t>
      </w:r>
      <w:r w:rsidRPr="008C1DDE">
        <w:rPr>
          <w:b/>
          <w:bCs/>
          <w:lang w:val="es-ES_tradnl"/>
        </w:rPr>
        <w:t>no contempladas</w:t>
      </w:r>
      <w:r w:rsidRPr="008C1DDE">
        <w:rPr>
          <w:lang w:val="es-ES_tradnl"/>
        </w:rPr>
        <w:t xml:space="preserve"> en la Constitución, el Convenio ni los Reglamentos Administrativos y cuya solución no pueda aplazarse hasta la siguiente conferencia competente.</w:t>
      </w:r>
    </w:p>
    <w:p w14:paraId="32AA8AA4" w14:textId="719A13D9" w:rsidR="00B42A6A" w:rsidRPr="008C1DDE" w:rsidRDefault="00B42A6A" w:rsidP="00B42A6A">
      <w:pPr>
        <w:pStyle w:val="enumlev1"/>
        <w:rPr>
          <w:lang w:val="es-ES_tradnl"/>
        </w:rPr>
      </w:pPr>
      <w:r w:rsidRPr="008C1DDE">
        <w:rPr>
          <w:lang w:val="es-ES_tradnl"/>
        </w:rPr>
        <w:t>4</w:t>
      </w:r>
      <w:r w:rsidR="006654F1">
        <w:rPr>
          <w:lang w:val="es-ES_tradnl"/>
        </w:rPr>
        <w:t>)</w:t>
      </w:r>
      <w:r w:rsidRPr="008C1DDE">
        <w:rPr>
          <w:lang w:val="es-ES_tradnl"/>
        </w:rPr>
        <w:tab/>
        <w:t>La frecuencia de celebración de las Conferencias de Plenipotenciarios</w:t>
      </w:r>
      <w:r w:rsidRPr="008C1DDE">
        <w:rPr>
          <w:b/>
          <w:bCs/>
          <w:lang w:val="es-ES_tradnl"/>
        </w:rPr>
        <w:t xml:space="preserve"> está </w:t>
      </w:r>
      <w:r w:rsidR="00CF1E38">
        <w:rPr>
          <w:b/>
          <w:bCs/>
          <w:lang w:val="es-ES_tradnl"/>
        </w:rPr>
        <w:t>estipulada</w:t>
      </w:r>
      <w:r w:rsidRPr="008C1DDE">
        <w:rPr>
          <w:b/>
          <w:bCs/>
          <w:lang w:val="es-ES_tradnl"/>
        </w:rPr>
        <w:t xml:space="preserve"> y claramente de</w:t>
      </w:r>
      <w:r w:rsidR="00CF1E38">
        <w:rPr>
          <w:b/>
          <w:bCs/>
          <w:lang w:val="es-ES_tradnl"/>
        </w:rPr>
        <w:t>finida</w:t>
      </w:r>
      <w:r w:rsidRPr="008C1DDE">
        <w:rPr>
          <w:lang w:val="es-ES_tradnl"/>
        </w:rPr>
        <w:t xml:space="preserve"> por la Constitución y, de conformidad con el número 47 de la Constitución (</w:t>
      </w:r>
      <w:r w:rsidR="00CF1E38">
        <w:rPr>
          <w:lang w:val="es-ES_tradnl"/>
        </w:rPr>
        <w:t>párrafo</w:t>
      </w:r>
      <w:r w:rsidR="006654F1">
        <w:rPr>
          <w:lang w:val="es-ES_tradnl"/>
        </w:rPr>
        <w:t> </w:t>
      </w:r>
      <w:r w:rsidR="00CF1E38">
        <w:rPr>
          <w:lang w:val="es-ES_tradnl"/>
        </w:rPr>
        <w:t xml:space="preserve">1 del </w:t>
      </w:r>
      <w:r w:rsidRPr="008C1DDE">
        <w:rPr>
          <w:lang w:val="es-ES_tradnl"/>
        </w:rPr>
        <w:t xml:space="preserve">Artículo 8), la Conferencia de Plenipotenciarios se convoca cada cuatro años para tratar cuestiones específicas, también </w:t>
      </w:r>
      <w:r w:rsidRPr="008C1DDE">
        <w:rPr>
          <w:b/>
          <w:bCs/>
          <w:lang w:val="es-ES_tradnl"/>
        </w:rPr>
        <w:t>claramente especificadas</w:t>
      </w:r>
      <w:r w:rsidRPr="008C1DDE">
        <w:rPr>
          <w:lang w:val="es-ES_tradnl"/>
        </w:rPr>
        <w:t xml:space="preserve"> en los números</w:t>
      </w:r>
      <w:r w:rsidR="006654F1">
        <w:rPr>
          <w:lang w:val="es-ES_tradnl"/>
        </w:rPr>
        <w:t> </w:t>
      </w:r>
      <w:r w:rsidRPr="008C1DDE">
        <w:rPr>
          <w:lang w:val="es-ES_tradnl"/>
        </w:rPr>
        <w:t>49</w:t>
      </w:r>
      <w:r w:rsidR="006654F1">
        <w:rPr>
          <w:lang w:val="es-ES_tradnl"/>
        </w:rPr>
        <w:noBreakHyphen/>
      </w:r>
      <w:r w:rsidRPr="008C1DDE">
        <w:rPr>
          <w:lang w:val="es-ES_tradnl"/>
        </w:rPr>
        <w:t>59 de la Constitución (incisos</w:t>
      </w:r>
      <w:r w:rsidRPr="008C1DDE">
        <w:rPr>
          <w:i/>
          <w:iCs/>
          <w:lang w:val="es-ES_tradnl"/>
        </w:rPr>
        <w:t xml:space="preserve"> a) </w:t>
      </w:r>
      <w:r w:rsidRPr="008C1DDE">
        <w:rPr>
          <w:lang w:val="es-ES_tradnl"/>
        </w:rPr>
        <w:t xml:space="preserve">a </w:t>
      </w:r>
      <w:r w:rsidRPr="008C1DDE">
        <w:rPr>
          <w:i/>
          <w:iCs/>
          <w:lang w:val="es-ES_tradnl"/>
        </w:rPr>
        <w:t>k)</w:t>
      </w:r>
      <w:r w:rsidRPr="008C1DDE">
        <w:rPr>
          <w:lang w:val="es-ES_tradnl"/>
        </w:rPr>
        <w:t xml:space="preserve"> de</w:t>
      </w:r>
      <w:r w:rsidR="00CF1E38">
        <w:rPr>
          <w:lang w:val="es-ES_tradnl"/>
        </w:rPr>
        <w:t>l párrafo</w:t>
      </w:r>
      <w:r w:rsidR="006654F1">
        <w:rPr>
          <w:lang w:val="es-ES_tradnl"/>
        </w:rPr>
        <w:t> </w:t>
      </w:r>
      <w:r w:rsidR="00CF1E38">
        <w:rPr>
          <w:lang w:val="es-ES_tradnl"/>
        </w:rPr>
        <w:t>2 del Artículo</w:t>
      </w:r>
      <w:r w:rsidR="006654F1">
        <w:rPr>
          <w:lang w:val="es-ES_tradnl"/>
        </w:rPr>
        <w:t> </w:t>
      </w:r>
      <w:r w:rsidR="00CF1E38">
        <w:rPr>
          <w:lang w:val="es-ES_tradnl"/>
        </w:rPr>
        <w:t>8</w:t>
      </w:r>
      <w:r w:rsidRPr="008C1DDE">
        <w:rPr>
          <w:lang w:val="es-ES_tradnl"/>
        </w:rPr>
        <w:t>).</w:t>
      </w:r>
    </w:p>
    <w:p w14:paraId="539592B7" w14:textId="6B0B53F3" w:rsidR="00B42A6A" w:rsidRPr="008C1DDE" w:rsidRDefault="00B42A6A" w:rsidP="00B42A6A">
      <w:pPr>
        <w:pStyle w:val="enumlev1"/>
        <w:rPr>
          <w:lang w:val="es-ES_tradnl"/>
        </w:rPr>
      </w:pPr>
      <w:r w:rsidRPr="008C1DDE">
        <w:rPr>
          <w:lang w:val="es-ES_tradnl"/>
        </w:rPr>
        <w:t>5</w:t>
      </w:r>
      <w:r w:rsidR="006654F1">
        <w:rPr>
          <w:lang w:val="es-ES_tradnl"/>
        </w:rPr>
        <w:t>)</w:t>
      </w:r>
      <w:r w:rsidRPr="008C1DDE">
        <w:rPr>
          <w:lang w:val="es-ES_tradnl"/>
        </w:rPr>
        <w:tab/>
        <w:t>La Conferencia de Plenipotenciarios de 2022 resolvió en su Resolución</w:t>
      </w:r>
      <w:r w:rsidR="006654F1">
        <w:rPr>
          <w:lang w:val="es-ES_tradnl"/>
        </w:rPr>
        <w:t> </w:t>
      </w:r>
      <w:r w:rsidRPr="008C1DDE">
        <w:rPr>
          <w:lang w:val="es-ES_tradnl"/>
        </w:rPr>
        <w:t xml:space="preserve">77 </w:t>
      </w:r>
      <w:r w:rsidR="00CF1E38">
        <w:rPr>
          <w:lang w:val="es-ES_tradnl"/>
        </w:rPr>
        <w:t>(Rev.</w:t>
      </w:r>
      <w:r w:rsidR="006654F1">
        <w:rPr>
          <w:lang w:val="es-ES_tradnl"/>
        </w:rPr>
        <w:t> </w:t>
      </w:r>
      <w:r w:rsidR="00CF1E38">
        <w:rPr>
          <w:lang w:val="es-ES_tradnl"/>
        </w:rPr>
        <w:t xml:space="preserve">Bucharest, 2022), </w:t>
      </w:r>
      <w:r w:rsidRPr="00E10B4C">
        <w:rPr>
          <w:i/>
          <w:iCs/>
          <w:lang w:val="es-ES_tradnl"/>
        </w:rPr>
        <w:t>Planificación y duración de las Conferencias, los Foros, las Asambleas y las reuniones del Consejo de la Unión (2023-2027)</w:t>
      </w:r>
      <w:r w:rsidR="00CF1E38">
        <w:rPr>
          <w:lang w:val="es-ES_tradnl"/>
        </w:rPr>
        <w:t>,</w:t>
      </w:r>
      <w:r w:rsidRPr="008C1DDE">
        <w:rPr>
          <w:lang w:val="es-ES_tradnl"/>
        </w:rPr>
        <w:t xml:space="preserve"> que la Conferencia de Plenipotenciarios se celebr</w:t>
      </w:r>
      <w:r w:rsidR="00CF1E38">
        <w:rPr>
          <w:lang w:val="es-ES_tradnl"/>
        </w:rPr>
        <w:t>as</w:t>
      </w:r>
      <w:r w:rsidRPr="008C1DDE">
        <w:rPr>
          <w:lang w:val="es-ES_tradnl"/>
        </w:rPr>
        <w:t>e en el último trimestre de 2026 en Doha (Qatar). El Consejo, en su reunión de 2023, mediante su Acuerdo 636 (C23), determinó que las fechas de apertura y clausura de la Conferencia de Plenipotenciarios serán del lunes 9</w:t>
      </w:r>
      <w:r w:rsidR="006654F1">
        <w:rPr>
          <w:lang w:val="es-ES_tradnl"/>
        </w:rPr>
        <w:t> </w:t>
      </w:r>
      <w:r w:rsidRPr="008C1DDE">
        <w:rPr>
          <w:lang w:val="es-ES_tradnl"/>
        </w:rPr>
        <w:t>de noviembre de 2026 al viernes 27</w:t>
      </w:r>
      <w:r w:rsidR="00710460" w:rsidRPr="008C1DDE">
        <w:rPr>
          <w:lang w:val="es-ES_tradnl"/>
        </w:rPr>
        <w:t> </w:t>
      </w:r>
      <w:r w:rsidRPr="008C1DDE">
        <w:rPr>
          <w:lang w:val="es-ES_tradnl"/>
        </w:rPr>
        <w:t>de noviembre de 2026</w:t>
      </w:r>
      <w:r w:rsidR="00CF1E38">
        <w:rPr>
          <w:lang w:val="es-ES_tradnl"/>
        </w:rPr>
        <w:t>.</w:t>
      </w:r>
      <w:r w:rsidRPr="008C1DDE">
        <w:rPr>
          <w:lang w:val="es-ES_tradnl"/>
        </w:rPr>
        <w:t xml:space="preserve"> </w:t>
      </w:r>
      <w:r w:rsidR="00CF1E38">
        <w:rPr>
          <w:lang w:val="es-ES_tradnl"/>
        </w:rPr>
        <w:t>L</w:t>
      </w:r>
      <w:r w:rsidR="00CF1E38" w:rsidRPr="008C1DDE">
        <w:rPr>
          <w:lang w:val="es-ES_tradnl"/>
        </w:rPr>
        <w:t xml:space="preserve">a </w:t>
      </w:r>
      <w:r w:rsidRPr="008C1DDE">
        <w:rPr>
          <w:lang w:val="es-ES_tradnl"/>
        </w:rPr>
        <w:t>consulta realizada mediante la Carta Circular número 23/44, de fecha 7 de noviembre de 2023, relativa al lugar preciso y las fechas exactas de la Conferencia de Plenipotenciarios de 2026,</w:t>
      </w:r>
      <w:r w:rsidR="008C1DDE">
        <w:rPr>
          <w:lang w:val="es-ES_tradnl"/>
        </w:rPr>
        <w:t xml:space="preserve"> </w:t>
      </w:r>
      <w:r w:rsidR="00CF1E38">
        <w:rPr>
          <w:lang w:val="es-ES_tradnl"/>
        </w:rPr>
        <w:t>recibió</w:t>
      </w:r>
      <w:r w:rsidRPr="008C1DDE">
        <w:rPr>
          <w:lang w:val="es-ES_tradnl"/>
        </w:rPr>
        <w:t xml:space="preserve"> el acuerdo de la mayoría requerida de los Estados Miembros de la UIT, de conformidad con el número</w:t>
      </w:r>
      <w:r w:rsidR="006654F1">
        <w:rPr>
          <w:lang w:val="es-ES_tradnl"/>
        </w:rPr>
        <w:t> </w:t>
      </w:r>
      <w:r w:rsidRPr="008C1DDE">
        <w:rPr>
          <w:lang w:val="es-ES_tradnl"/>
        </w:rPr>
        <w:t xml:space="preserve">47 del Convenio de la UIT. En consecuencia, los Estados Miembros de la UIT </w:t>
      </w:r>
      <w:r w:rsidR="00CF1E38">
        <w:rPr>
          <w:lang w:val="es-ES_tradnl"/>
        </w:rPr>
        <w:t>acordaron</w:t>
      </w:r>
      <w:r w:rsidRPr="008C1DDE">
        <w:rPr>
          <w:lang w:val="es-ES_tradnl"/>
        </w:rPr>
        <w:t xml:space="preserve"> que la Conferencia de Plenipotenciarios de 2026 </w:t>
      </w:r>
      <w:r w:rsidR="00CF1E38">
        <w:rPr>
          <w:lang w:val="es-ES_tradnl"/>
        </w:rPr>
        <w:t>(PP</w:t>
      </w:r>
      <w:r w:rsidR="006654F1">
        <w:rPr>
          <w:lang w:val="es-ES_tradnl"/>
        </w:rPr>
        <w:noBreakHyphen/>
      </w:r>
      <w:r w:rsidR="00CF1E38">
        <w:rPr>
          <w:lang w:val="es-ES_tradnl"/>
        </w:rPr>
        <w:t xml:space="preserve">26) </w:t>
      </w:r>
      <w:r w:rsidRPr="008C1DDE">
        <w:rPr>
          <w:lang w:val="es-ES_tradnl"/>
        </w:rPr>
        <w:t>se celebr</w:t>
      </w:r>
      <w:r w:rsidR="00CF1E38">
        <w:rPr>
          <w:lang w:val="es-ES_tradnl"/>
        </w:rPr>
        <w:t>as</w:t>
      </w:r>
      <w:r w:rsidRPr="008C1DDE">
        <w:rPr>
          <w:lang w:val="es-ES_tradnl"/>
        </w:rPr>
        <w:t>e en el Centro de Exposiciones y Convenciones de Doha, del lunes 9 de noviembre al viernes 27 de noviembre de 2026 (CL-23/53 de 21 de diciembre de 2023), de conformidad con el número 2 del Convenio (</w:t>
      </w:r>
      <w:r w:rsidR="00CF1E38">
        <w:rPr>
          <w:lang w:val="es-ES_tradnl"/>
        </w:rPr>
        <w:t>inciso 2 del párrafo</w:t>
      </w:r>
      <w:r w:rsidR="006654F1">
        <w:rPr>
          <w:lang w:val="es-ES_tradnl"/>
        </w:rPr>
        <w:t> </w:t>
      </w:r>
      <w:r w:rsidR="00CF1E38">
        <w:rPr>
          <w:lang w:val="es-ES_tradnl"/>
        </w:rPr>
        <w:t xml:space="preserve">1 del </w:t>
      </w:r>
      <w:r w:rsidRPr="008C1DDE">
        <w:rPr>
          <w:lang w:val="es-ES_tradnl"/>
        </w:rPr>
        <w:t>Artículo</w:t>
      </w:r>
      <w:r w:rsidR="006654F1">
        <w:rPr>
          <w:lang w:val="es-ES_tradnl"/>
        </w:rPr>
        <w:t> </w:t>
      </w:r>
      <w:r w:rsidRPr="008C1DDE">
        <w:rPr>
          <w:lang w:val="es-ES_tradnl"/>
        </w:rPr>
        <w:t>1</w:t>
      </w:r>
      <w:r w:rsidR="00CF1E38">
        <w:rPr>
          <w:lang w:val="es-ES_tradnl"/>
        </w:rPr>
        <w:t xml:space="preserve"> de la</w:t>
      </w:r>
      <w:r w:rsidRPr="008C1DDE">
        <w:rPr>
          <w:lang w:val="es-ES_tradnl"/>
        </w:rPr>
        <w:t xml:space="preserve"> Sección </w:t>
      </w:r>
      <w:r w:rsidR="007974B0">
        <w:rPr>
          <w:lang w:val="es-ES_tradnl"/>
        </w:rPr>
        <w:t>1</w:t>
      </w:r>
      <w:r w:rsidRPr="008C1DDE">
        <w:rPr>
          <w:lang w:val="es-ES_tradnl"/>
        </w:rPr>
        <w:t>),</w:t>
      </w:r>
      <w:r w:rsidR="008C1DDE">
        <w:rPr>
          <w:lang w:val="es-ES_tradnl"/>
        </w:rPr>
        <w:t xml:space="preserve"> </w:t>
      </w:r>
      <w:r w:rsidRPr="008C1DDE">
        <w:rPr>
          <w:lang w:val="es-ES_tradnl"/>
        </w:rPr>
        <w:t>teniendo en cuenta la aplicación de los procedimientos previstos en los números</w:t>
      </w:r>
      <w:r w:rsidR="006654F1">
        <w:rPr>
          <w:lang w:val="es-ES_tradnl"/>
        </w:rPr>
        <w:t> </w:t>
      </w:r>
      <w:r w:rsidRPr="008C1DDE">
        <w:rPr>
          <w:lang w:val="es-ES_tradnl"/>
        </w:rPr>
        <w:t xml:space="preserve">4 a 6 del Reglamento General </w:t>
      </w:r>
      <w:r w:rsidR="007974B0">
        <w:rPr>
          <w:lang w:val="es-ES_tradnl"/>
        </w:rPr>
        <w:t xml:space="preserve">de las conferencias, asambleas y reuniones de la Unión (Reglamento General) </w:t>
      </w:r>
      <w:r w:rsidRPr="008C1DDE">
        <w:rPr>
          <w:lang w:val="es-ES_tradnl"/>
        </w:rPr>
        <w:t>(</w:t>
      </w:r>
      <w:r w:rsidR="007974B0">
        <w:rPr>
          <w:lang w:val="es-ES_tradnl"/>
        </w:rPr>
        <w:t xml:space="preserve">párrafos 1 y 2 de la Sección 1 del </w:t>
      </w:r>
      <w:r w:rsidRPr="008C1DDE">
        <w:rPr>
          <w:lang w:val="es-ES_tradnl"/>
        </w:rPr>
        <w:t xml:space="preserve">Capítulo </w:t>
      </w:r>
      <w:r w:rsidR="00B40419">
        <w:rPr>
          <w:lang w:val="es-ES_tradnl"/>
        </w:rPr>
        <w:t>I</w:t>
      </w:r>
      <w:r w:rsidRPr="008C1DDE">
        <w:rPr>
          <w:lang w:val="es-ES_tradnl"/>
        </w:rPr>
        <w:t>).</w:t>
      </w:r>
    </w:p>
    <w:p w14:paraId="2C2A47DB" w14:textId="3BA2CC7C" w:rsidR="00B42A6A" w:rsidRPr="008C1DDE" w:rsidRDefault="00B42A6A" w:rsidP="00B42A6A">
      <w:pPr>
        <w:pStyle w:val="enumlev1"/>
        <w:rPr>
          <w:lang w:val="es-ES_tradnl"/>
        </w:rPr>
      </w:pPr>
      <w:r w:rsidRPr="008C1DDE">
        <w:rPr>
          <w:lang w:val="es-ES_tradnl"/>
        </w:rPr>
        <w:t>6</w:t>
      </w:r>
      <w:r w:rsidR="006654F1">
        <w:rPr>
          <w:lang w:val="es-ES_tradnl"/>
        </w:rPr>
        <w:t>)</w:t>
      </w:r>
      <w:r w:rsidRPr="008C1DDE">
        <w:rPr>
          <w:lang w:val="es-ES_tradnl"/>
        </w:rPr>
        <w:tab/>
        <w:t>El Gobierno invitante</w:t>
      </w:r>
      <w:r w:rsidR="007974B0">
        <w:rPr>
          <w:lang w:val="es-ES_tradnl"/>
        </w:rPr>
        <w:t>,</w:t>
      </w:r>
      <w:r w:rsidRPr="008C1DDE">
        <w:rPr>
          <w:lang w:val="es-ES_tradnl"/>
        </w:rPr>
        <w:t xml:space="preserve"> el Estado de Qatar</w:t>
      </w:r>
      <w:r w:rsidR="007974B0">
        <w:rPr>
          <w:lang w:val="es-ES_tradnl"/>
        </w:rPr>
        <w:t>,</w:t>
      </w:r>
      <w:r w:rsidRPr="008C1DDE">
        <w:rPr>
          <w:lang w:val="es-ES_tradnl"/>
        </w:rPr>
        <w:t xml:space="preserve"> ya ha emprendido importante</w:t>
      </w:r>
      <w:r w:rsidR="007974B0">
        <w:rPr>
          <w:lang w:val="es-ES_tradnl"/>
        </w:rPr>
        <w:t>s</w:t>
      </w:r>
      <w:r w:rsidRPr="008C1DDE">
        <w:rPr>
          <w:lang w:val="es-ES_tradnl"/>
        </w:rPr>
        <w:t xml:space="preserve"> esfuerzos para garantizar que la Conferencia de Plenipotenciarios se celebre en el país.</w:t>
      </w:r>
    </w:p>
    <w:p w14:paraId="6D135A13" w14:textId="6F8B72D5" w:rsidR="00B42A6A" w:rsidRPr="008C1DDE" w:rsidRDefault="00B42A6A" w:rsidP="00B42A6A">
      <w:pPr>
        <w:pStyle w:val="enumlev1"/>
        <w:rPr>
          <w:lang w:val="es-ES_tradnl"/>
        </w:rPr>
      </w:pPr>
      <w:r w:rsidRPr="008C1DDE">
        <w:rPr>
          <w:lang w:val="es-ES_tradnl"/>
        </w:rPr>
        <w:t>7</w:t>
      </w:r>
      <w:r w:rsidR="006654F1">
        <w:rPr>
          <w:lang w:val="es-ES_tradnl"/>
        </w:rPr>
        <w:t>)</w:t>
      </w:r>
      <w:r w:rsidRPr="008C1DDE">
        <w:rPr>
          <w:lang w:val="es-ES_tradnl"/>
        </w:rPr>
        <w:tab/>
        <w:t xml:space="preserve">En el momento de preparar </w:t>
      </w:r>
      <w:r w:rsidR="007974B0">
        <w:rPr>
          <w:lang w:val="es-ES_tradnl"/>
        </w:rPr>
        <w:t>esta</w:t>
      </w:r>
      <w:r w:rsidRPr="008C1DDE">
        <w:rPr>
          <w:lang w:val="es-ES_tradnl"/>
        </w:rPr>
        <w:t xml:space="preserve"> contribución no existen recomendaciones directas del Departamento de Seguridad de las Naciones Unidas sobre la posibilidad de celebrar una Conferencia de Plenipotenciarios de conformidad con las decisiones de la </w:t>
      </w:r>
      <w:r w:rsidRPr="008C1DDE">
        <w:rPr>
          <w:lang w:val="es-ES_tradnl"/>
        </w:rPr>
        <w:lastRenderedPageBreak/>
        <w:t>Conferencia de Plenipotenciarios de 2022 y la reunión del Consejo de 2023, aunque sigue habiendo incertidumbre sobre los problemas de seguridad en la región y los riesgos de escalada.</w:t>
      </w:r>
    </w:p>
    <w:p w14:paraId="1A73699D" w14:textId="4FABBFA6" w:rsidR="00B42A6A" w:rsidRPr="008C1DDE" w:rsidRDefault="00B42A6A" w:rsidP="00B42A6A">
      <w:pPr>
        <w:pStyle w:val="enumlev1"/>
        <w:rPr>
          <w:lang w:val="es-ES_tradnl"/>
        </w:rPr>
      </w:pPr>
      <w:r w:rsidRPr="008C1DDE">
        <w:rPr>
          <w:lang w:val="es-ES_tradnl"/>
        </w:rPr>
        <w:t>8</w:t>
      </w:r>
      <w:r w:rsidR="006654F1">
        <w:rPr>
          <w:lang w:val="es-ES_tradnl"/>
        </w:rPr>
        <w:t>)</w:t>
      </w:r>
      <w:r w:rsidRPr="008C1DDE">
        <w:rPr>
          <w:lang w:val="es-ES_tradnl"/>
        </w:rPr>
        <w:tab/>
        <w:t>Excepcionalmente, en el intervalo entre dos Conferencias de Plenipotenciarios ordinarias, convocadas cada cuatro años de conformidad con el número</w:t>
      </w:r>
      <w:r w:rsidR="00B40419">
        <w:rPr>
          <w:lang w:val="es-ES_tradnl"/>
        </w:rPr>
        <w:t> </w:t>
      </w:r>
      <w:r w:rsidRPr="008C1DDE">
        <w:rPr>
          <w:lang w:val="es-ES_tradnl"/>
        </w:rPr>
        <w:t>47 de la Constitución (</w:t>
      </w:r>
      <w:r w:rsidR="007974B0">
        <w:rPr>
          <w:lang w:val="es-ES_tradnl"/>
        </w:rPr>
        <w:t>párrafo</w:t>
      </w:r>
      <w:r w:rsidR="006654F1">
        <w:rPr>
          <w:lang w:val="es-ES_tradnl"/>
        </w:rPr>
        <w:t> </w:t>
      </w:r>
      <w:r w:rsidR="007974B0">
        <w:rPr>
          <w:lang w:val="es-ES_tradnl"/>
        </w:rPr>
        <w:t xml:space="preserve">1 del </w:t>
      </w:r>
      <w:r w:rsidRPr="008C1DDE">
        <w:rPr>
          <w:lang w:val="es-ES_tradnl"/>
        </w:rPr>
        <w:t>Artículo 8), podrá convocarse una Conferencia de Plenipotenciarios extraordinaria con un orden del día limitado para tratar asuntos específicos de conformidad con los números</w:t>
      </w:r>
      <w:r w:rsidR="006654F1">
        <w:rPr>
          <w:lang w:val="es-ES_tradnl"/>
        </w:rPr>
        <w:t> </w:t>
      </w:r>
      <w:r w:rsidRPr="008C1DDE">
        <w:rPr>
          <w:lang w:val="es-ES_tradnl"/>
        </w:rPr>
        <w:t>59</w:t>
      </w:r>
      <w:r w:rsidR="007974B0">
        <w:rPr>
          <w:lang w:val="es-ES_tradnl"/>
        </w:rPr>
        <w:t>A a</w:t>
      </w:r>
      <w:r w:rsidRPr="008C1DDE">
        <w:rPr>
          <w:lang w:val="es-ES_tradnl"/>
        </w:rPr>
        <w:t xml:space="preserve"> 59D de la Constitución (</w:t>
      </w:r>
      <w:r w:rsidR="007974B0" w:rsidRPr="008C1DDE">
        <w:rPr>
          <w:lang w:val="es-ES_tradnl"/>
        </w:rPr>
        <w:t>incisos</w:t>
      </w:r>
      <w:r w:rsidR="006654F1">
        <w:rPr>
          <w:lang w:val="es-ES_tradnl"/>
        </w:rPr>
        <w:t> </w:t>
      </w:r>
      <w:r w:rsidR="007974B0" w:rsidRPr="008C1DDE">
        <w:rPr>
          <w:i/>
          <w:iCs/>
          <w:lang w:val="es-ES_tradnl"/>
        </w:rPr>
        <w:t>a)</w:t>
      </w:r>
      <w:r w:rsidR="007974B0" w:rsidRPr="008C1DDE">
        <w:rPr>
          <w:lang w:val="es-ES_tradnl"/>
        </w:rPr>
        <w:t xml:space="preserve">, </w:t>
      </w:r>
      <w:r w:rsidR="007974B0" w:rsidRPr="008C1DDE">
        <w:rPr>
          <w:i/>
          <w:iCs/>
          <w:lang w:val="es-ES_tradnl"/>
        </w:rPr>
        <w:t xml:space="preserve">b) </w:t>
      </w:r>
      <w:r w:rsidR="007974B0" w:rsidRPr="008C1DDE">
        <w:rPr>
          <w:lang w:val="es-ES_tradnl"/>
        </w:rPr>
        <w:t xml:space="preserve">y </w:t>
      </w:r>
      <w:r w:rsidR="007974B0" w:rsidRPr="008C1DDE">
        <w:rPr>
          <w:i/>
          <w:iCs/>
          <w:lang w:val="es-ES_tradnl"/>
        </w:rPr>
        <w:t>c)</w:t>
      </w:r>
      <w:r w:rsidR="007974B0">
        <w:rPr>
          <w:i/>
          <w:iCs/>
          <w:lang w:val="es-ES_tradnl"/>
        </w:rPr>
        <w:t xml:space="preserve"> </w:t>
      </w:r>
      <w:r w:rsidR="007974B0">
        <w:rPr>
          <w:lang w:val="es-ES_tradnl"/>
        </w:rPr>
        <w:t>del párrafo</w:t>
      </w:r>
      <w:r w:rsidR="006654F1">
        <w:rPr>
          <w:lang w:val="es-ES_tradnl"/>
        </w:rPr>
        <w:t> </w:t>
      </w:r>
      <w:r w:rsidR="007974B0">
        <w:rPr>
          <w:lang w:val="es-ES_tradnl"/>
        </w:rPr>
        <w:t xml:space="preserve">3 del </w:t>
      </w:r>
      <w:r w:rsidRPr="008C1DDE">
        <w:rPr>
          <w:lang w:val="es-ES_tradnl"/>
        </w:rPr>
        <w:t>Artículo 8).</w:t>
      </w:r>
    </w:p>
    <w:p w14:paraId="58A7764A" w14:textId="731C0EE7" w:rsidR="00B42A6A" w:rsidRPr="008C1DDE" w:rsidRDefault="00B42A6A" w:rsidP="00B42A6A">
      <w:pPr>
        <w:pStyle w:val="enumlev1"/>
        <w:rPr>
          <w:lang w:val="es-ES_tradnl"/>
        </w:rPr>
      </w:pPr>
      <w:r w:rsidRPr="008C1DDE">
        <w:rPr>
          <w:lang w:val="es-ES_tradnl"/>
        </w:rPr>
        <w:t>9</w:t>
      </w:r>
      <w:r w:rsidR="006654F1">
        <w:rPr>
          <w:lang w:val="es-ES_tradnl"/>
        </w:rPr>
        <w:t>)</w:t>
      </w:r>
      <w:r w:rsidRPr="008C1DDE">
        <w:rPr>
          <w:lang w:val="es-ES_tradnl"/>
        </w:rPr>
        <w:tab/>
        <w:t>Cuando la Conferencia de Plenipotenciarios se celebre sin gobierno invitante, el Secretario</w:t>
      </w:r>
      <w:r w:rsidR="00E10B4C">
        <w:rPr>
          <w:lang w:val="es-ES_tradnl"/>
        </w:rPr>
        <w:t> </w:t>
      </w:r>
      <w:r w:rsidRPr="008C1DDE">
        <w:rPr>
          <w:lang w:val="es-ES_tradnl"/>
        </w:rPr>
        <w:t xml:space="preserve">General adoptará las disposiciones necesarias para convocar y organizar la </w:t>
      </w:r>
      <w:r w:rsidR="007974B0">
        <w:rPr>
          <w:lang w:val="es-ES_tradnl"/>
        </w:rPr>
        <w:t>c</w:t>
      </w:r>
      <w:r w:rsidRPr="008C1DDE">
        <w:rPr>
          <w:lang w:val="es-ES_tradnl"/>
        </w:rPr>
        <w:t xml:space="preserve">onferencia </w:t>
      </w:r>
      <w:r w:rsidR="007974B0">
        <w:rPr>
          <w:lang w:val="es-ES_tradnl"/>
        </w:rPr>
        <w:t xml:space="preserve">o asamblea </w:t>
      </w:r>
      <w:r w:rsidRPr="008C1DDE">
        <w:rPr>
          <w:lang w:val="es-ES_tradnl"/>
        </w:rPr>
        <w:t>en la Sede de la Unión, previo acuerdo con el Gobierno de la Confederación Suiza (número 35 del Reglamento General).</w:t>
      </w:r>
    </w:p>
    <w:p w14:paraId="2B71CEF3" w14:textId="4303C0ED" w:rsidR="00B42A6A" w:rsidRPr="008C1DDE" w:rsidRDefault="00B42A6A" w:rsidP="00B42A6A">
      <w:pPr>
        <w:pStyle w:val="Heading1"/>
        <w:rPr>
          <w:lang w:val="es-ES_tradnl"/>
        </w:rPr>
      </w:pPr>
      <w:r w:rsidRPr="008C1DDE">
        <w:rPr>
          <w:lang w:val="es-ES_tradnl"/>
        </w:rPr>
        <w:t>II</w:t>
      </w:r>
      <w:r w:rsidRPr="008C1DDE">
        <w:rPr>
          <w:lang w:val="es-ES_tradnl"/>
        </w:rPr>
        <w:tab/>
        <w:t>Conclusiones</w:t>
      </w:r>
    </w:p>
    <w:p w14:paraId="481D007E" w14:textId="3C1D059D" w:rsidR="00B42A6A" w:rsidRPr="008C1DDE" w:rsidRDefault="00B42A6A" w:rsidP="00B42A6A">
      <w:pPr>
        <w:pStyle w:val="enumlev1"/>
        <w:rPr>
          <w:lang w:val="es-ES_tradnl"/>
        </w:rPr>
      </w:pPr>
      <w:r w:rsidRPr="008C1DDE">
        <w:rPr>
          <w:lang w:val="es-ES_tradnl"/>
        </w:rPr>
        <w:t>1</w:t>
      </w:r>
      <w:r w:rsidR="00B14EF4">
        <w:rPr>
          <w:lang w:val="es-ES_tradnl"/>
        </w:rPr>
        <w:t>)</w:t>
      </w:r>
      <w:r w:rsidRPr="008C1DDE">
        <w:rPr>
          <w:lang w:val="es-ES_tradnl"/>
        </w:rPr>
        <w:tab/>
        <w:t>La Conferencia de Plenipotenciarios, de conformidad con la Constitución, se convoca estrictamente una vez cada cuatro años, y esta frecuencia de celebración de una Conferencia de Plenipotenciarios ordinaria no puede modificarse sin revisar las disposiciones pertinentes de la Constitución.</w:t>
      </w:r>
    </w:p>
    <w:p w14:paraId="1BA8AECD" w14:textId="53FCDB58" w:rsidR="00B42A6A" w:rsidRPr="008C1DDE" w:rsidRDefault="00B42A6A" w:rsidP="00B42A6A">
      <w:pPr>
        <w:pStyle w:val="enumlev1"/>
        <w:rPr>
          <w:lang w:val="es-ES_tradnl"/>
        </w:rPr>
      </w:pPr>
      <w:r w:rsidRPr="008C1DDE">
        <w:rPr>
          <w:lang w:val="es-ES_tradnl"/>
        </w:rPr>
        <w:t>2</w:t>
      </w:r>
      <w:r w:rsidR="00B14EF4">
        <w:rPr>
          <w:lang w:val="es-ES_tradnl"/>
        </w:rPr>
        <w:t>)</w:t>
      </w:r>
      <w:r w:rsidRPr="008C1DDE">
        <w:rPr>
          <w:lang w:val="es-ES_tradnl"/>
        </w:rPr>
        <w:tab/>
      </w:r>
      <w:r w:rsidR="007974B0">
        <w:rPr>
          <w:lang w:val="es-ES_tradnl"/>
        </w:rPr>
        <w:t>D</w:t>
      </w:r>
      <w:r w:rsidR="007974B0" w:rsidRPr="008C1DDE">
        <w:rPr>
          <w:lang w:val="es-ES_tradnl"/>
        </w:rPr>
        <w:t xml:space="preserve">e </w:t>
      </w:r>
      <w:r w:rsidRPr="008C1DDE">
        <w:rPr>
          <w:lang w:val="es-ES_tradnl"/>
        </w:rPr>
        <w:t xml:space="preserve">conformidad con la Constitución, el Convenio y el Reglamento General, </w:t>
      </w:r>
      <w:r w:rsidR="007974B0">
        <w:rPr>
          <w:lang w:val="es-ES_tradnl"/>
        </w:rPr>
        <w:t>l</w:t>
      </w:r>
      <w:r w:rsidR="007974B0" w:rsidRPr="008C1DDE">
        <w:rPr>
          <w:lang w:val="es-ES_tradnl"/>
        </w:rPr>
        <w:t>a próxima Conferencia de Plenipotenciarios ordinaria</w:t>
      </w:r>
      <w:r w:rsidR="007974B0">
        <w:rPr>
          <w:lang w:val="es-ES_tradnl"/>
        </w:rPr>
        <w:t xml:space="preserve"> debe</w:t>
      </w:r>
      <w:r w:rsidR="007974B0" w:rsidRPr="008C1DDE">
        <w:rPr>
          <w:lang w:val="es-ES_tradnl"/>
        </w:rPr>
        <w:t xml:space="preserve"> </w:t>
      </w:r>
      <w:r w:rsidR="007974B0">
        <w:rPr>
          <w:lang w:val="es-ES_tradnl"/>
        </w:rPr>
        <w:t>celebrar</w:t>
      </w:r>
      <w:r w:rsidRPr="008C1DDE">
        <w:rPr>
          <w:lang w:val="es-ES_tradnl"/>
        </w:rPr>
        <w:t>se en 2026 en el Estado de Qatar o en la Confederación Suiza, país anfitrión de la UIT.</w:t>
      </w:r>
    </w:p>
    <w:p w14:paraId="3146BDD3" w14:textId="24002FC7" w:rsidR="00B42A6A" w:rsidRPr="008C1DDE" w:rsidRDefault="00B42A6A" w:rsidP="00B42A6A">
      <w:pPr>
        <w:pStyle w:val="enumlev1"/>
        <w:rPr>
          <w:lang w:val="es-ES_tradnl"/>
        </w:rPr>
      </w:pPr>
      <w:r w:rsidRPr="008C1DDE">
        <w:rPr>
          <w:lang w:val="es-ES_tradnl"/>
        </w:rPr>
        <w:t>3</w:t>
      </w:r>
      <w:r w:rsidR="00B14EF4">
        <w:rPr>
          <w:lang w:val="es-ES_tradnl"/>
        </w:rPr>
        <w:t>)</w:t>
      </w:r>
      <w:r w:rsidRPr="008C1DDE">
        <w:rPr>
          <w:lang w:val="es-ES_tradnl"/>
        </w:rPr>
        <w:tab/>
        <w:t>La próxima Conferencia de Plenipotenciarios ordinaria de 2026, cuando se celebre en el Estado de Qatar o en la Confederación Suiza, se convocará durante un periodo que permita examinar todos los puntos del orden del día, y su duración no podrá dividirse entre estos u otros Estados Miembros de la Unión en virtud de lo dispuesto en el Artículo</w:t>
      </w:r>
      <w:r w:rsidR="006654F1">
        <w:rPr>
          <w:lang w:val="es-ES_tradnl"/>
        </w:rPr>
        <w:t> </w:t>
      </w:r>
      <w:r w:rsidRPr="008C1DDE">
        <w:rPr>
          <w:lang w:val="es-ES_tradnl"/>
        </w:rPr>
        <w:t xml:space="preserve">1 del Convenio y número 5 del Reglamento General (inciso </w:t>
      </w:r>
      <w:r w:rsidRPr="00E10B4C">
        <w:rPr>
          <w:lang w:val="es-ES_tradnl"/>
        </w:rPr>
        <w:t>1</w:t>
      </w:r>
      <w:r w:rsidRPr="008C1DDE">
        <w:rPr>
          <w:lang w:val="es-ES_tradnl"/>
        </w:rPr>
        <w:t xml:space="preserve"> del párrafo</w:t>
      </w:r>
      <w:r w:rsidR="006654F1">
        <w:rPr>
          <w:lang w:val="es-ES_tradnl"/>
        </w:rPr>
        <w:t> </w:t>
      </w:r>
      <w:r w:rsidRPr="008C1DDE">
        <w:rPr>
          <w:lang w:val="es-ES_tradnl"/>
        </w:rPr>
        <w:t xml:space="preserve">2 de la Sección 1 del </w:t>
      </w:r>
      <w:r w:rsidR="007974B0">
        <w:rPr>
          <w:lang w:val="es-ES_tradnl"/>
        </w:rPr>
        <w:t>C</w:t>
      </w:r>
      <w:r w:rsidR="007974B0" w:rsidRPr="008C1DDE">
        <w:rPr>
          <w:lang w:val="es-ES_tradnl"/>
        </w:rPr>
        <w:t>apítulo</w:t>
      </w:r>
      <w:r w:rsidR="006654F1">
        <w:rPr>
          <w:lang w:val="es-ES_tradnl"/>
        </w:rPr>
        <w:t> </w:t>
      </w:r>
      <w:r w:rsidR="00B40419">
        <w:rPr>
          <w:lang w:val="es-ES_tradnl"/>
        </w:rPr>
        <w:t>I</w:t>
      </w:r>
      <w:r w:rsidRPr="008C1DDE">
        <w:rPr>
          <w:lang w:val="es-ES_tradnl"/>
        </w:rPr>
        <w:t>), y el Documento CL-23/53, de 21 de diciembre de 2023.</w:t>
      </w:r>
    </w:p>
    <w:p w14:paraId="01ED08D8" w14:textId="172CCE5F" w:rsidR="00B42A6A" w:rsidRPr="008C1DDE" w:rsidRDefault="00B42A6A" w:rsidP="00B42A6A">
      <w:pPr>
        <w:pStyle w:val="enumlev1"/>
        <w:rPr>
          <w:lang w:val="es-ES_tradnl"/>
        </w:rPr>
      </w:pPr>
      <w:r w:rsidRPr="008C1DDE">
        <w:rPr>
          <w:lang w:val="es-ES_tradnl"/>
        </w:rPr>
        <w:t>4</w:t>
      </w:r>
      <w:r w:rsidR="00B14EF4">
        <w:rPr>
          <w:lang w:val="es-ES_tradnl"/>
        </w:rPr>
        <w:t>)</w:t>
      </w:r>
      <w:r w:rsidRPr="008C1DDE">
        <w:rPr>
          <w:lang w:val="es-ES_tradnl"/>
        </w:rPr>
        <w:tab/>
        <w:t>Existen riesgos jurídicos asociados con la interpretación de la disposición relativa a la frecuencia de celebración de la Conferencia de Plenipotenciarios, que se convocará cada cuatro años (</w:t>
      </w:r>
      <w:r w:rsidR="007974B0">
        <w:rPr>
          <w:lang w:val="es-ES_tradnl"/>
        </w:rPr>
        <w:t xml:space="preserve">La versión en francés del número </w:t>
      </w:r>
      <w:r w:rsidRPr="00E10B4C">
        <w:rPr>
          <w:lang w:val="es-ES_tradnl"/>
        </w:rPr>
        <w:t>47 1</w:t>
      </w:r>
      <w:r w:rsidR="007974B0">
        <w:rPr>
          <w:lang w:val="es-ES_tradnl"/>
        </w:rPr>
        <w:t xml:space="preserve"> de la Constitución reza:</w:t>
      </w:r>
      <w:r w:rsidRPr="008C1DDE">
        <w:rPr>
          <w:i/>
          <w:iCs/>
          <w:lang w:val="es-ES_tradnl"/>
        </w:rPr>
        <w:t xml:space="preserve"> </w:t>
      </w:r>
      <w:r w:rsidRPr="00E10B4C">
        <w:rPr>
          <w:i/>
          <w:iCs/>
          <w:lang w:val="es-ES"/>
        </w:rPr>
        <w:t xml:space="preserve">La </w:t>
      </w:r>
      <w:proofErr w:type="spellStart"/>
      <w:r w:rsidRPr="00E10B4C">
        <w:rPr>
          <w:i/>
          <w:iCs/>
          <w:lang w:val="es-ES"/>
        </w:rPr>
        <w:t>Conférence</w:t>
      </w:r>
      <w:proofErr w:type="spellEnd"/>
      <w:r w:rsidRPr="00E10B4C">
        <w:rPr>
          <w:i/>
          <w:iCs/>
          <w:lang w:val="es-ES"/>
        </w:rPr>
        <w:t xml:space="preserve"> de </w:t>
      </w:r>
      <w:proofErr w:type="spellStart"/>
      <w:r w:rsidRPr="00E10B4C">
        <w:rPr>
          <w:i/>
          <w:iCs/>
          <w:lang w:val="es-ES"/>
        </w:rPr>
        <w:t>plénipotentiaires</w:t>
      </w:r>
      <w:proofErr w:type="spellEnd"/>
      <w:r w:rsidRPr="00E10B4C">
        <w:rPr>
          <w:i/>
          <w:iCs/>
          <w:lang w:val="es-ES"/>
        </w:rPr>
        <w:t xml:space="preserve"> </w:t>
      </w:r>
      <w:proofErr w:type="spellStart"/>
      <w:r w:rsidRPr="00E10B4C">
        <w:rPr>
          <w:i/>
          <w:iCs/>
          <w:lang w:val="es-ES"/>
        </w:rPr>
        <w:t>est</w:t>
      </w:r>
      <w:proofErr w:type="spellEnd"/>
      <w:r w:rsidRPr="00E10B4C">
        <w:rPr>
          <w:i/>
          <w:iCs/>
          <w:lang w:val="es-ES"/>
        </w:rPr>
        <w:t xml:space="preserve"> </w:t>
      </w:r>
      <w:proofErr w:type="spellStart"/>
      <w:r w:rsidRPr="00E10B4C">
        <w:rPr>
          <w:i/>
          <w:iCs/>
          <w:lang w:val="es-ES"/>
        </w:rPr>
        <w:t>composée</w:t>
      </w:r>
      <w:proofErr w:type="spellEnd"/>
      <w:r w:rsidRPr="00E10B4C">
        <w:rPr>
          <w:i/>
          <w:iCs/>
          <w:lang w:val="es-ES"/>
        </w:rPr>
        <w:t xml:space="preserve"> de </w:t>
      </w:r>
      <w:proofErr w:type="spellStart"/>
      <w:r w:rsidRPr="00E10B4C">
        <w:rPr>
          <w:i/>
          <w:iCs/>
          <w:lang w:val="es-ES"/>
        </w:rPr>
        <w:t>délégations</w:t>
      </w:r>
      <w:proofErr w:type="spellEnd"/>
      <w:r w:rsidRPr="00E10B4C">
        <w:rPr>
          <w:i/>
          <w:iCs/>
          <w:lang w:val="es-ES"/>
        </w:rPr>
        <w:t xml:space="preserve"> </w:t>
      </w:r>
      <w:proofErr w:type="spellStart"/>
      <w:r w:rsidRPr="00E10B4C">
        <w:rPr>
          <w:i/>
          <w:iCs/>
          <w:lang w:val="es-ES"/>
        </w:rPr>
        <w:t>représentant</w:t>
      </w:r>
      <w:proofErr w:type="spellEnd"/>
      <w:r w:rsidRPr="00E10B4C">
        <w:rPr>
          <w:i/>
          <w:iCs/>
          <w:lang w:val="es-ES"/>
        </w:rPr>
        <w:t xml:space="preserve"> les Membres. </w:t>
      </w:r>
      <w:r w:rsidRPr="006654F1">
        <w:rPr>
          <w:i/>
          <w:iCs/>
          <w:lang w:val="es-ES"/>
        </w:rPr>
        <w:t xml:space="preserve">Elle </w:t>
      </w:r>
      <w:proofErr w:type="spellStart"/>
      <w:r w:rsidRPr="006654F1">
        <w:rPr>
          <w:i/>
          <w:iCs/>
          <w:lang w:val="es-ES"/>
        </w:rPr>
        <w:t>est</w:t>
      </w:r>
      <w:proofErr w:type="spellEnd"/>
      <w:r w:rsidRPr="006654F1">
        <w:rPr>
          <w:i/>
          <w:iCs/>
          <w:lang w:val="es-ES"/>
        </w:rPr>
        <w:t xml:space="preserve"> </w:t>
      </w:r>
      <w:proofErr w:type="spellStart"/>
      <w:r w:rsidRPr="006654F1">
        <w:rPr>
          <w:i/>
          <w:iCs/>
          <w:lang w:val="es-ES"/>
        </w:rPr>
        <w:t>convoquée</w:t>
      </w:r>
      <w:proofErr w:type="spellEnd"/>
      <w:r w:rsidRPr="006654F1">
        <w:rPr>
          <w:i/>
          <w:iCs/>
          <w:lang w:val="es-ES"/>
        </w:rPr>
        <w:t xml:space="preserve"> </w:t>
      </w:r>
      <w:proofErr w:type="spellStart"/>
      <w:r w:rsidRPr="006654F1">
        <w:rPr>
          <w:i/>
          <w:iCs/>
          <w:lang w:val="es-ES"/>
        </w:rPr>
        <w:t>tous</w:t>
      </w:r>
      <w:proofErr w:type="spellEnd"/>
      <w:r w:rsidRPr="006654F1">
        <w:rPr>
          <w:i/>
          <w:iCs/>
          <w:lang w:val="es-ES"/>
        </w:rPr>
        <w:t xml:space="preserve"> les </w:t>
      </w:r>
      <w:proofErr w:type="spellStart"/>
      <w:r w:rsidRPr="006654F1">
        <w:rPr>
          <w:i/>
          <w:iCs/>
          <w:lang w:val="es-ES"/>
        </w:rPr>
        <w:t>quatre</w:t>
      </w:r>
      <w:proofErr w:type="spellEnd"/>
      <w:r w:rsidRPr="006654F1">
        <w:rPr>
          <w:i/>
          <w:iCs/>
          <w:lang w:val="es-ES"/>
        </w:rPr>
        <w:t xml:space="preserve"> </w:t>
      </w:r>
      <w:proofErr w:type="spellStart"/>
      <w:r w:rsidRPr="006654F1">
        <w:rPr>
          <w:i/>
          <w:iCs/>
          <w:lang w:val="es-ES"/>
        </w:rPr>
        <w:t>ans</w:t>
      </w:r>
      <w:proofErr w:type="spellEnd"/>
      <w:r w:rsidRPr="008C1DDE">
        <w:rPr>
          <w:i/>
          <w:iCs/>
          <w:lang w:val="es-ES_tradnl"/>
        </w:rPr>
        <w:t xml:space="preserve"> </w:t>
      </w:r>
      <w:r w:rsidR="007974B0" w:rsidRPr="006654F1">
        <w:rPr>
          <w:lang w:val="es-ES_tradnl"/>
        </w:rPr>
        <w:t>(</w:t>
      </w:r>
      <w:r w:rsidRPr="00E10B4C">
        <w:rPr>
          <w:lang w:val="es-ES_tradnl"/>
        </w:rPr>
        <w:t>La Conferencia de Plenipotenciarios estará constituida por delegaciones que representen a los Estados Miembros;</w:t>
      </w:r>
      <w:r w:rsidRPr="007974B0">
        <w:rPr>
          <w:lang w:val="es-ES_tradnl"/>
        </w:rPr>
        <w:t xml:space="preserve"> </w:t>
      </w:r>
      <w:r w:rsidRPr="00E10B4C">
        <w:rPr>
          <w:lang w:val="es-ES_tradnl"/>
        </w:rPr>
        <w:t>y se convocará cada cuatro años</w:t>
      </w:r>
      <w:r w:rsidR="007974B0">
        <w:rPr>
          <w:lang w:val="es-ES_tradnl"/>
        </w:rPr>
        <w:t>)</w:t>
      </w:r>
      <w:r w:rsidRPr="008C1DDE">
        <w:rPr>
          <w:lang w:val="es-ES_tradnl"/>
        </w:rPr>
        <w:t xml:space="preserve">), lo que puede interpretarse como el requisito de celebrar la Conferencia de Plenipotenciarios exactamente cuatro años después de la fecha de clausura de la anterior Conferencia de Plenipotenciarios, lo que </w:t>
      </w:r>
      <w:r w:rsidR="007974B0">
        <w:rPr>
          <w:lang w:val="es-ES_tradnl"/>
        </w:rPr>
        <w:t xml:space="preserve">implicaría </w:t>
      </w:r>
      <w:r w:rsidRPr="008C1DDE">
        <w:rPr>
          <w:lang w:val="es-ES_tradnl"/>
        </w:rPr>
        <w:t xml:space="preserve">que la Conferencia de Plenipotenciarios de 2026 </w:t>
      </w:r>
      <w:r w:rsidR="007974B0">
        <w:rPr>
          <w:lang w:val="es-ES_tradnl"/>
        </w:rPr>
        <w:t>tuviese que</w:t>
      </w:r>
      <w:r w:rsidRPr="008C1DDE">
        <w:rPr>
          <w:lang w:val="es-ES_tradnl"/>
        </w:rPr>
        <w:t xml:space="preserve"> comenzar el 14 de octubre de 2026 a más tardar.</w:t>
      </w:r>
    </w:p>
    <w:p w14:paraId="7D78FAFD" w14:textId="0B56CE27" w:rsidR="00B42A6A" w:rsidRPr="008C1DDE" w:rsidRDefault="00B42A6A" w:rsidP="00B42A6A">
      <w:pPr>
        <w:pStyle w:val="enumlev1"/>
        <w:rPr>
          <w:lang w:val="es-ES_tradnl"/>
        </w:rPr>
      </w:pPr>
      <w:r w:rsidRPr="008C1DDE">
        <w:rPr>
          <w:lang w:val="es-ES_tradnl"/>
        </w:rPr>
        <w:t>5</w:t>
      </w:r>
      <w:r w:rsidR="00B14EF4">
        <w:rPr>
          <w:lang w:val="es-ES_tradnl"/>
        </w:rPr>
        <w:t>)</w:t>
      </w:r>
      <w:r w:rsidRPr="008C1DDE">
        <w:rPr>
          <w:lang w:val="es-ES_tradnl"/>
        </w:rPr>
        <w:tab/>
        <w:t xml:space="preserve">En caso de que se haga una interpretación más </w:t>
      </w:r>
      <w:r w:rsidR="007974B0">
        <w:rPr>
          <w:lang w:val="es-ES_tradnl"/>
        </w:rPr>
        <w:t>laxa del número</w:t>
      </w:r>
      <w:r w:rsidR="00710460" w:rsidRPr="008C1DDE">
        <w:rPr>
          <w:lang w:val="es-ES_tradnl"/>
        </w:rPr>
        <w:t> </w:t>
      </w:r>
      <w:r w:rsidRPr="008C1DDE">
        <w:rPr>
          <w:lang w:val="es-ES_tradnl"/>
        </w:rPr>
        <w:t>47 de la Constitución (párrafo</w:t>
      </w:r>
      <w:r w:rsidR="006654F1">
        <w:rPr>
          <w:lang w:val="es-ES_tradnl"/>
        </w:rPr>
        <w:t> </w:t>
      </w:r>
      <w:r w:rsidRPr="008C1DDE">
        <w:rPr>
          <w:lang w:val="es-ES_tradnl"/>
        </w:rPr>
        <w:t>1 del Artículo 8), la Conferencia de Plenipotenciarios de 2026 debe</w:t>
      </w:r>
      <w:r w:rsidR="007974B0">
        <w:rPr>
          <w:lang w:val="es-ES_tradnl"/>
        </w:rPr>
        <w:t>ría</w:t>
      </w:r>
      <w:r w:rsidRPr="008C1DDE">
        <w:rPr>
          <w:lang w:val="es-ES_tradnl"/>
        </w:rPr>
        <w:t xml:space="preserve"> celebrarse </w:t>
      </w:r>
      <w:r w:rsidR="007974B0">
        <w:rPr>
          <w:lang w:val="es-ES_tradnl"/>
        </w:rPr>
        <w:t xml:space="preserve">a más tardar </w:t>
      </w:r>
      <w:r w:rsidRPr="008C1DDE">
        <w:rPr>
          <w:lang w:val="es-ES_tradnl"/>
        </w:rPr>
        <w:t>a finales de 2026.</w:t>
      </w:r>
    </w:p>
    <w:p w14:paraId="20116E15" w14:textId="77777777" w:rsidR="00E10B4C" w:rsidRDefault="00E10B4C">
      <w:pPr>
        <w:tabs>
          <w:tab w:val="clear" w:pos="567"/>
          <w:tab w:val="clear" w:pos="1134"/>
          <w:tab w:val="clear" w:pos="1701"/>
          <w:tab w:val="clear" w:pos="2268"/>
          <w:tab w:val="clear" w:pos="2835"/>
        </w:tabs>
        <w:overflowPunct/>
        <w:autoSpaceDE/>
        <w:autoSpaceDN/>
        <w:adjustRightInd/>
        <w:spacing w:before="0"/>
        <w:textAlignment w:val="auto"/>
        <w:rPr>
          <w:lang w:val="es-ES_tradnl"/>
        </w:rPr>
      </w:pPr>
      <w:r>
        <w:rPr>
          <w:lang w:val="es-ES_tradnl"/>
        </w:rPr>
        <w:br w:type="page"/>
      </w:r>
    </w:p>
    <w:p w14:paraId="2541C8C8" w14:textId="5F1E1B7E" w:rsidR="00B42A6A" w:rsidRPr="008C1DDE" w:rsidRDefault="00B42A6A" w:rsidP="00B42A6A">
      <w:pPr>
        <w:pStyle w:val="enumlev1"/>
        <w:rPr>
          <w:lang w:val="es-ES_tradnl"/>
        </w:rPr>
      </w:pPr>
      <w:r w:rsidRPr="008C1DDE">
        <w:rPr>
          <w:lang w:val="es-ES_tradnl"/>
        </w:rPr>
        <w:lastRenderedPageBreak/>
        <w:t>6</w:t>
      </w:r>
      <w:r w:rsidR="00B14EF4">
        <w:rPr>
          <w:lang w:val="es-ES_tradnl"/>
        </w:rPr>
        <w:t>)</w:t>
      </w:r>
      <w:r w:rsidRPr="008C1DDE">
        <w:rPr>
          <w:lang w:val="es-ES_tradnl"/>
        </w:rPr>
        <w:tab/>
        <w:t xml:space="preserve">La convocación de una Conferencia de Plenipotenciarios extraordinaria es adecuada en los casos en que sea necesario resolver cuestiones específicas que no pudieron resolverse en una Conferencia de Plenipotenciarios ordinaria o que surgieron después de la celebración de una Conferencia de Plenipotenciarios ordinaria, requieren una solución inmediata y no pueden esperar a </w:t>
      </w:r>
      <w:r w:rsidR="007974B0">
        <w:rPr>
          <w:lang w:val="es-ES_tradnl"/>
        </w:rPr>
        <w:t>resolverse en</w:t>
      </w:r>
      <w:r w:rsidRPr="008C1DDE">
        <w:rPr>
          <w:lang w:val="es-ES_tradnl"/>
        </w:rPr>
        <w:t xml:space="preserve"> la siguiente Conferencia ordinaria.</w:t>
      </w:r>
    </w:p>
    <w:p w14:paraId="67C0576D" w14:textId="13482741" w:rsidR="00B42A6A" w:rsidRPr="008C1DDE" w:rsidRDefault="00B42A6A" w:rsidP="00B42A6A">
      <w:pPr>
        <w:pStyle w:val="enumlev1"/>
        <w:rPr>
          <w:lang w:val="es-ES_tradnl"/>
        </w:rPr>
      </w:pPr>
      <w:r w:rsidRPr="008C1DDE">
        <w:rPr>
          <w:lang w:val="es-ES_tradnl"/>
        </w:rPr>
        <w:t>7</w:t>
      </w:r>
      <w:r w:rsidR="00B14EF4">
        <w:rPr>
          <w:lang w:val="es-ES_tradnl"/>
        </w:rPr>
        <w:t>)</w:t>
      </w:r>
      <w:r w:rsidRPr="008C1DDE">
        <w:rPr>
          <w:lang w:val="es-ES_tradnl"/>
        </w:rPr>
        <w:tab/>
        <w:t xml:space="preserve">En virtud de la interpretación de las disposiciones del Artículo 8 de la Constitución en su conjunto y, en particular, de los números 59A </w:t>
      </w:r>
      <w:r w:rsidR="00744DEE">
        <w:rPr>
          <w:lang w:val="es-ES_tradnl"/>
        </w:rPr>
        <w:t>a</w:t>
      </w:r>
      <w:r w:rsidRPr="008C1DDE">
        <w:rPr>
          <w:lang w:val="es-ES_tradnl"/>
        </w:rPr>
        <w:t xml:space="preserve"> 59D de la Constitución (</w:t>
      </w:r>
      <w:r w:rsidR="00744DEE" w:rsidRPr="008C1DDE">
        <w:rPr>
          <w:lang w:val="es-ES_tradnl"/>
        </w:rPr>
        <w:t xml:space="preserve">sus incisos </w:t>
      </w:r>
      <w:r w:rsidR="00744DEE" w:rsidRPr="008C1DDE">
        <w:rPr>
          <w:i/>
          <w:iCs/>
          <w:lang w:val="es-ES_tradnl"/>
        </w:rPr>
        <w:t>a)</w:t>
      </w:r>
      <w:r w:rsidR="00744DEE" w:rsidRPr="008C1DDE">
        <w:rPr>
          <w:lang w:val="es-ES_tradnl"/>
        </w:rPr>
        <w:t xml:space="preserve">, </w:t>
      </w:r>
      <w:r w:rsidR="00744DEE" w:rsidRPr="008C1DDE">
        <w:rPr>
          <w:i/>
          <w:iCs/>
          <w:lang w:val="es-ES_tradnl"/>
        </w:rPr>
        <w:t>b)</w:t>
      </w:r>
      <w:r w:rsidR="00744DEE" w:rsidRPr="008C1DDE">
        <w:rPr>
          <w:lang w:val="es-ES_tradnl"/>
        </w:rPr>
        <w:t xml:space="preserve"> y </w:t>
      </w:r>
      <w:r w:rsidR="00744DEE" w:rsidRPr="008C1DDE">
        <w:rPr>
          <w:i/>
          <w:iCs/>
          <w:lang w:val="es-ES_tradnl"/>
        </w:rPr>
        <w:t>c)</w:t>
      </w:r>
      <w:r w:rsidR="00744DEE">
        <w:rPr>
          <w:i/>
          <w:iCs/>
          <w:lang w:val="es-ES_tradnl"/>
        </w:rPr>
        <w:t xml:space="preserve"> </w:t>
      </w:r>
      <w:r w:rsidR="00744DEE">
        <w:rPr>
          <w:lang w:val="es-ES_tradnl"/>
        </w:rPr>
        <w:t xml:space="preserve">del </w:t>
      </w:r>
      <w:r w:rsidRPr="008C1DDE">
        <w:rPr>
          <w:lang w:val="es-ES_tradnl"/>
        </w:rPr>
        <w:t>párrafo</w:t>
      </w:r>
      <w:r w:rsidR="006654F1">
        <w:rPr>
          <w:lang w:val="es-ES_tradnl"/>
        </w:rPr>
        <w:t> </w:t>
      </w:r>
      <w:r w:rsidRPr="008C1DDE">
        <w:rPr>
          <w:lang w:val="es-ES_tradnl"/>
        </w:rPr>
        <w:t>3 del Artículo 8)</w:t>
      </w:r>
      <w:r w:rsidR="00744DEE">
        <w:rPr>
          <w:lang w:val="es-ES_tradnl"/>
        </w:rPr>
        <w:t>, como se indica</w:t>
      </w:r>
      <w:r w:rsidRPr="008C1DDE">
        <w:rPr>
          <w:lang w:val="es-ES_tradnl"/>
        </w:rPr>
        <w:t xml:space="preserve"> anterior</w:t>
      </w:r>
      <w:r w:rsidR="00744DEE">
        <w:rPr>
          <w:lang w:val="es-ES_tradnl"/>
        </w:rPr>
        <w:t>mente</w:t>
      </w:r>
      <w:r w:rsidRPr="008C1DDE">
        <w:rPr>
          <w:lang w:val="es-ES_tradnl"/>
        </w:rPr>
        <w:t xml:space="preserve">, la decisión de convocar una Conferencia de Plenipotenciarios extraordinaria en 2027 o en los años posteriores inmediatamente </w:t>
      </w:r>
      <w:r w:rsidR="00744DEE">
        <w:rPr>
          <w:lang w:val="es-ES_tradnl"/>
        </w:rPr>
        <w:t>después de</w:t>
      </w:r>
      <w:r w:rsidRPr="008C1DDE">
        <w:rPr>
          <w:lang w:val="es-ES_tradnl"/>
        </w:rPr>
        <w:t xml:space="preserve"> la próxima Conferencia de Plenipotenciarios ordinaria de 2026 no puede ser adoptada por el Consejo en 2026 antes de la próxima Conferencia de Plenipotenciarios ordinaria de 2026</w:t>
      </w:r>
      <w:r w:rsidR="00744DEE">
        <w:rPr>
          <w:lang w:val="es-ES_tradnl"/>
        </w:rPr>
        <w:t>,</w:t>
      </w:r>
      <w:r w:rsidRPr="008C1DDE">
        <w:rPr>
          <w:lang w:val="es-ES_tradnl"/>
        </w:rPr>
        <w:t xml:space="preserve"> ya que:</w:t>
      </w:r>
    </w:p>
    <w:p w14:paraId="58E6E855" w14:textId="77486AD9" w:rsidR="00B42A6A" w:rsidRPr="008C1DDE" w:rsidRDefault="00B42A6A" w:rsidP="00B42A6A">
      <w:pPr>
        <w:pStyle w:val="enumlev2"/>
        <w:rPr>
          <w:lang w:val="es-ES_tradnl"/>
        </w:rPr>
      </w:pPr>
      <w:r w:rsidRPr="008C1DDE">
        <w:rPr>
          <w:lang w:val="es-ES_tradnl"/>
        </w:rPr>
        <w:t>–</w:t>
      </w:r>
      <w:r w:rsidRPr="008C1DDE">
        <w:rPr>
          <w:lang w:val="es-ES_tradnl"/>
        </w:rPr>
        <w:tab/>
        <w:t>una Conferencia de Plenipotenciarios ordinaria no puede celebrarse con un orden del día restringido y debe abarcar todos los asuntos previstos en los números 49 y 59 de la Constitución (</w:t>
      </w:r>
      <w:r w:rsidR="00744DEE" w:rsidRPr="008C1DDE">
        <w:rPr>
          <w:lang w:val="es-ES_tradnl"/>
        </w:rPr>
        <w:t xml:space="preserve">incisos </w:t>
      </w:r>
      <w:r w:rsidR="00744DEE" w:rsidRPr="008C1DDE">
        <w:rPr>
          <w:i/>
          <w:iCs/>
          <w:lang w:val="es-ES_tradnl"/>
        </w:rPr>
        <w:t xml:space="preserve">a) </w:t>
      </w:r>
      <w:r w:rsidR="00744DEE" w:rsidRPr="008C1DDE">
        <w:rPr>
          <w:lang w:val="es-ES_tradnl"/>
        </w:rPr>
        <w:t xml:space="preserve">a </w:t>
      </w:r>
      <w:r w:rsidR="00744DEE" w:rsidRPr="008C1DDE">
        <w:rPr>
          <w:i/>
          <w:iCs/>
          <w:lang w:val="es-ES_tradnl"/>
        </w:rPr>
        <w:t>k)</w:t>
      </w:r>
      <w:r w:rsidR="00744DEE">
        <w:rPr>
          <w:i/>
          <w:iCs/>
          <w:lang w:val="es-ES_tradnl"/>
        </w:rPr>
        <w:t xml:space="preserve"> </w:t>
      </w:r>
      <w:r w:rsidR="00744DEE">
        <w:rPr>
          <w:lang w:val="es-ES_tradnl"/>
        </w:rPr>
        <w:t xml:space="preserve">del </w:t>
      </w:r>
      <w:r w:rsidRPr="008C1DDE">
        <w:rPr>
          <w:lang w:val="es-ES_tradnl"/>
        </w:rPr>
        <w:t>párrafo 2 del Artículo 8);</w:t>
      </w:r>
    </w:p>
    <w:p w14:paraId="2D6BE8C3" w14:textId="18BB9F62" w:rsidR="00B42A6A" w:rsidRPr="008C1DDE" w:rsidRDefault="00B42A6A" w:rsidP="00B42A6A">
      <w:pPr>
        <w:pStyle w:val="enumlev2"/>
        <w:rPr>
          <w:lang w:val="es-ES_tradnl"/>
        </w:rPr>
      </w:pPr>
      <w:r w:rsidRPr="008C1DDE">
        <w:rPr>
          <w:lang w:val="es-ES_tradnl"/>
        </w:rPr>
        <w:t>–</w:t>
      </w:r>
      <w:r w:rsidRPr="008C1DDE">
        <w:rPr>
          <w:lang w:val="es-ES_tradnl"/>
        </w:rPr>
        <w:tab/>
        <w:t>una Conferencia de Plenipotenciarios ordinaria podrá, en casos excepcionales, decidir convocar una Conferencia de Plenipotenciarios extraordinaria con un orden del día limitado durante el periodo que precede a la siguiente Conferencia de Plenipotenciarios ordinaria para examinar cuestiones específicas que la Conferencia de Plenipotenciarios ordinaria no haya resuelto pero que requieran una decisión del órgano supremo de la Unión;</w:t>
      </w:r>
    </w:p>
    <w:p w14:paraId="1FCD3930" w14:textId="307B75FA" w:rsidR="00B42A6A" w:rsidRPr="008C1DDE" w:rsidRDefault="00B42A6A" w:rsidP="00B42A6A">
      <w:pPr>
        <w:pStyle w:val="enumlev2"/>
        <w:rPr>
          <w:lang w:val="es-ES_tradnl"/>
        </w:rPr>
      </w:pPr>
      <w:r w:rsidRPr="008C1DDE">
        <w:rPr>
          <w:lang w:val="es-ES_tradnl"/>
        </w:rPr>
        <w:t>–</w:t>
      </w:r>
      <w:r w:rsidRPr="008C1DDE">
        <w:rPr>
          <w:lang w:val="es-ES_tradnl"/>
        </w:rPr>
        <w:tab/>
        <w:t xml:space="preserve">Los Estados Miembros podrán, </w:t>
      </w:r>
      <w:r w:rsidR="00744DEE">
        <w:rPr>
          <w:lang w:val="es-ES_tradnl"/>
        </w:rPr>
        <w:t>si así lo solicitan individualmente al Secretario</w:t>
      </w:r>
      <w:r w:rsidR="00E10B4C">
        <w:rPr>
          <w:lang w:val="es-ES_tradnl"/>
        </w:rPr>
        <w:t> </w:t>
      </w:r>
      <w:r w:rsidR="00744DEE">
        <w:rPr>
          <w:lang w:val="es-ES_tradnl"/>
        </w:rPr>
        <w:t xml:space="preserve">General </w:t>
      </w:r>
      <w:r w:rsidRPr="008C1DDE">
        <w:rPr>
          <w:lang w:val="es-ES_tradnl"/>
        </w:rPr>
        <w:t xml:space="preserve">dos tercios de los Estados Miembros </w:t>
      </w:r>
      <w:r w:rsidR="00744DEE">
        <w:rPr>
          <w:lang w:val="es-ES_tradnl"/>
        </w:rPr>
        <w:t>o a propuesta del</w:t>
      </w:r>
      <w:r w:rsidRPr="008C1DDE">
        <w:rPr>
          <w:lang w:val="es-ES_tradnl"/>
        </w:rPr>
        <w:t xml:space="preserve"> Consejo, convocar una Conferencia de Plenipotenciarios extraordinaria con un orden del día limitado en el periodo entre dos Conferencias de Plenipotenciarios ordinarias para examinar cuestiones específicas que hayan surgido y que exijan una decisión del órgano supremo de la Unión.</w:t>
      </w:r>
    </w:p>
    <w:p w14:paraId="1F17B0B2" w14:textId="2F2C56DB" w:rsidR="00B42A6A" w:rsidRPr="008C1DDE" w:rsidRDefault="00B42A6A" w:rsidP="00B42A6A">
      <w:pPr>
        <w:pStyle w:val="enumlev1"/>
        <w:rPr>
          <w:lang w:val="es-ES_tradnl"/>
        </w:rPr>
      </w:pPr>
      <w:r w:rsidRPr="008C1DDE">
        <w:rPr>
          <w:lang w:val="es-ES_tradnl"/>
        </w:rPr>
        <w:t>8</w:t>
      </w:r>
      <w:r w:rsidR="00B14EF4">
        <w:rPr>
          <w:lang w:val="es-ES_tradnl"/>
        </w:rPr>
        <w:t>)</w:t>
      </w:r>
      <w:r w:rsidRPr="008C1DDE">
        <w:rPr>
          <w:lang w:val="es-ES_tradnl"/>
        </w:rPr>
        <w:tab/>
        <w:t xml:space="preserve">Muchos Estados Miembros y Miembros de Sector ya han pagado el alojamiento de sus delegaciones en Doha, el alquiler de locales para eventos sociales, la producción de </w:t>
      </w:r>
      <w:r w:rsidR="00744DEE">
        <w:rPr>
          <w:lang w:val="es-ES_tradnl"/>
        </w:rPr>
        <w:t>material promocional</w:t>
      </w:r>
      <w:r w:rsidRPr="008C1DDE">
        <w:rPr>
          <w:lang w:val="es-ES_tradnl"/>
        </w:rPr>
        <w:t>, etc.</w:t>
      </w:r>
    </w:p>
    <w:p w14:paraId="6AE2505D" w14:textId="2D1B9100" w:rsidR="00B42A6A" w:rsidRPr="008C1DDE" w:rsidRDefault="00B42A6A" w:rsidP="00B42A6A">
      <w:pPr>
        <w:pStyle w:val="enumlev1"/>
        <w:rPr>
          <w:lang w:val="es-ES_tradnl"/>
        </w:rPr>
      </w:pPr>
      <w:r w:rsidRPr="008C1DDE">
        <w:rPr>
          <w:lang w:val="es-ES_tradnl"/>
        </w:rPr>
        <w:t>9</w:t>
      </w:r>
      <w:r w:rsidR="00B14EF4">
        <w:rPr>
          <w:lang w:val="es-ES_tradnl"/>
        </w:rPr>
        <w:t>)</w:t>
      </w:r>
      <w:r w:rsidRPr="008C1DDE">
        <w:rPr>
          <w:lang w:val="es-ES_tradnl"/>
        </w:rPr>
        <w:tab/>
        <w:t xml:space="preserve">Además, si la Conferencia de Plenipotenciarios se aplaza hasta enero de 2027, muchos Estados Miembros podrían tener dificultades para financiar </w:t>
      </w:r>
      <w:r w:rsidR="00744DEE">
        <w:rPr>
          <w:lang w:val="es-ES_tradnl"/>
        </w:rPr>
        <w:t>en 2027 esos</w:t>
      </w:r>
      <w:r w:rsidRPr="008C1DDE">
        <w:rPr>
          <w:lang w:val="es-ES_tradnl"/>
        </w:rPr>
        <w:t xml:space="preserve"> costos con cargo al presupuesto de 2026, especialmente si ya se han realizado los pagos para la participación de la delegación en la Conferencia de Plenipotenciarios de 2026.</w:t>
      </w:r>
    </w:p>
    <w:p w14:paraId="02C8BCC9" w14:textId="1596839F" w:rsidR="00B42A6A" w:rsidRPr="008C1DDE" w:rsidRDefault="00B42A6A" w:rsidP="00B42A6A">
      <w:pPr>
        <w:pStyle w:val="enumlev1"/>
        <w:rPr>
          <w:lang w:val="es-ES_tradnl"/>
        </w:rPr>
      </w:pPr>
      <w:r w:rsidRPr="008C1DDE">
        <w:rPr>
          <w:lang w:val="es-ES_tradnl"/>
        </w:rPr>
        <w:t>10</w:t>
      </w:r>
      <w:r w:rsidR="00B14EF4">
        <w:rPr>
          <w:lang w:val="es-ES_tradnl"/>
        </w:rPr>
        <w:t>)</w:t>
      </w:r>
      <w:r w:rsidRPr="008C1DDE">
        <w:rPr>
          <w:lang w:val="es-ES_tradnl"/>
        </w:rPr>
        <w:tab/>
        <w:t xml:space="preserve">Además, en algunos Estados Miembros, los fondos presupuestarios se transfieren a las organizaciones a mediados de enero, y en algunos Estados Miembros, las vacaciones de Navidad duran del 31 de diciembre de 2026 al 10 de enero de 2027 (el 11 de enero de 2027 es el primer día laborable), lo que complica aún más la situación </w:t>
      </w:r>
      <w:r w:rsidR="00FB47BA">
        <w:rPr>
          <w:lang w:val="es-ES_tradnl"/>
        </w:rPr>
        <w:t>en lo que respecta a</w:t>
      </w:r>
      <w:r w:rsidRPr="008C1DDE">
        <w:rPr>
          <w:lang w:val="es-ES_tradnl"/>
        </w:rPr>
        <w:t xml:space="preserve"> la financiación y el envío de delegaciones para participar en la Conferencia de Plenipotenciarios en las fechas propuestas por la Secretaria General de la UIT, del 11 al 29 de enero de 2027, como se indica en el Documento </w:t>
      </w:r>
      <w:hyperlink r:id="rId7" w:history="1">
        <w:r w:rsidRPr="008C1DDE">
          <w:rPr>
            <w:rStyle w:val="Hyperlink"/>
            <w:lang w:val="es-ES_tradnl"/>
          </w:rPr>
          <w:t>C26-EXT/2</w:t>
        </w:r>
      </w:hyperlink>
      <w:r w:rsidRPr="008C1DDE">
        <w:rPr>
          <w:lang w:val="es-ES_tradnl"/>
        </w:rPr>
        <w:t>.</w:t>
      </w:r>
      <w:hyperlink r:id="rId8" w:history="1"/>
    </w:p>
    <w:p w14:paraId="63387270" w14:textId="77777777" w:rsidR="00E10B4C" w:rsidRDefault="00E10B4C">
      <w:pPr>
        <w:tabs>
          <w:tab w:val="clear" w:pos="567"/>
          <w:tab w:val="clear" w:pos="1134"/>
          <w:tab w:val="clear" w:pos="1701"/>
          <w:tab w:val="clear" w:pos="2268"/>
          <w:tab w:val="clear" w:pos="2835"/>
        </w:tabs>
        <w:overflowPunct/>
        <w:autoSpaceDE/>
        <w:autoSpaceDN/>
        <w:adjustRightInd/>
        <w:spacing w:before="0"/>
        <w:textAlignment w:val="auto"/>
        <w:rPr>
          <w:b/>
          <w:sz w:val="28"/>
          <w:lang w:val="es-ES_tradnl"/>
        </w:rPr>
      </w:pPr>
      <w:r>
        <w:rPr>
          <w:lang w:val="es-ES_tradnl"/>
        </w:rPr>
        <w:br w:type="page"/>
      </w:r>
    </w:p>
    <w:p w14:paraId="69FF2815" w14:textId="09AD94F7" w:rsidR="00B42A6A" w:rsidRPr="008C1DDE" w:rsidRDefault="00B42A6A" w:rsidP="00B42A6A">
      <w:pPr>
        <w:pStyle w:val="Heading1"/>
        <w:rPr>
          <w:lang w:val="es-ES_tradnl"/>
        </w:rPr>
      </w:pPr>
      <w:r w:rsidRPr="008C1DDE">
        <w:rPr>
          <w:lang w:val="es-ES_tradnl"/>
        </w:rPr>
        <w:lastRenderedPageBreak/>
        <w:t>III</w:t>
      </w:r>
      <w:r w:rsidRPr="008C1DDE">
        <w:rPr>
          <w:lang w:val="es-ES_tradnl"/>
        </w:rPr>
        <w:tab/>
        <w:t>Propuesta</w:t>
      </w:r>
    </w:p>
    <w:p w14:paraId="7CB1AF41" w14:textId="32265D63" w:rsidR="00B42A6A" w:rsidRPr="008C1DDE" w:rsidRDefault="00B42A6A" w:rsidP="00B42A6A">
      <w:pPr>
        <w:rPr>
          <w:lang w:val="es-ES_tradnl"/>
        </w:rPr>
      </w:pPr>
      <w:r w:rsidRPr="008C1DDE">
        <w:rPr>
          <w:lang w:val="es-ES_tradnl"/>
        </w:rPr>
        <w:t xml:space="preserve">Habida cuenta de lo anterior y </w:t>
      </w:r>
      <w:r w:rsidR="00FB47BA">
        <w:rPr>
          <w:lang w:val="es-ES_tradnl"/>
        </w:rPr>
        <w:t xml:space="preserve">también </w:t>
      </w:r>
      <w:r w:rsidRPr="008C1DDE">
        <w:rPr>
          <w:lang w:val="es-ES_tradnl"/>
        </w:rPr>
        <w:t>de que la periodicidad de las Conferencias de Plenipotenciarios está claramente definida en la Constitución y</w:t>
      </w:r>
      <w:r w:rsidR="00FB47BA">
        <w:rPr>
          <w:lang w:val="es-ES_tradnl"/>
        </w:rPr>
        <w:t xml:space="preserve"> de que</w:t>
      </w:r>
      <w:r w:rsidRPr="008C1DDE">
        <w:rPr>
          <w:lang w:val="es-ES_tradnl"/>
        </w:rPr>
        <w:t>, de conformidad con lo dispuesto en el Artículo 47 de la Constitución (</w:t>
      </w:r>
      <w:r w:rsidR="00FB47BA">
        <w:rPr>
          <w:lang w:val="es-ES_tradnl"/>
        </w:rPr>
        <w:t>párrafo</w:t>
      </w:r>
      <w:r w:rsidR="006654F1">
        <w:rPr>
          <w:lang w:val="es-ES_tradnl"/>
        </w:rPr>
        <w:t> </w:t>
      </w:r>
      <w:r w:rsidR="00FB47BA">
        <w:rPr>
          <w:lang w:val="es-ES_tradnl"/>
        </w:rPr>
        <w:t xml:space="preserve">1 del </w:t>
      </w:r>
      <w:r w:rsidRPr="008C1DDE">
        <w:rPr>
          <w:lang w:val="es-ES_tradnl"/>
        </w:rPr>
        <w:t>Artículo</w:t>
      </w:r>
      <w:r w:rsidR="006654F1">
        <w:rPr>
          <w:lang w:val="es-ES_tradnl"/>
        </w:rPr>
        <w:t> </w:t>
      </w:r>
      <w:r w:rsidRPr="008C1DDE">
        <w:rPr>
          <w:lang w:val="es-ES_tradnl"/>
        </w:rPr>
        <w:t xml:space="preserve">8), </w:t>
      </w:r>
      <w:r w:rsidR="00FB47BA">
        <w:rPr>
          <w:lang w:val="es-ES_tradnl"/>
        </w:rPr>
        <w:t xml:space="preserve">ésta </w:t>
      </w:r>
      <w:r w:rsidRPr="008C1DDE">
        <w:rPr>
          <w:lang w:val="es-ES_tradnl"/>
        </w:rPr>
        <w:t xml:space="preserve">es </w:t>
      </w:r>
      <w:r w:rsidR="00FB47BA">
        <w:rPr>
          <w:lang w:val="es-ES_tradnl"/>
        </w:rPr>
        <w:t>de</w:t>
      </w:r>
      <w:r w:rsidRPr="008C1DDE">
        <w:rPr>
          <w:lang w:val="es-ES_tradnl"/>
        </w:rPr>
        <w:t xml:space="preserve"> cuatro</w:t>
      </w:r>
      <w:r w:rsidR="006654F1">
        <w:rPr>
          <w:lang w:val="es-ES_tradnl"/>
        </w:rPr>
        <w:t> </w:t>
      </w:r>
      <w:r w:rsidRPr="008C1DDE">
        <w:rPr>
          <w:lang w:val="es-ES_tradnl"/>
        </w:rPr>
        <w:t>años, los autores de la contribución proponen al Consejo:</w:t>
      </w:r>
    </w:p>
    <w:p w14:paraId="479D4A99" w14:textId="1D9DE035" w:rsidR="00B42A6A" w:rsidRPr="008C1DDE" w:rsidRDefault="00B42A6A" w:rsidP="00B42A6A">
      <w:pPr>
        <w:pStyle w:val="enumlev1"/>
        <w:rPr>
          <w:lang w:val="es-ES_tradnl"/>
        </w:rPr>
      </w:pPr>
      <w:r w:rsidRPr="008C1DDE">
        <w:rPr>
          <w:lang w:val="es-ES_tradnl"/>
        </w:rPr>
        <w:t>1</w:t>
      </w:r>
      <w:r w:rsidR="00B14EF4">
        <w:rPr>
          <w:lang w:val="es-ES_tradnl"/>
        </w:rPr>
        <w:t>)</w:t>
      </w:r>
      <w:r w:rsidRPr="008C1DDE">
        <w:rPr>
          <w:lang w:val="es-ES_tradnl"/>
        </w:rPr>
        <w:tab/>
        <w:t xml:space="preserve">agradecer al Estado de Qatar sus esfuerzos en la preparación de la </w:t>
      </w:r>
      <w:r w:rsidR="00FB47BA">
        <w:rPr>
          <w:lang w:val="es-ES_tradnl"/>
        </w:rPr>
        <w:t xml:space="preserve">celebración de </w:t>
      </w:r>
      <w:r w:rsidRPr="008C1DDE">
        <w:rPr>
          <w:lang w:val="es-ES_tradnl"/>
        </w:rPr>
        <w:t>Conferencia de Plenipotenciarios de 2026.</w:t>
      </w:r>
    </w:p>
    <w:p w14:paraId="78439E54" w14:textId="55A52013" w:rsidR="00B42A6A" w:rsidRPr="008C1DDE" w:rsidRDefault="00B42A6A" w:rsidP="00B42A6A">
      <w:pPr>
        <w:pStyle w:val="enumlev1"/>
        <w:rPr>
          <w:lang w:val="es-ES_tradnl"/>
        </w:rPr>
      </w:pPr>
      <w:r w:rsidRPr="008C1DDE">
        <w:rPr>
          <w:lang w:val="es-ES_tradnl"/>
        </w:rPr>
        <w:t>2</w:t>
      </w:r>
      <w:r w:rsidR="00B14EF4">
        <w:rPr>
          <w:lang w:val="es-ES_tradnl"/>
        </w:rPr>
        <w:t>)</w:t>
      </w:r>
      <w:r w:rsidRPr="008C1DDE">
        <w:rPr>
          <w:lang w:val="es-ES_tradnl"/>
        </w:rPr>
        <w:tab/>
        <w:t>apoyar la convocación de la Conferencia de Plenipotenciarios estrictamente en 2026, dentro de un plazo que permita examinar el orden del día completo, de conformidad con los números 49-59 de la Constitución (</w:t>
      </w:r>
      <w:r w:rsidR="00FB47BA" w:rsidRPr="008C1DDE">
        <w:rPr>
          <w:lang w:val="es-ES_tradnl"/>
        </w:rPr>
        <w:t xml:space="preserve">incisos </w:t>
      </w:r>
      <w:r w:rsidR="00FB47BA" w:rsidRPr="008C1DDE">
        <w:rPr>
          <w:i/>
          <w:iCs/>
          <w:lang w:val="es-ES_tradnl"/>
        </w:rPr>
        <w:t xml:space="preserve">a) </w:t>
      </w:r>
      <w:r w:rsidR="00FB47BA" w:rsidRPr="008C1DDE">
        <w:rPr>
          <w:lang w:val="es-ES_tradnl"/>
        </w:rPr>
        <w:t>a</w:t>
      </w:r>
      <w:r w:rsidR="00FB47BA" w:rsidRPr="008C1DDE">
        <w:rPr>
          <w:i/>
          <w:iCs/>
          <w:lang w:val="es-ES_tradnl"/>
        </w:rPr>
        <w:t xml:space="preserve"> k)</w:t>
      </w:r>
      <w:r w:rsidR="00FB47BA">
        <w:rPr>
          <w:i/>
          <w:iCs/>
          <w:lang w:val="es-ES_tradnl"/>
        </w:rPr>
        <w:t xml:space="preserve"> </w:t>
      </w:r>
      <w:r w:rsidR="00FB47BA">
        <w:rPr>
          <w:lang w:val="es-ES_tradnl"/>
        </w:rPr>
        <w:t xml:space="preserve">del </w:t>
      </w:r>
      <w:r w:rsidRPr="008C1DDE">
        <w:rPr>
          <w:lang w:val="es-ES_tradnl"/>
        </w:rPr>
        <w:t>párrafo</w:t>
      </w:r>
      <w:r w:rsidR="006654F1">
        <w:rPr>
          <w:lang w:val="es-ES_tradnl"/>
        </w:rPr>
        <w:t> </w:t>
      </w:r>
      <w:r w:rsidRPr="008C1DDE">
        <w:rPr>
          <w:lang w:val="es-ES_tradnl"/>
        </w:rPr>
        <w:t>2 del Artículo</w:t>
      </w:r>
      <w:r w:rsidR="006654F1">
        <w:rPr>
          <w:lang w:val="es-ES_tradnl"/>
        </w:rPr>
        <w:t> </w:t>
      </w:r>
      <w:r w:rsidRPr="008C1DDE">
        <w:rPr>
          <w:lang w:val="es-ES_tradnl"/>
        </w:rPr>
        <w:t>8);</w:t>
      </w:r>
    </w:p>
    <w:p w14:paraId="018D26FF" w14:textId="1EBF9BAE" w:rsidR="00B42A6A" w:rsidRPr="008C1DDE" w:rsidRDefault="00B42A6A" w:rsidP="00E10B4C">
      <w:pPr>
        <w:pStyle w:val="enumlev1"/>
        <w:rPr>
          <w:lang w:val="es-ES_tradnl"/>
        </w:rPr>
      </w:pPr>
      <w:r w:rsidRPr="008C1DDE">
        <w:rPr>
          <w:lang w:val="es-ES_tradnl"/>
        </w:rPr>
        <w:t>3</w:t>
      </w:r>
      <w:r w:rsidR="00B14EF4">
        <w:rPr>
          <w:lang w:val="es-ES_tradnl"/>
        </w:rPr>
        <w:t>)</w:t>
      </w:r>
      <w:r w:rsidRPr="008C1DDE">
        <w:rPr>
          <w:lang w:val="es-ES_tradnl"/>
        </w:rPr>
        <w:tab/>
      </w:r>
      <w:r w:rsidR="00FB47BA">
        <w:rPr>
          <w:lang w:val="es-ES_tradnl"/>
        </w:rPr>
        <w:t>tener en cuenta</w:t>
      </w:r>
      <w:r w:rsidRPr="008C1DDE">
        <w:rPr>
          <w:lang w:val="es-ES_tradnl"/>
        </w:rPr>
        <w:t xml:space="preserve">, al examinar las propuestas para modificar el lugar de celebración, las fechas y la duración de la Conferencia de Plenipotenciarios, las repercusiones financieras, que inciden no </w:t>
      </w:r>
      <w:r w:rsidR="00FB47BA" w:rsidRPr="008C1DDE">
        <w:rPr>
          <w:lang w:val="es-ES_tradnl"/>
        </w:rPr>
        <w:t>s</w:t>
      </w:r>
      <w:r w:rsidR="00FB47BA">
        <w:rPr>
          <w:lang w:val="es-ES_tradnl"/>
        </w:rPr>
        <w:t>ó</w:t>
      </w:r>
      <w:r w:rsidR="00FB47BA" w:rsidRPr="008C1DDE">
        <w:rPr>
          <w:lang w:val="es-ES_tradnl"/>
        </w:rPr>
        <w:t xml:space="preserve">lo </w:t>
      </w:r>
      <w:r w:rsidRPr="008C1DDE">
        <w:rPr>
          <w:lang w:val="es-ES_tradnl"/>
        </w:rPr>
        <w:t xml:space="preserve">en los gastos de la Unión, del Estado invitante y del Estado anfitrión de la Unión, sino también en los gastos de todos los Estados Miembros y Miembros de Sector de la UIT derivados del envío de sus delegaciones a la Conferencia de Plenipotenciarios, tanto los ya incurridos (reservas de hoteles y salas, billetes de avión y de otros medios de transporte, etc.) como los </w:t>
      </w:r>
      <w:r w:rsidR="00FB47BA">
        <w:rPr>
          <w:lang w:val="es-ES_tradnl"/>
        </w:rPr>
        <w:t>previstos</w:t>
      </w:r>
      <w:r w:rsidRPr="008C1DDE">
        <w:rPr>
          <w:lang w:val="es-ES_tradnl"/>
        </w:rPr>
        <w:t xml:space="preserve">, incluidas las posibles multas y penalizaciones, así como las restricciones presupuestarias existentes relacionadas con la imposibilidad de </w:t>
      </w:r>
      <w:r w:rsidR="00FB47BA">
        <w:rPr>
          <w:lang w:val="es-ES_tradnl"/>
        </w:rPr>
        <w:t>arrastrar</w:t>
      </w:r>
      <w:r w:rsidRPr="008C1DDE">
        <w:rPr>
          <w:lang w:val="es-ES_tradnl"/>
        </w:rPr>
        <w:t xml:space="preserve"> </w:t>
      </w:r>
      <w:r w:rsidR="00FB47BA" w:rsidRPr="008C1DDE">
        <w:rPr>
          <w:lang w:val="es-ES_tradnl"/>
        </w:rPr>
        <w:t xml:space="preserve">los gastos financieros incurridos y/o previstos </w:t>
      </w:r>
      <w:r w:rsidR="00FB47BA">
        <w:rPr>
          <w:lang w:val="es-ES_tradnl"/>
        </w:rPr>
        <w:t xml:space="preserve">de </w:t>
      </w:r>
      <w:r w:rsidRPr="008C1DDE">
        <w:rPr>
          <w:lang w:val="es-ES_tradnl"/>
        </w:rPr>
        <w:t>los presupuestos de 2026 a los de 2027</w:t>
      </w:r>
      <w:r w:rsidR="00FB47BA">
        <w:rPr>
          <w:lang w:val="es-ES_tradnl"/>
        </w:rPr>
        <w:t>.</w:t>
      </w:r>
    </w:p>
    <w:p w14:paraId="1F1DB81D" w14:textId="77777777" w:rsidR="00B42A6A" w:rsidRPr="008C1DDE" w:rsidRDefault="00B42A6A">
      <w:pPr>
        <w:jc w:val="center"/>
        <w:rPr>
          <w:lang w:val="es-ES_tradnl"/>
        </w:rPr>
      </w:pPr>
      <w:r w:rsidRPr="008C1DDE">
        <w:rPr>
          <w:lang w:val="es-ES_tradnl"/>
        </w:rPr>
        <w:t>______________</w:t>
      </w:r>
    </w:p>
    <w:sectPr w:rsidR="00B42A6A" w:rsidRPr="008C1DDE" w:rsidSect="00C538FC">
      <w:footerReference w:type="default" r:id="rId9"/>
      <w:headerReference w:type="first" r:id="rId10"/>
      <w:footerReference w:type="first" r:id="rId11"/>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FA258" w14:textId="77777777" w:rsidR="00583DAD" w:rsidRDefault="00583DAD">
      <w:r>
        <w:separator/>
      </w:r>
    </w:p>
  </w:endnote>
  <w:endnote w:type="continuationSeparator" w:id="0">
    <w:p w14:paraId="3363D26A" w14:textId="77777777" w:rsidR="00583DAD" w:rsidRDefault="00583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3273A4" w:rsidRPr="00784011" w14:paraId="55C2849F" w14:textId="77777777" w:rsidTr="00E31DCE">
      <w:trPr>
        <w:jc w:val="center"/>
      </w:trPr>
      <w:tc>
        <w:tcPr>
          <w:tcW w:w="1803" w:type="dxa"/>
          <w:vAlign w:val="center"/>
        </w:tcPr>
        <w:p w14:paraId="5C7CCDEB" w14:textId="1AD72F05" w:rsidR="003273A4" w:rsidRDefault="002946E2" w:rsidP="003273A4">
          <w:pPr>
            <w:pStyle w:val="Header"/>
            <w:jc w:val="left"/>
            <w:rPr>
              <w:noProof/>
            </w:rPr>
          </w:pPr>
          <w:r>
            <w:rPr>
              <w:noProof/>
            </w:rPr>
            <w:t xml:space="preserve">gDoc </w:t>
          </w:r>
          <w:r w:rsidR="00B42A6A">
            <w:rPr>
              <w:noProof/>
            </w:rPr>
            <w:t>2602168</w:t>
          </w:r>
        </w:p>
      </w:tc>
      <w:tc>
        <w:tcPr>
          <w:tcW w:w="8261" w:type="dxa"/>
        </w:tcPr>
        <w:p w14:paraId="3AF4A09D" w14:textId="3592785F" w:rsidR="003273A4" w:rsidRPr="00E06FD5" w:rsidRDefault="003273A4" w:rsidP="00F679A7">
          <w:pPr>
            <w:pStyle w:val="Header"/>
            <w:tabs>
              <w:tab w:val="left" w:pos="6175"/>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00F679A7">
            <w:rPr>
              <w:bCs/>
            </w:rPr>
            <w:t>-EXT</w:t>
          </w:r>
          <w:r w:rsidRPr="00623AE3">
            <w:rPr>
              <w:bCs/>
            </w:rPr>
            <w:t>/</w:t>
          </w:r>
          <w:r w:rsidR="00B42A6A">
            <w:rPr>
              <w:bCs/>
            </w:rPr>
            <w:t>4</w:t>
          </w:r>
          <w:r w:rsidRPr="00623AE3">
            <w:rPr>
              <w:bCs/>
            </w:rPr>
            <w:t>-</w:t>
          </w:r>
          <w:r>
            <w:rPr>
              <w:bCs/>
            </w:rPr>
            <w:t>S</w:t>
          </w:r>
          <w:r>
            <w:rPr>
              <w:bCs/>
            </w:rPr>
            <w:tab/>
          </w:r>
          <w:r>
            <w:fldChar w:fldCharType="begin"/>
          </w:r>
          <w:r>
            <w:instrText>PAGE</w:instrText>
          </w:r>
          <w:r>
            <w:fldChar w:fldCharType="separate"/>
          </w:r>
          <w:r>
            <w:t>1</w:t>
          </w:r>
          <w:r>
            <w:rPr>
              <w:noProof/>
            </w:rPr>
            <w:fldChar w:fldCharType="end"/>
          </w:r>
        </w:p>
      </w:tc>
    </w:tr>
  </w:tbl>
  <w:p w14:paraId="22669C95" w14:textId="77777777" w:rsidR="00760F1C" w:rsidRPr="003273A4" w:rsidRDefault="00760F1C" w:rsidP="00B42A6A">
    <w:pPr>
      <w:pStyle w:val="Footer"/>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F24B71" w:rsidRPr="00784011" w14:paraId="61B9A5EF" w14:textId="77777777" w:rsidTr="00E31DCE">
      <w:trPr>
        <w:jc w:val="center"/>
      </w:trPr>
      <w:tc>
        <w:tcPr>
          <w:tcW w:w="1803" w:type="dxa"/>
          <w:vAlign w:val="center"/>
        </w:tcPr>
        <w:p w14:paraId="354AD5B4" w14:textId="77777777" w:rsidR="00F24B71" w:rsidRPr="002946E2" w:rsidRDefault="00F85E5C" w:rsidP="00F24B71">
          <w:pPr>
            <w:pStyle w:val="Header"/>
            <w:jc w:val="left"/>
            <w:rPr>
              <w:noProof/>
            </w:rPr>
          </w:pPr>
          <w:hyperlink r:id="rId1" w:anchor="/es" w:history="1">
            <w:r>
              <w:rPr>
                <w:rStyle w:val="Hyperlink"/>
                <w:noProof/>
              </w:rPr>
              <w:t>council.itu.int/2026</w:t>
            </w:r>
          </w:hyperlink>
          <w:r w:rsidR="002946E2" w:rsidRPr="002946E2">
            <w:rPr>
              <w:noProof/>
            </w:rPr>
            <w:t xml:space="preserve"> </w:t>
          </w:r>
        </w:p>
      </w:tc>
      <w:tc>
        <w:tcPr>
          <w:tcW w:w="8261" w:type="dxa"/>
        </w:tcPr>
        <w:p w14:paraId="12F525D9" w14:textId="619EDBE0" w:rsidR="00F24B71" w:rsidRPr="00E06FD5" w:rsidRDefault="00F24B71" w:rsidP="00F679A7">
          <w:pPr>
            <w:pStyle w:val="Header"/>
            <w:tabs>
              <w:tab w:val="left" w:pos="6175"/>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00F679A7">
            <w:rPr>
              <w:bCs/>
            </w:rPr>
            <w:t>-EXT</w:t>
          </w:r>
          <w:r w:rsidRPr="00623AE3">
            <w:rPr>
              <w:bCs/>
            </w:rPr>
            <w:t>/</w:t>
          </w:r>
          <w:r w:rsidR="00B42A6A">
            <w:rPr>
              <w:bCs/>
            </w:rPr>
            <w:t>4</w:t>
          </w:r>
          <w:r w:rsidRPr="00623AE3">
            <w:rPr>
              <w:bCs/>
            </w:rPr>
            <w:t>-</w:t>
          </w:r>
          <w:r w:rsidR="003273A4">
            <w:rPr>
              <w:bCs/>
            </w:rPr>
            <w:t>S</w:t>
          </w:r>
          <w:r>
            <w:rPr>
              <w:bCs/>
            </w:rPr>
            <w:tab/>
          </w:r>
          <w:r>
            <w:fldChar w:fldCharType="begin"/>
          </w:r>
          <w:r>
            <w:instrText>PAGE</w:instrText>
          </w:r>
          <w:r>
            <w:fldChar w:fldCharType="separate"/>
          </w:r>
          <w:r>
            <w:t>1</w:t>
          </w:r>
          <w:r>
            <w:rPr>
              <w:noProof/>
            </w:rPr>
            <w:fldChar w:fldCharType="end"/>
          </w:r>
        </w:p>
      </w:tc>
    </w:tr>
  </w:tbl>
  <w:p w14:paraId="2A1FB331" w14:textId="77777777" w:rsidR="00760F1C" w:rsidRPr="00F24B71" w:rsidRDefault="00760F1C" w:rsidP="00F24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3FA4B" w14:textId="77777777" w:rsidR="00583DAD" w:rsidRDefault="00583DAD">
      <w:r>
        <w:t>____________________</w:t>
      </w:r>
    </w:p>
  </w:footnote>
  <w:footnote w:type="continuationSeparator" w:id="0">
    <w:p w14:paraId="014CE6F0" w14:textId="77777777" w:rsidR="00583DAD" w:rsidRDefault="00583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6A1D" w14:textId="77777777" w:rsidR="001559F5" w:rsidRPr="00F679A7" w:rsidRDefault="00F679A7" w:rsidP="00F679A7">
    <w:pPr>
      <w:pStyle w:val="Header"/>
      <w:jc w:val="left"/>
    </w:pPr>
    <w:r>
      <w:rPr>
        <w:noProof/>
      </w:rPr>
      <w:drawing>
        <wp:inline distT="0" distB="0" distL="0" distR="0" wp14:anchorId="2B207597" wp14:editId="174BF481">
          <wp:extent cx="3105505" cy="936000"/>
          <wp:effectExtent l="0" t="0" r="0" b="0"/>
          <wp:docPr id="1827020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20446" name="Picture 1827020446"/>
                  <pic:cNvPicPr/>
                </pic:nvPicPr>
                <pic:blipFill>
                  <a:blip r:embed="rId1">
                    <a:extLst>
                      <a:ext uri="{28A0092B-C50C-407E-A947-70E740481C1C}">
                        <a14:useLocalDpi xmlns:a14="http://schemas.microsoft.com/office/drawing/2010/main" val="0"/>
                      </a:ext>
                    </a:extLst>
                  </a:blip>
                  <a:stretch>
                    <a:fillRect/>
                  </a:stretch>
                </pic:blipFill>
                <pic:spPr>
                  <a:xfrm>
                    <a:off x="0" y="0"/>
                    <a:ext cx="3105505" cy="936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52A0F"/>
    <w:multiLevelType w:val="hybridMultilevel"/>
    <w:tmpl w:val="0822442C"/>
    <w:lvl w:ilvl="0" w:tplc="C472EAB2">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895C5E"/>
    <w:multiLevelType w:val="hybridMultilevel"/>
    <w:tmpl w:val="EC0C0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51154F"/>
    <w:multiLevelType w:val="hybridMultilevel"/>
    <w:tmpl w:val="9B28D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D44CDE"/>
    <w:multiLevelType w:val="hybridMultilevel"/>
    <w:tmpl w:val="CB3C656E"/>
    <w:lvl w:ilvl="0" w:tplc="1C6E31FA">
      <w:start w:val="1"/>
      <w:numFmt w:val="decimal"/>
      <w:lvlText w:val="%1."/>
      <w:lvlJc w:val="left"/>
      <w:pPr>
        <w:ind w:left="730" w:hanging="3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9838656">
    <w:abstractNumId w:val="3"/>
  </w:num>
  <w:num w:numId="2" w16cid:durableId="837231125">
    <w:abstractNumId w:val="1"/>
  </w:num>
  <w:num w:numId="3" w16cid:durableId="823275766">
    <w:abstractNumId w:val="2"/>
  </w:num>
  <w:num w:numId="4" w16cid:durableId="70545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6F0"/>
    <w:rsid w:val="000007D1"/>
    <w:rsid w:val="0001696F"/>
    <w:rsid w:val="0006007D"/>
    <w:rsid w:val="00093EEB"/>
    <w:rsid w:val="000B0D00"/>
    <w:rsid w:val="000B7C15"/>
    <w:rsid w:val="000D1D0F"/>
    <w:rsid w:val="000E3F07"/>
    <w:rsid w:val="000F5290"/>
    <w:rsid w:val="000F5A95"/>
    <w:rsid w:val="0010165C"/>
    <w:rsid w:val="00146BFB"/>
    <w:rsid w:val="001559F5"/>
    <w:rsid w:val="00157AC4"/>
    <w:rsid w:val="0016169C"/>
    <w:rsid w:val="001958F5"/>
    <w:rsid w:val="001B6E2B"/>
    <w:rsid w:val="001F14A2"/>
    <w:rsid w:val="00277DEA"/>
    <w:rsid w:val="002801AA"/>
    <w:rsid w:val="002946E2"/>
    <w:rsid w:val="002C3F32"/>
    <w:rsid w:val="002C4676"/>
    <w:rsid w:val="002C70B0"/>
    <w:rsid w:val="002F3CC4"/>
    <w:rsid w:val="003032E2"/>
    <w:rsid w:val="0031300A"/>
    <w:rsid w:val="003273A4"/>
    <w:rsid w:val="0034796E"/>
    <w:rsid w:val="00386259"/>
    <w:rsid w:val="003E0CFE"/>
    <w:rsid w:val="003E70DB"/>
    <w:rsid w:val="004571B0"/>
    <w:rsid w:val="00465C35"/>
    <w:rsid w:val="00473962"/>
    <w:rsid w:val="004B5D49"/>
    <w:rsid w:val="004D3A3C"/>
    <w:rsid w:val="00513630"/>
    <w:rsid w:val="00560125"/>
    <w:rsid w:val="00583DAD"/>
    <w:rsid w:val="00585553"/>
    <w:rsid w:val="005975A9"/>
    <w:rsid w:val="005B34D9"/>
    <w:rsid w:val="005D0CCF"/>
    <w:rsid w:val="005E507D"/>
    <w:rsid w:val="005F0915"/>
    <w:rsid w:val="005F3BCB"/>
    <w:rsid w:val="005F410F"/>
    <w:rsid w:val="0060149A"/>
    <w:rsid w:val="00601924"/>
    <w:rsid w:val="006447EA"/>
    <w:rsid w:val="0064481D"/>
    <w:rsid w:val="0064731F"/>
    <w:rsid w:val="00664572"/>
    <w:rsid w:val="006654F1"/>
    <w:rsid w:val="00666D09"/>
    <w:rsid w:val="00670579"/>
    <w:rsid w:val="006710F6"/>
    <w:rsid w:val="00677A97"/>
    <w:rsid w:val="006C1B56"/>
    <w:rsid w:val="006D4761"/>
    <w:rsid w:val="00710460"/>
    <w:rsid w:val="00726872"/>
    <w:rsid w:val="00744DEE"/>
    <w:rsid w:val="00760F1C"/>
    <w:rsid w:val="007657F0"/>
    <w:rsid w:val="0077110E"/>
    <w:rsid w:val="0077252D"/>
    <w:rsid w:val="007955DA"/>
    <w:rsid w:val="007974B0"/>
    <w:rsid w:val="007E5DD3"/>
    <w:rsid w:val="007F350B"/>
    <w:rsid w:val="00820BE4"/>
    <w:rsid w:val="008451E8"/>
    <w:rsid w:val="0084546D"/>
    <w:rsid w:val="00861C23"/>
    <w:rsid w:val="008C1DDE"/>
    <w:rsid w:val="008F6ABC"/>
    <w:rsid w:val="00913B9C"/>
    <w:rsid w:val="00927F93"/>
    <w:rsid w:val="00956E77"/>
    <w:rsid w:val="009A338E"/>
    <w:rsid w:val="009A76A8"/>
    <w:rsid w:val="009F4811"/>
    <w:rsid w:val="00A01F4F"/>
    <w:rsid w:val="00A109AF"/>
    <w:rsid w:val="00A94438"/>
    <w:rsid w:val="00AA390C"/>
    <w:rsid w:val="00AD5A4D"/>
    <w:rsid w:val="00AF0EAC"/>
    <w:rsid w:val="00B0200A"/>
    <w:rsid w:val="00B060DF"/>
    <w:rsid w:val="00B14EF4"/>
    <w:rsid w:val="00B1560D"/>
    <w:rsid w:val="00B40419"/>
    <w:rsid w:val="00B42A6A"/>
    <w:rsid w:val="00B574DB"/>
    <w:rsid w:val="00B826C2"/>
    <w:rsid w:val="00B8298E"/>
    <w:rsid w:val="00BB6FD8"/>
    <w:rsid w:val="00BD0723"/>
    <w:rsid w:val="00BD2518"/>
    <w:rsid w:val="00BF1D1C"/>
    <w:rsid w:val="00C20C59"/>
    <w:rsid w:val="00C2727F"/>
    <w:rsid w:val="00C4421B"/>
    <w:rsid w:val="00C538FC"/>
    <w:rsid w:val="00C55B1F"/>
    <w:rsid w:val="00C67ECD"/>
    <w:rsid w:val="00CF1A67"/>
    <w:rsid w:val="00CF1E38"/>
    <w:rsid w:val="00D2750E"/>
    <w:rsid w:val="00D375E0"/>
    <w:rsid w:val="00D50A36"/>
    <w:rsid w:val="00D62446"/>
    <w:rsid w:val="00DA4EA2"/>
    <w:rsid w:val="00DC3D3E"/>
    <w:rsid w:val="00DE2C90"/>
    <w:rsid w:val="00DE3B24"/>
    <w:rsid w:val="00DE7376"/>
    <w:rsid w:val="00E06947"/>
    <w:rsid w:val="00E10B4C"/>
    <w:rsid w:val="00E11319"/>
    <w:rsid w:val="00E21444"/>
    <w:rsid w:val="00E34072"/>
    <w:rsid w:val="00E3592D"/>
    <w:rsid w:val="00E50D76"/>
    <w:rsid w:val="00E519CF"/>
    <w:rsid w:val="00E8018B"/>
    <w:rsid w:val="00E92DE8"/>
    <w:rsid w:val="00EB1212"/>
    <w:rsid w:val="00ED65AB"/>
    <w:rsid w:val="00F12850"/>
    <w:rsid w:val="00F24B71"/>
    <w:rsid w:val="00F33BF4"/>
    <w:rsid w:val="00F679A7"/>
    <w:rsid w:val="00F7105E"/>
    <w:rsid w:val="00F75F57"/>
    <w:rsid w:val="00F82FEE"/>
    <w:rsid w:val="00F85E5C"/>
    <w:rsid w:val="00F92BED"/>
    <w:rsid w:val="00FB47BA"/>
    <w:rsid w:val="00FD57D3"/>
    <w:rsid w:val="00FE36F0"/>
    <w:rsid w:val="00FE57F6"/>
    <w:rsid w:val="00FF11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5E021"/>
  <w15:docId w15:val="{407C32D6-3E0C-4833-A014-12A713E9D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5A95"/>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0F5A95"/>
    <w:pPr>
      <w:keepNext/>
      <w:keepLines/>
      <w:spacing w:before="360"/>
      <w:ind w:left="567" w:hanging="567"/>
      <w:outlineLvl w:val="0"/>
    </w:pPr>
    <w:rPr>
      <w:b/>
      <w:sz w:val="28"/>
    </w:rPr>
  </w:style>
  <w:style w:type="paragraph" w:styleId="Heading2">
    <w:name w:val="heading 2"/>
    <w:basedOn w:val="Heading1"/>
    <w:next w:val="Normal"/>
    <w:qFormat/>
    <w:rsid w:val="000F5A95"/>
    <w:pPr>
      <w:spacing w:before="200"/>
      <w:outlineLvl w:val="1"/>
    </w:pPr>
    <w:rPr>
      <w:sz w:val="24"/>
    </w:rPr>
  </w:style>
  <w:style w:type="paragraph" w:styleId="Heading3">
    <w:name w:val="heading 3"/>
    <w:basedOn w:val="Heading1"/>
    <w:next w:val="Normal"/>
    <w:qFormat/>
    <w:rsid w:val="000F5A95"/>
    <w:pPr>
      <w:spacing w:before="200"/>
      <w:outlineLvl w:val="2"/>
    </w:pPr>
    <w:rPr>
      <w:sz w:val="24"/>
    </w:rPr>
  </w:style>
  <w:style w:type="paragraph" w:styleId="Heading4">
    <w:name w:val="heading 4"/>
    <w:basedOn w:val="Heading3"/>
    <w:next w:val="Normal"/>
    <w:qFormat/>
    <w:rsid w:val="000F5A95"/>
    <w:pPr>
      <w:ind w:left="1134" w:hanging="1134"/>
      <w:outlineLvl w:val="3"/>
    </w:pPr>
  </w:style>
  <w:style w:type="paragraph" w:styleId="Heading5">
    <w:name w:val="heading 5"/>
    <w:basedOn w:val="Heading4"/>
    <w:next w:val="Normal"/>
    <w:qFormat/>
    <w:rsid w:val="000F5A95"/>
    <w:pPr>
      <w:outlineLvl w:val="4"/>
    </w:pPr>
  </w:style>
  <w:style w:type="paragraph" w:styleId="Heading6">
    <w:name w:val="heading 6"/>
    <w:basedOn w:val="Heading4"/>
    <w:next w:val="Normal"/>
    <w:qFormat/>
    <w:rsid w:val="000F5A95"/>
    <w:pPr>
      <w:outlineLvl w:val="5"/>
    </w:pPr>
  </w:style>
  <w:style w:type="paragraph" w:styleId="Heading7">
    <w:name w:val="heading 7"/>
    <w:basedOn w:val="Heading4"/>
    <w:next w:val="Normal"/>
    <w:qFormat/>
    <w:rsid w:val="000F5A95"/>
    <w:pPr>
      <w:ind w:left="1701" w:hanging="1701"/>
      <w:outlineLvl w:val="6"/>
    </w:pPr>
  </w:style>
  <w:style w:type="paragraph" w:styleId="Heading8">
    <w:name w:val="heading 8"/>
    <w:basedOn w:val="Heading4"/>
    <w:next w:val="Normal"/>
    <w:qFormat/>
    <w:rsid w:val="000F5A95"/>
    <w:pPr>
      <w:ind w:left="1701" w:hanging="1701"/>
      <w:outlineLvl w:val="7"/>
    </w:pPr>
  </w:style>
  <w:style w:type="paragraph" w:styleId="Heading9">
    <w:name w:val="heading 9"/>
    <w:basedOn w:val="Heading4"/>
    <w:next w:val="Normal"/>
    <w:qFormat/>
    <w:rsid w:val="000F5A9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0F5A95"/>
  </w:style>
  <w:style w:type="paragraph" w:styleId="TOC4">
    <w:name w:val="toc 4"/>
    <w:basedOn w:val="TOC1"/>
    <w:next w:val="Normal"/>
    <w:rsid w:val="000F5A95"/>
  </w:style>
  <w:style w:type="paragraph" w:styleId="TOC3">
    <w:name w:val="toc 3"/>
    <w:basedOn w:val="TOC1"/>
    <w:next w:val="Normal"/>
    <w:rsid w:val="000F5A95"/>
  </w:style>
  <w:style w:type="paragraph" w:styleId="TOC2">
    <w:name w:val="toc 2"/>
    <w:basedOn w:val="TOC1"/>
    <w:next w:val="Normal"/>
    <w:rsid w:val="000F5A95"/>
    <w:pPr>
      <w:spacing w:before="160"/>
    </w:pPr>
  </w:style>
  <w:style w:type="paragraph" w:styleId="TOC1">
    <w:name w:val="toc 1"/>
    <w:basedOn w:val="Normal"/>
    <w:rsid w:val="000F5A95"/>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0F5A95"/>
  </w:style>
  <w:style w:type="paragraph" w:styleId="TOC6">
    <w:name w:val="toc 6"/>
    <w:basedOn w:val="TOC5"/>
    <w:next w:val="Normal"/>
    <w:rsid w:val="000F5A95"/>
  </w:style>
  <w:style w:type="paragraph" w:styleId="TOC5">
    <w:name w:val="toc 5"/>
    <w:basedOn w:val="TOC4"/>
    <w:next w:val="Normal"/>
    <w:rsid w:val="000F5A95"/>
    <w:rPr>
      <w:lang w:val="fr-CH"/>
    </w:rPr>
  </w:style>
  <w:style w:type="paragraph" w:styleId="Index7">
    <w:name w:val="index 7"/>
    <w:basedOn w:val="Normal"/>
    <w:next w:val="Normal"/>
    <w:rsid w:val="000F5A95"/>
    <w:pPr>
      <w:ind w:left="1698"/>
    </w:pPr>
  </w:style>
  <w:style w:type="paragraph" w:styleId="Index6">
    <w:name w:val="index 6"/>
    <w:basedOn w:val="Normal"/>
    <w:next w:val="Normal"/>
    <w:rsid w:val="000F5A95"/>
    <w:pPr>
      <w:ind w:left="1415"/>
    </w:pPr>
  </w:style>
  <w:style w:type="paragraph" w:styleId="Index5">
    <w:name w:val="index 5"/>
    <w:basedOn w:val="Normal"/>
    <w:next w:val="Normal"/>
    <w:rsid w:val="000F5A95"/>
    <w:pPr>
      <w:ind w:left="1132"/>
    </w:pPr>
  </w:style>
  <w:style w:type="paragraph" w:styleId="Index4">
    <w:name w:val="index 4"/>
    <w:basedOn w:val="Normal"/>
    <w:next w:val="Normal"/>
    <w:rsid w:val="000F5A95"/>
    <w:pPr>
      <w:ind w:left="849"/>
    </w:pPr>
  </w:style>
  <w:style w:type="paragraph" w:styleId="Index3">
    <w:name w:val="index 3"/>
    <w:basedOn w:val="Normal"/>
    <w:next w:val="Normal"/>
    <w:rsid w:val="000F5A95"/>
    <w:pPr>
      <w:ind w:left="566"/>
    </w:pPr>
  </w:style>
  <w:style w:type="paragraph" w:styleId="Index2">
    <w:name w:val="index 2"/>
    <w:basedOn w:val="Normal"/>
    <w:next w:val="Normal"/>
    <w:rsid w:val="000F5A95"/>
    <w:pPr>
      <w:ind w:left="283"/>
    </w:pPr>
  </w:style>
  <w:style w:type="paragraph" w:styleId="Index1">
    <w:name w:val="index 1"/>
    <w:basedOn w:val="Normal"/>
    <w:next w:val="Normal"/>
    <w:rsid w:val="000F5A95"/>
  </w:style>
  <w:style w:type="character" w:styleId="LineNumber">
    <w:name w:val="line number"/>
    <w:basedOn w:val="DefaultParagraphFont"/>
    <w:rsid w:val="000F5A95"/>
  </w:style>
  <w:style w:type="paragraph" w:styleId="IndexHeading">
    <w:name w:val="index heading"/>
    <w:basedOn w:val="Normal"/>
    <w:next w:val="Index1"/>
    <w:rsid w:val="000F5A95"/>
  </w:style>
  <w:style w:type="paragraph" w:styleId="Footer">
    <w:name w:val="footer"/>
    <w:basedOn w:val="Normal"/>
    <w:rsid w:val="000F5A9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0F5A9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0F5A95"/>
    <w:rPr>
      <w:rFonts w:ascii="Calibri" w:hAnsi="Calibri"/>
      <w:position w:val="6"/>
      <w:sz w:val="16"/>
    </w:rPr>
  </w:style>
  <w:style w:type="paragraph" w:styleId="FootnoteText">
    <w:name w:val="footnote text"/>
    <w:basedOn w:val="Normal"/>
    <w:rsid w:val="000F5A95"/>
    <w:pPr>
      <w:keepLines/>
      <w:tabs>
        <w:tab w:val="left" w:pos="256"/>
      </w:tabs>
      <w:ind w:left="256" w:hanging="256"/>
    </w:pPr>
    <w:rPr>
      <w:sz w:val="22"/>
    </w:rPr>
  </w:style>
  <w:style w:type="paragraph" w:styleId="NormalIndent">
    <w:name w:val="Normal Indent"/>
    <w:basedOn w:val="Normal"/>
    <w:rsid w:val="000F5A95"/>
    <w:pPr>
      <w:ind w:left="567"/>
    </w:pPr>
  </w:style>
  <w:style w:type="paragraph" w:customStyle="1" w:styleId="AnnexNo">
    <w:name w:val="Annex_No"/>
    <w:basedOn w:val="Normal"/>
    <w:next w:val="Annexref"/>
    <w:rsid w:val="000F5A95"/>
    <w:pPr>
      <w:keepNext/>
      <w:keepLines/>
      <w:spacing w:before="720"/>
      <w:jc w:val="center"/>
    </w:pPr>
    <w:rPr>
      <w:caps/>
      <w:sz w:val="28"/>
    </w:rPr>
  </w:style>
  <w:style w:type="paragraph" w:customStyle="1" w:styleId="Annextitle">
    <w:name w:val="Annex_title"/>
    <w:basedOn w:val="Normal"/>
    <w:next w:val="Normalaftertitle"/>
    <w:rsid w:val="000F5A95"/>
    <w:pPr>
      <w:keepNext/>
      <w:keepLines/>
      <w:spacing w:before="240" w:after="240"/>
      <w:jc w:val="center"/>
    </w:pPr>
    <w:rPr>
      <w:b/>
      <w:sz w:val="28"/>
    </w:rPr>
  </w:style>
  <w:style w:type="paragraph" w:customStyle="1" w:styleId="Annexref">
    <w:name w:val="Annex_ref"/>
    <w:basedOn w:val="Normal"/>
    <w:next w:val="Annextitle"/>
    <w:rsid w:val="000F5A95"/>
    <w:pPr>
      <w:keepNext/>
      <w:keepLines/>
      <w:jc w:val="center"/>
    </w:pPr>
    <w:rPr>
      <w:sz w:val="28"/>
    </w:rPr>
  </w:style>
  <w:style w:type="paragraph" w:customStyle="1" w:styleId="Normalaftertitle">
    <w:name w:val="Normal after title"/>
    <w:basedOn w:val="Normal"/>
    <w:next w:val="Normal"/>
    <w:rsid w:val="000F5A95"/>
    <w:pPr>
      <w:spacing w:before="240"/>
    </w:pPr>
  </w:style>
  <w:style w:type="paragraph" w:customStyle="1" w:styleId="AppendixNo">
    <w:name w:val="Appendix_No"/>
    <w:basedOn w:val="AnnexNo"/>
    <w:next w:val="Appendixref"/>
    <w:rsid w:val="000F5A95"/>
  </w:style>
  <w:style w:type="paragraph" w:customStyle="1" w:styleId="Appendixtitle">
    <w:name w:val="Appendix_title"/>
    <w:basedOn w:val="Annextitle"/>
    <w:next w:val="Normalaftertitle"/>
    <w:rsid w:val="000F5A95"/>
  </w:style>
  <w:style w:type="paragraph" w:customStyle="1" w:styleId="Appendixref">
    <w:name w:val="Appendix_ref"/>
    <w:basedOn w:val="Annexref"/>
    <w:next w:val="Appendixtitle"/>
    <w:rsid w:val="000F5A95"/>
  </w:style>
  <w:style w:type="paragraph" w:customStyle="1" w:styleId="enumlev1">
    <w:name w:val="enumlev1"/>
    <w:basedOn w:val="Normal"/>
    <w:rsid w:val="000F5A95"/>
    <w:pPr>
      <w:spacing w:before="80"/>
      <w:ind w:left="567" w:hanging="567"/>
    </w:pPr>
  </w:style>
  <w:style w:type="paragraph" w:customStyle="1" w:styleId="enumlev2">
    <w:name w:val="enumlev2"/>
    <w:basedOn w:val="enumlev1"/>
    <w:rsid w:val="000F5A95"/>
    <w:pPr>
      <w:ind w:left="1134"/>
    </w:pPr>
  </w:style>
  <w:style w:type="paragraph" w:customStyle="1" w:styleId="enumlev3">
    <w:name w:val="enumlev3"/>
    <w:basedOn w:val="enumlev2"/>
    <w:rsid w:val="000F5A95"/>
    <w:pPr>
      <w:ind w:left="1701"/>
    </w:pPr>
  </w:style>
  <w:style w:type="paragraph" w:customStyle="1" w:styleId="Artheading">
    <w:name w:val="Art_heading"/>
    <w:basedOn w:val="Normal"/>
    <w:next w:val="Normalaftertitle"/>
    <w:rsid w:val="000F5A9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0F5A95"/>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0F5A95"/>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all">
    <w:name w:val="Call"/>
    <w:basedOn w:val="Normal"/>
    <w:next w:val="Normal"/>
    <w:rsid w:val="000F5A95"/>
    <w:pPr>
      <w:keepNext/>
      <w:keepLines/>
      <w:tabs>
        <w:tab w:val="clear" w:pos="1134"/>
        <w:tab w:val="clear" w:pos="1701"/>
        <w:tab w:val="clear" w:pos="2268"/>
        <w:tab w:val="clear" w:pos="2835"/>
      </w:tabs>
      <w:spacing w:before="160"/>
      <w:ind w:left="567"/>
    </w:pPr>
    <w:rPr>
      <w:i/>
    </w:rPr>
  </w:style>
  <w:style w:type="paragraph" w:customStyle="1" w:styleId="ChapNo">
    <w:name w:val="Chap_No"/>
    <w:basedOn w:val="ArtNo"/>
    <w:next w:val="Chaptitle"/>
    <w:rsid w:val="000F5A95"/>
  </w:style>
  <w:style w:type="paragraph" w:customStyle="1" w:styleId="Chaptitle">
    <w:name w:val="Chap_title"/>
    <w:basedOn w:val="Arttitle"/>
    <w:next w:val="Normalaftertitle"/>
    <w:rsid w:val="000F5A95"/>
  </w:style>
  <w:style w:type="paragraph" w:customStyle="1" w:styleId="Equationlegend">
    <w:name w:val="Equation_legend"/>
    <w:basedOn w:val="NormalIndent"/>
    <w:rsid w:val="000F5A95"/>
    <w:pPr>
      <w:tabs>
        <w:tab w:val="right" w:pos="1531"/>
      </w:tabs>
      <w:spacing w:before="80"/>
      <w:ind w:left="1701" w:hanging="1701"/>
    </w:pPr>
  </w:style>
  <w:style w:type="paragraph" w:customStyle="1" w:styleId="Figure">
    <w:name w:val="Figure"/>
    <w:basedOn w:val="Normal"/>
    <w:next w:val="Normal"/>
    <w:rsid w:val="000F5A95"/>
    <w:pPr>
      <w:spacing w:after="240"/>
      <w:jc w:val="center"/>
    </w:pPr>
  </w:style>
  <w:style w:type="paragraph" w:customStyle="1" w:styleId="Figuretitle">
    <w:name w:val="Figure_title"/>
    <w:basedOn w:val="Tabletitle"/>
    <w:next w:val="Normalaftertitle"/>
    <w:rsid w:val="000F5A95"/>
    <w:pPr>
      <w:spacing w:before="120" w:after="0"/>
    </w:pPr>
  </w:style>
  <w:style w:type="paragraph" w:customStyle="1" w:styleId="Tabletitle">
    <w:name w:val="Table_title"/>
    <w:basedOn w:val="TableNo"/>
    <w:next w:val="Tabletext"/>
    <w:rsid w:val="000F5A95"/>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0F5A95"/>
    <w:pPr>
      <w:keepNext/>
      <w:keepLines/>
      <w:spacing w:before="480" w:after="120"/>
      <w:jc w:val="center"/>
    </w:pPr>
    <w:rPr>
      <w:caps/>
    </w:rPr>
  </w:style>
  <w:style w:type="paragraph" w:customStyle="1" w:styleId="Tabletext">
    <w:name w:val="Table_text"/>
    <w:basedOn w:val="Normal"/>
    <w:rsid w:val="000F5A95"/>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rsid w:val="000F5A95"/>
    <w:pPr>
      <w:spacing w:before="20" w:after="240"/>
    </w:pPr>
    <w:rPr>
      <w:sz w:val="18"/>
    </w:rPr>
  </w:style>
  <w:style w:type="paragraph" w:customStyle="1" w:styleId="Equation">
    <w:name w:val="Equation"/>
    <w:basedOn w:val="Normal"/>
    <w:rsid w:val="000F5A95"/>
    <w:pPr>
      <w:tabs>
        <w:tab w:val="center" w:pos="4820"/>
        <w:tab w:val="right" w:pos="9639"/>
      </w:tabs>
    </w:pPr>
  </w:style>
  <w:style w:type="paragraph" w:customStyle="1" w:styleId="Head">
    <w:name w:val="Head"/>
    <w:basedOn w:val="Normal"/>
    <w:rsid w:val="000F5A95"/>
    <w:pPr>
      <w:tabs>
        <w:tab w:val="left" w:pos="6663"/>
      </w:tabs>
      <w:overflowPunct/>
      <w:autoSpaceDE/>
      <w:autoSpaceDN/>
      <w:adjustRightInd/>
      <w:spacing w:before="0"/>
      <w:textAlignment w:val="auto"/>
    </w:pPr>
  </w:style>
  <w:style w:type="paragraph" w:customStyle="1" w:styleId="toc0">
    <w:name w:val="toc 0"/>
    <w:basedOn w:val="Normal"/>
    <w:next w:val="TOC1"/>
    <w:rsid w:val="000F5A95"/>
    <w:pPr>
      <w:tabs>
        <w:tab w:val="clear" w:pos="567"/>
        <w:tab w:val="clear" w:pos="1134"/>
        <w:tab w:val="clear" w:pos="1701"/>
        <w:tab w:val="clear" w:pos="2268"/>
        <w:tab w:val="clear" w:pos="2835"/>
        <w:tab w:val="right" w:pos="9781"/>
      </w:tabs>
    </w:pPr>
    <w:rPr>
      <w:b/>
    </w:rPr>
  </w:style>
  <w:style w:type="paragraph" w:styleId="List">
    <w:name w:val="List"/>
    <w:basedOn w:val="Normal"/>
    <w:rsid w:val="000F5A95"/>
    <w:pPr>
      <w:tabs>
        <w:tab w:val="left" w:pos="2127"/>
      </w:tabs>
      <w:ind w:left="2127" w:hanging="2127"/>
    </w:pPr>
  </w:style>
  <w:style w:type="paragraph" w:customStyle="1" w:styleId="Part">
    <w:name w:val="Part"/>
    <w:basedOn w:val="Normal"/>
    <w:rsid w:val="000F5A95"/>
    <w:pPr>
      <w:tabs>
        <w:tab w:val="left" w:pos="1276"/>
      </w:tabs>
      <w:spacing w:before="199"/>
      <w:ind w:left="1701" w:hanging="1701"/>
    </w:pPr>
    <w:rPr>
      <w:caps/>
    </w:rPr>
  </w:style>
  <w:style w:type="paragraph" w:customStyle="1" w:styleId="Figurewithouttitle">
    <w:name w:val="Figure_without_title"/>
    <w:basedOn w:val="Figure"/>
    <w:next w:val="Normal"/>
    <w:rsid w:val="000F5A95"/>
  </w:style>
  <w:style w:type="character" w:styleId="PageNumber">
    <w:name w:val="page number"/>
    <w:basedOn w:val="DefaultParagraphFont"/>
    <w:rsid w:val="000F5A95"/>
    <w:rPr>
      <w:rFonts w:ascii="Calibri" w:hAnsi="Calibri"/>
    </w:rPr>
  </w:style>
  <w:style w:type="paragraph" w:customStyle="1" w:styleId="meeting">
    <w:name w:val="meeting"/>
    <w:basedOn w:val="Head"/>
    <w:next w:val="Head"/>
    <w:rsid w:val="000F5A95"/>
    <w:pPr>
      <w:tabs>
        <w:tab w:val="left" w:pos="7371"/>
      </w:tabs>
      <w:spacing w:after="567"/>
    </w:pPr>
  </w:style>
  <w:style w:type="paragraph" w:customStyle="1" w:styleId="PartNo">
    <w:name w:val="Part_No"/>
    <w:basedOn w:val="AnnexNo"/>
    <w:next w:val="Parttitle"/>
    <w:rsid w:val="000F5A95"/>
  </w:style>
  <w:style w:type="paragraph" w:customStyle="1" w:styleId="Parttitle">
    <w:name w:val="Part_title"/>
    <w:basedOn w:val="Annextitle"/>
    <w:next w:val="Partref"/>
    <w:rsid w:val="000F5A95"/>
  </w:style>
  <w:style w:type="paragraph" w:customStyle="1" w:styleId="Partref">
    <w:name w:val="Part_ref"/>
    <w:basedOn w:val="Annexref"/>
    <w:next w:val="Normalaftertitle"/>
    <w:rsid w:val="000F5A95"/>
  </w:style>
  <w:style w:type="paragraph" w:customStyle="1" w:styleId="Headingb">
    <w:name w:val="Heading_b"/>
    <w:basedOn w:val="Heading3"/>
    <w:next w:val="Normal"/>
    <w:rsid w:val="000F5A95"/>
    <w:pPr>
      <w:spacing w:before="160"/>
      <w:ind w:left="0" w:firstLine="0"/>
      <w:outlineLvl w:val="0"/>
    </w:pPr>
  </w:style>
  <w:style w:type="paragraph" w:customStyle="1" w:styleId="Subject">
    <w:name w:val="Subject"/>
    <w:basedOn w:val="Normal"/>
    <w:next w:val="Source"/>
    <w:rsid w:val="000F5A95"/>
    <w:pPr>
      <w:tabs>
        <w:tab w:val="left" w:pos="709"/>
      </w:tabs>
      <w:spacing w:before="0"/>
      <w:ind w:left="709" w:hanging="709"/>
    </w:pPr>
  </w:style>
  <w:style w:type="paragraph" w:customStyle="1" w:styleId="Source">
    <w:name w:val="Source"/>
    <w:basedOn w:val="Normal"/>
    <w:next w:val="Title1"/>
    <w:rsid w:val="000F5A95"/>
    <w:pPr>
      <w:spacing w:before="840"/>
      <w:jc w:val="center"/>
    </w:pPr>
    <w:rPr>
      <w:b/>
      <w:sz w:val="28"/>
    </w:rPr>
  </w:style>
  <w:style w:type="paragraph" w:customStyle="1" w:styleId="Data">
    <w:name w:val="Data"/>
    <w:basedOn w:val="Subject"/>
    <w:next w:val="Subject"/>
    <w:rsid w:val="000F5A95"/>
  </w:style>
  <w:style w:type="character" w:styleId="Hyperlink">
    <w:name w:val="Hyperlink"/>
    <w:basedOn w:val="DefaultParagraphFont"/>
    <w:rsid w:val="000F5A95"/>
    <w:rPr>
      <w:rFonts w:eastAsiaTheme="minorHAnsi" w:cstheme="minorBidi"/>
      <w:color w:val="4F81BD" w:themeColor="accent1"/>
      <w:szCs w:val="22"/>
    </w:rPr>
  </w:style>
  <w:style w:type="character" w:styleId="FollowedHyperlink">
    <w:name w:val="FollowedHyperlink"/>
    <w:basedOn w:val="DefaultParagraphFont"/>
    <w:rsid w:val="000F5A95"/>
    <w:rPr>
      <w:color w:val="800080"/>
      <w:u w:val="single"/>
    </w:rPr>
  </w:style>
  <w:style w:type="paragraph" w:customStyle="1" w:styleId="FirstFooter">
    <w:name w:val="FirstFooter"/>
    <w:basedOn w:val="Footer"/>
    <w:rsid w:val="000F5A95"/>
    <w:rPr>
      <w:caps w:val="0"/>
    </w:rPr>
  </w:style>
  <w:style w:type="paragraph" w:customStyle="1" w:styleId="Note">
    <w:name w:val="Note"/>
    <w:basedOn w:val="Normal"/>
    <w:rsid w:val="000F5A95"/>
    <w:pPr>
      <w:spacing w:before="80"/>
    </w:pPr>
    <w:rPr>
      <w:sz w:val="22"/>
    </w:rPr>
  </w:style>
  <w:style w:type="paragraph" w:styleId="TOC9">
    <w:name w:val="toc 9"/>
    <w:basedOn w:val="Normal"/>
    <w:next w:val="Normal"/>
    <w:rsid w:val="000F5A95"/>
    <w:pPr>
      <w:tabs>
        <w:tab w:val="clear" w:pos="567"/>
        <w:tab w:val="clear" w:pos="1134"/>
        <w:tab w:val="clear" w:pos="1701"/>
        <w:tab w:val="clear" w:pos="2268"/>
        <w:tab w:val="clear" w:pos="2835"/>
        <w:tab w:val="right" w:leader="dot" w:pos="9645"/>
      </w:tabs>
      <w:ind w:left="1920"/>
    </w:pPr>
  </w:style>
  <w:style w:type="paragraph" w:customStyle="1" w:styleId="Headingi">
    <w:name w:val="Heading_i"/>
    <w:basedOn w:val="Heading3"/>
    <w:next w:val="Normal"/>
    <w:rsid w:val="000F5A95"/>
    <w:pPr>
      <w:spacing w:before="160"/>
      <w:ind w:left="0" w:firstLine="0"/>
      <w:outlineLvl w:val="0"/>
    </w:pPr>
    <w:rPr>
      <w:b w:val="0"/>
      <w:i/>
    </w:rPr>
  </w:style>
  <w:style w:type="paragraph" w:customStyle="1" w:styleId="Title1">
    <w:name w:val="Title 1"/>
    <w:basedOn w:val="Normal"/>
    <w:next w:val="Normalaftertitle"/>
    <w:rsid w:val="000F5A95"/>
    <w:pPr>
      <w:spacing w:before="360"/>
      <w:jc w:val="center"/>
    </w:pPr>
    <w:rPr>
      <w:caps/>
    </w:rPr>
  </w:style>
  <w:style w:type="paragraph" w:customStyle="1" w:styleId="Title2">
    <w:name w:val="Title 2"/>
    <w:basedOn w:val="Title1"/>
    <w:next w:val="Normalaftertitle"/>
    <w:rsid w:val="000F5A95"/>
    <w:pPr>
      <w:keepNext/>
      <w:keepLines/>
      <w:spacing w:before="240"/>
    </w:pPr>
    <w:rPr>
      <w:b/>
      <w:caps w:val="0"/>
    </w:rPr>
  </w:style>
  <w:style w:type="paragraph" w:customStyle="1" w:styleId="Title3">
    <w:name w:val="Title 3"/>
    <w:basedOn w:val="Title2"/>
    <w:next w:val="Normalaftertitle"/>
    <w:rsid w:val="000F5A95"/>
    <w:rPr>
      <w:b w:val="0"/>
      <w:caps/>
    </w:rPr>
  </w:style>
  <w:style w:type="paragraph" w:customStyle="1" w:styleId="Title4">
    <w:name w:val="Title 4"/>
    <w:basedOn w:val="Annextitle"/>
    <w:next w:val="Normal"/>
    <w:rsid w:val="000F5A95"/>
    <w:pPr>
      <w:spacing w:after="120"/>
    </w:pPr>
    <w:rPr>
      <w:b w:val="0"/>
    </w:rPr>
  </w:style>
  <w:style w:type="paragraph" w:customStyle="1" w:styleId="dnum">
    <w:name w:val="dnum"/>
    <w:basedOn w:val="Normal"/>
    <w:rsid w:val="000F5A95"/>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RecNo">
    <w:name w:val="Rec_No"/>
    <w:basedOn w:val="Normal"/>
    <w:next w:val="Rectitle"/>
    <w:rsid w:val="000F5A95"/>
    <w:pPr>
      <w:keepNext/>
      <w:keepLines/>
      <w:spacing w:before="720"/>
      <w:jc w:val="center"/>
    </w:pPr>
    <w:rPr>
      <w:caps/>
      <w:sz w:val="28"/>
    </w:rPr>
  </w:style>
  <w:style w:type="paragraph" w:customStyle="1" w:styleId="Rectitle">
    <w:name w:val="Rec_title"/>
    <w:basedOn w:val="Normal"/>
    <w:next w:val="Heading1"/>
    <w:rsid w:val="000F5A95"/>
    <w:pPr>
      <w:keepNext/>
      <w:keepLines/>
      <w:jc w:val="center"/>
    </w:pPr>
    <w:rPr>
      <w:b/>
      <w:sz w:val="28"/>
    </w:rPr>
  </w:style>
  <w:style w:type="paragraph" w:customStyle="1" w:styleId="Recref">
    <w:name w:val="Rec_ref"/>
    <w:basedOn w:val="Rectitle"/>
    <w:next w:val="Recdate"/>
    <w:rsid w:val="000F5A95"/>
    <w:rPr>
      <w:rFonts w:ascii="Times New Roman" w:hAnsi="Times New Roman"/>
      <w:b w:val="0"/>
      <w:sz w:val="24"/>
    </w:rPr>
  </w:style>
  <w:style w:type="paragraph" w:customStyle="1" w:styleId="Recdate">
    <w:name w:val="Rec_date"/>
    <w:basedOn w:val="Recref"/>
    <w:next w:val="Normalaftertitle"/>
    <w:rsid w:val="000F5A95"/>
    <w:pPr>
      <w:jc w:val="right"/>
    </w:pPr>
    <w:rPr>
      <w:sz w:val="22"/>
    </w:rPr>
  </w:style>
  <w:style w:type="paragraph" w:customStyle="1" w:styleId="Questiondate">
    <w:name w:val="Question_date"/>
    <w:basedOn w:val="Recdate"/>
    <w:next w:val="Normalaftertitle"/>
    <w:rsid w:val="000F5A95"/>
  </w:style>
  <w:style w:type="paragraph" w:customStyle="1" w:styleId="QuestionNo">
    <w:name w:val="Question_No"/>
    <w:basedOn w:val="RecNo"/>
    <w:next w:val="Questiontitle"/>
    <w:rsid w:val="000F5A95"/>
  </w:style>
  <w:style w:type="paragraph" w:customStyle="1" w:styleId="Questiontitle">
    <w:name w:val="Question_title"/>
    <w:basedOn w:val="Rectitle"/>
    <w:next w:val="Questionref"/>
    <w:rsid w:val="000F5A95"/>
  </w:style>
  <w:style w:type="paragraph" w:customStyle="1" w:styleId="Questionref">
    <w:name w:val="Question_ref"/>
    <w:basedOn w:val="Recref"/>
    <w:next w:val="Questiondate"/>
    <w:rsid w:val="000F5A95"/>
  </w:style>
  <w:style w:type="paragraph" w:customStyle="1" w:styleId="Reftext">
    <w:name w:val="Ref_text"/>
    <w:basedOn w:val="Normal"/>
    <w:rsid w:val="000F5A95"/>
    <w:pPr>
      <w:ind w:left="567" w:hanging="567"/>
    </w:pPr>
  </w:style>
  <w:style w:type="paragraph" w:customStyle="1" w:styleId="Reftitle">
    <w:name w:val="Ref_title"/>
    <w:basedOn w:val="Normal"/>
    <w:next w:val="Reftext"/>
    <w:rsid w:val="000F5A95"/>
    <w:pPr>
      <w:spacing w:before="480"/>
      <w:jc w:val="center"/>
    </w:pPr>
    <w:rPr>
      <w:caps/>
      <w:sz w:val="28"/>
    </w:rPr>
  </w:style>
  <w:style w:type="paragraph" w:customStyle="1" w:styleId="Repdate">
    <w:name w:val="Rep_date"/>
    <w:basedOn w:val="Recdate"/>
    <w:next w:val="Normalaftertitle"/>
    <w:rsid w:val="000F5A95"/>
  </w:style>
  <w:style w:type="paragraph" w:customStyle="1" w:styleId="RepNo">
    <w:name w:val="Rep_No"/>
    <w:basedOn w:val="RecNo"/>
    <w:next w:val="Reptitle"/>
    <w:rsid w:val="000F5A95"/>
  </w:style>
  <w:style w:type="paragraph" w:customStyle="1" w:styleId="Reptitle">
    <w:name w:val="Rep_title"/>
    <w:basedOn w:val="Rectitle"/>
    <w:next w:val="Repref"/>
    <w:rsid w:val="000F5A95"/>
  </w:style>
  <w:style w:type="paragraph" w:customStyle="1" w:styleId="Repref">
    <w:name w:val="Rep_ref"/>
    <w:basedOn w:val="Recref"/>
    <w:next w:val="Repdate"/>
    <w:rsid w:val="000F5A95"/>
  </w:style>
  <w:style w:type="paragraph" w:customStyle="1" w:styleId="Resdate">
    <w:name w:val="Res_date"/>
    <w:basedOn w:val="Recdate"/>
    <w:next w:val="Normalaftertitle"/>
    <w:rsid w:val="000F5A95"/>
  </w:style>
  <w:style w:type="paragraph" w:customStyle="1" w:styleId="ResNo">
    <w:name w:val="Res_No"/>
    <w:basedOn w:val="AnnexNo"/>
    <w:next w:val="Restitle"/>
    <w:rsid w:val="000F5A95"/>
  </w:style>
  <w:style w:type="paragraph" w:customStyle="1" w:styleId="Restitle">
    <w:name w:val="Res_title"/>
    <w:basedOn w:val="Annextitle"/>
    <w:next w:val="Normal"/>
    <w:rsid w:val="000F5A95"/>
  </w:style>
  <w:style w:type="paragraph" w:customStyle="1" w:styleId="Resref">
    <w:name w:val="Res_ref"/>
    <w:basedOn w:val="Recref"/>
    <w:next w:val="Resdate"/>
    <w:rsid w:val="000F5A95"/>
  </w:style>
  <w:style w:type="paragraph" w:customStyle="1" w:styleId="SectionNo">
    <w:name w:val="Section_No"/>
    <w:basedOn w:val="AnnexNo"/>
    <w:next w:val="Sectiontitle"/>
    <w:rsid w:val="000F5A95"/>
  </w:style>
  <w:style w:type="paragraph" w:customStyle="1" w:styleId="Sectiontitle">
    <w:name w:val="Section_title"/>
    <w:basedOn w:val="Normal"/>
    <w:next w:val="Normalaftertitle"/>
    <w:rsid w:val="000F5A95"/>
    <w:rPr>
      <w:sz w:val="28"/>
    </w:rPr>
  </w:style>
  <w:style w:type="paragraph" w:customStyle="1" w:styleId="SpecialFooter">
    <w:name w:val="Special Footer"/>
    <w:basedOn w:val="Footer"/>
    <w:rsid w:val="000F5A95"/>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rsid w:val="000F5A95"/>
    <w:pPr>
      <w:keepNext/>
      <w:keepLines/>
      <w:spacing w:before="80" w:after="80"/>
      <w:jc w:val="center"/>
    </w:pPr>
    <w:rPr>
      <w:b/>
    </w:rPr>
  </w:style>
  <w:style w:type="paragraph" w:customStyle="1" w:styleId="Tablelegend">
    <w:name w:val="Table_legend"/>
    <w:basedOn w:val="Tabletext"/>
    <w:rsid w:val="000F5A95"/>
    <w:pPr>
      <w:ind w:left="284" w:hanging="284"/>
    </w:pPr>
    <w:rPr>
      <w:sz w:val="20"/>
    </w:rPr>
  </w:style>
  <w:style w:type="paragraph" w:customStyle="1" w:styleId="Tableref">
    <w:name w:val="Table_ref"/>
    <w:basedOn w:val="Normal"/>
    <w:next w:val="Tabletitle"/>
    <w:rsid w:val="000F5A95"/>
    <w:pPr>
      <w:keepNext/>
      <w:keepLines/>
      <w:jc w:val="center"/>
    </w:pPr>
    <w:rPr>
      <w:sz w:val="20"/>
    </w:rPr>
  </w:style>
  <w:style w:type="paragraph" w:customStyle="1" w:styleId="Reasons">
    <w:name w:val="Reasons"/>
    <w:basedOn w:val="Normal"/>
    <w:qFormat/>
    <w:rsid w:val="000F5A95"/>
  </w:style>
  <w:style w:type="paragraph" w:customStyle="1" w:styleId="FigureNo">
    <w:name w:val="Figure_No"/>
    <w:basedOn w:val="Normal"/>
    <w:next w:val="Figuretitle"/>
    <w:rsid w:val="000F5A95"/>
    <w:pPr>
      <w:keepNext/>
      <w:keepLines/>
      <w:spacing w:before="480" w:after="120"/>
      <w:jc w:val="center"/>
    </w:pPr>
    <w:rPr>
      <w:caps/>
    </w:rPr>
  </w:style>
  <w:style w:type="paragraph" w:customStyle="1" w:styleId="Table">
    <w:name w:val="Table_#"/>
    <w:basedOn w:val="Normal"/>
    <w:next w:val="Normal"/>
    <w:rsid w:val="00093EEB"/>
    <w:pPr>
      <w:keepNext/>
      <w:overflowPunct/>
      <w:autoSpaceDE/>
      <w:autoSpaceDN/>
      <w:adjustRightInd/>
      <w:spacing w:before="560" w:after="120"/>
      <w:jc w:val="center"/>
      <w:textAlignment w:val="auto"/>
    </w:pPr>
    <w:rPr>
      <w:caps/>
      <w:lang w:val="en-GB"/>
    </w:rPr>
  </w:style>
  <w:style w:type="paragraph" w:customStyle="1" w:styleId="Subtitle">
    <w:name w:val="Sub_title"/>
    <w:basedOn w:val="Normal"/>
    <w:qFormat/>
    <w:rsid w:val="000F5A95"/>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0F5A95"/>
    <w:rPr>
      <w:rFonts w:ascii="Calibri" w:hAnsi="Calibri"/>
      <w:sz w:val="18"/>
      <w:lang w:val="fr-FR" w:eastAsia="en-US"/>
    </w:rPr>
  </w:style>
  <w:style w:type="table" w:styleId="TableGrid">
    <w:name w:val="Table Grid"/>
    <w:basedOn w:val="TableNormal"/>
    <w:uiPriority w:val="39"/>
    <w:rsid w:val="000F5A95"/>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F5A95"/>
    <w:rPr>
      <w:color w:val="666666"/>
    </w:rPr>
  </w:style>
  <w:style w:type="character" w:styleId="UnresolvedMention">
    <w:name w:val="Unresolved Mention"/>
    <w:basedOn w:val="DefaultParagraphFont"/>
    <w:uiPriority w:val="99"/>
    <w:semiHidden/>
    <w:unhideWhenUsed/>
    <w:rsid w:val="002946E2"/>
    <w:rPr>
      <w:color w:val="605E5C"/>
      <w:shd w:val="clear" w:color="auto" w:fill="E1DFDD"/>
    </w:rPr>
  </w:style>
  <w:style w:type="paragraph" w:customStyle="1" w:styleId="firstfooter0">
    <w:name w:val="firstfooter"/>
    <w:basedOn w:val="Normal"/>
    <w:rsid w:val="000F5A9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Object">
    <w:name w:val="Object"/>
    <w:basedOn w:val="Subject"/>
    <w:next w:val="Subject"/>
    <w:rsid w:val="000F5A95"/>
  </w:style>
  <w:style w:type="paragraph" w:customStyle="1" w:styleId="Referencetext">
    <w:name w:val="Reference_text"/>
    <w:basedOn w:val="Normal"/>
    <w:rsid w:val="000F5A95"/>
    <w:pPr>
      <w:framePr w:hSpace="181" w:wrap="around" w:vAnchor="page" w:hAnchor="page" w:x="1589" w:y="2314"/>
      <w:spacing w:after="160"/>
    </w:pPr>
    <w:rPr>
      <w:i/>
      <w:iCs/>
      <w:sz w:val="22"/>
      <w:szCs w:val="22"/>
    </w:rPr>
  </w:style>
  <w:style w:type="paragraph" w:styleId="ListParagraph">
    <w:name w:val="List Paragraph"/>
    <w:basedOn w:val="Normal"/>
    <w:uiPriority w:val="34"/>
    <w:qFormat/>
    <w:rsid w:val="00B42A6A"/>
    <w:pPr>
      <w:tabs>
        <w:tab w:val="clear" w:pos="567"/>
        <w:tab w:val="clear" w:pos="1134"/>
        <w:tab w:val="clear" w:pos="1701"/>
        <w:tab w:val="clear" w:pos="2268"/>
        <w:tab w:val="clear" w:pos="2835"/>
        <w:tab w:val="left" w:pos="794"/>
        <w:tab w:val="left" w:pos="1191"/>
        <w:tab w:val="left" w:pos="1588"/>
        <w:tab w:val="left" w:pos="1985"/>
      </w:tabs>
      <w:ind w:left="720"/>
      <w:contextualSpacing/>
    </w:pPr>
    <w:rPr>
      <w:sz w:val="22"/>
      <w:lang w:val="en-GB"/>
    </w:rPr>
  </w:style>
  <w:style w:type="paragraph" w:styleId="Revision">
    <w:name w:val="Revision"/>
    <w:hidden/>
    <w:uiPriority w:val="99"/>
    <w:semiHidden/>
    <w:rsid w:val="00CF1E38"/>
    <w:rPr>
      <w:rFonts w:ascii="Calibri" w:hAnsi="Calibri"/>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26EXT-C-0002/e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tu.int/md/S26-C26EXT-C-0002/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S%20-%20ITU\GS\PS_Council26EX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PS_Council26EXT.dotx</Template>
  <TotalTime>1</TotalTime>
  <Pages>5</Pages>
  <Words>1870</Words>
  <Characters>9990</Characters>
  <Application>Microsoft Office Word</Application>
  <DocSecurity>0</DocSecurity>
  <Lines>172</Lines>
  <Paragraphs>49</Paragraphs>
  <ScaleCrop>false</ScaleCrop>
  <HeadingPairs>
    <vt:vector size="4" baseType="variant">
      <vt:variant>
        <vt:lpstr>Title</vt:lpstr>
      </vt:variant>
      <vt:variant>
        <vt:i4>1</vt:i4>
      </vt:variant>
      <vt:variant>
        <vt:lpstr>UNIÓN INTERNACIONAL DE TELECOMUNICACIONES	</vt:lpstr>
      </vt:variant>
      <vt:variant>
        <vt:i4>0</vt:i4>
      </vt:variant>
    </vt:vector>
  </HeadingPairs>
  <TitlesOfParts>
    <vt:vector size="1" baseType="lpstr">
      <vt:lpstr/>
    </vt:vector>
  </TitlesOfParts>
  <Manager>Secretaría General - Pool</Manager>
  <Company>International Telecommunication Union</Company>
  <LinksUpToDate>false</LinksUpToDate>
  <CharactersWithSpaces>11811</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Contribución multipaís sobre la fecha y lugar de celebración específicos de la Conferencia de Plenipotenciarios de la UIT de 2026</dc:title>
  <dc:subject>Sesión extraordinaria del Consejo 2026 de la UIT</dc:subject>
  <dc:creator>Spanish</dc:creator>
  <cp:keywords>C26-EXT; C26; C2026; Council 2026; PP26</cp:keywords>
  <dc:description/>
  <cp:lastModifiedBy>ITUGBS</cp:lastModifiedBy>
  <cp:revision>3</cp:revision>
  <cp:lastPrinted>2006-03-24T09:51:00Z</cp:lastPrinted>
  <dcterms:created xsi:type="dcterms:W3CDTF">2026-08-25T09:25:00Z</dcterms:created>
  <dcterms:modified xsi:type="dcterms:W3CDTF">2026-08-25T09:25:00Z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Documento C17/-S</vt:lpwstr>
  </property>
  <property fmtid="{D5CDD505-2E9C-101B-9397-08002B2CF9AE}" pid="3" name="Docdate">
    <vt:lpwstr>enero de 2017</vt:lpwstr>
  </property>
  <property fmtid="{D5CDD505-2E9C-101B-9397-08002B2CF9AE}" pid="4" name="Docorlang">
    <vt:lpwstr>Original: inglés</vt:lpwstr>
  </property>
  <property fmtid="{D5CDD505-2E9C-101B-9397-08002B2CF9AE}" pid="5" name="Docbluepink">
    <vt:lpwstr>Consejo 2017 Ginebra, 15-25 de mayo de 2017</vt:lpwstr>
  </property>
  <property fmtid="{D5CDD505-2E9C-101B-9397-08002B2CF9AE}" pid="6" name="Docdest">
    <vt:lpwstr/>
  </property>
  <property fmtid="{D5CDD505-2E9C-101B-9397-08002B2CF9AE}" pid="7" name="Docauthor">
    <vt:lpwstr/>
  </property>
  <property fmtid="{D5CDD505-2E9C-101B-9397-08002B2CF9AE}" pid="8" name="GrammarlyDocumentId">
    <vt:lpwstr>5c03a5c9b91678b956e25536f0296632c716f66cf9a10e87f22af88ff3e788b1</vt:lpwstr>
  </property>
</Properties>
</file>