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813E5E" w14:paraId="22A29E60" w14:textId="77777777" w:rsidTr="00796BDB">
        <w:trPr>
          <w:cantSplit/>
          <w:trHeight w:val="23"/>
        </w:trPr>
        <w:tc>
          <w:tcPr>
            <w:tcW w:w="3969" w:type="dxa"/>
            <w:vMerge w:val="restart"/>
            <w:tcMar>
              <w:left w:w="0" w:type="dxa"/>
            </w:tcMar>
          </w:tcPr>
          <w:p w14:paraId="469793EC" w14:textId="1609AB41" w:rsidR="00D72F49" w:rsidRPr="00E85629" w:rsidRDefault="00D72F49" w:rsidP="00796BDB">
            <w:pPr>
              <w:tabs>
                <w:tab w:val="left" w:pos="851"/>
              </w:tabs>
              <w:spacing w:before="0" w:line="240" w:lineRule="atLeast"/>
              <w:rPr>
                <w:b/>
              </w:rPr>
            </w:pPr>
          </w:p>
        </w:tc>
        <w:tc>
          <w:tcPr>
            <w:tcW w:w="5245" w:type="dxa"/>
          </w:tcPr>
          <w:p w14:paraId="40128C71" w14:textId="3FFA21B6" w:rsidR="00D72F49" w:rsidRPr="00E85629" w:rsidRDefault="00D72F49" w:rsidP="00796BDB">
            <w:pPr>
              <w:tabs>
                <w:tab w:val="left" w:pos="851"/>
              </w:tabs>
              <w:spacing w:before="0" w:line="240" w:lineRule="atLeast"/>
              <w:jc w:val="right"/>
              <w:rPr>
                <w:b/>
              </w:rPr>
            </w:pPr>
            <w:r>
              <w:rPr>
                <w:b/>
              </w:rPr>
              <w:t>Document C2</w:t>
            </w:r>
            <w:r w:rsidR="00E4448E">
              <w:rPr>
                <w:b/>
              </w:rPr>
              <w:t>6</w:t>
            </w:r>
            <w:r w:rsidR="006B1F53">
              <w:rPr>
                <w:b/>
              </w:rPr>
              <w:t>-EXT</w:t>
            </w:r>
            <w:r>
              <w:rPr>
                <w:b/>
              </w:rPr>
              <w:t>/</w:t>
            </w:r>
            <w:r w:rsidR="00A26EEF">
              <w:rPr>
                <w:b/>
              </w:rPr>
              <w:t>4</w:t>
            </w:r>
            <w:r>
              <w:rPr>
                <w:b/>
              </w:rPr>
              <w:t>-F</w:t>
            </w:r>
          </w:p>
        </w:tc>
      </w:tr>
      <w:tr w:rsidR="00D72F49" w:rsidRPr="00C049D7" w14:paraId="0D29526A" w14:textId="77777777" w:rsidTr="00796BDB">
        <w:trPr>
          <w:cantSplit/>
        </w:trPr>
        <w:tc>
          <w:tcPr>
            <w:tcW w:w="3969" w:type="dxa"/>
            <w:vMerge/>
          </w:tcPr>
          <w:p w14:paraId="53A27BC0" w14:textId="77777777" w:rsidR="00D72F49" w:rsidRPr="00813E5E" w:rsidRDefault="00D72F49" w:rsidP="00796BDB">
            <w:pPr>
              <w:tabs>
                <w:tab w:val="left" w:pos="851"/>
              </w:tabs>
              <w:spacing w:line="240" w:lineRule="atLeast"/>
              <w:rPr>
                <w:b/>
              </w:rPr>
            </w:pPr>
          </w:p>
        </w:tc>
        <w:tc>
          <w:tcPr>
            <w:tcW w:w="5245" w:type="dxa"/>
          </w:tcPr>
          <w:p w14:paraId="1B725B68" w14:textId="16B87BE1" w:rsidR="00D72F49" w:rsidRPr="00FC6D7D" w:rsidRDefault="00A26EEF" w:rsidP="00796BDB">
            <w:pPr>
              <w:tabs>
                <w:tab w:val="left" w:pos="851"/>
              </w:tabs>
              <w:spacing w:before="0"/>
              <w:jc w:val="right"/>
              <w:rPr>
                <w:b/>
                <w:lang w:val="en-GB"/>
              </w:rPr>
            </w:pPr>
            <w:r>
              <w:rPr>
                <w:b/>
              </w:rPr>
              <w:t>24 août 2026</w:t>
            </w:r>
          </w:p>
        </w:tc>
      </w:tr>
      <w:tr w:rsidR="00D72F49" w:rsidRPr="00813E5E" w14:paraId="3A151513" w14:textId="77777777" w:rsidTr="00796BDB">
        <w:trPr>
          <w:cantSplit/>
          <w:trHeight w:val="23"/>
        </w:trPr>
        <w:tc>
          <w:tcPr>
            <w:tcW w:w="3969" w:type="dxa"/>
            <w:vMerge/>
          </w:tcPr>
          <w:p w14:paraId="054B77BD" w14:textId="77777777" w:rsidR="00D72F49" w:rsidRPr="00FC6D7D" w:rsidRDefault="00D72F49" w:rsidP="00796BDB">
            <w:pPr>
              <w:tabs>
                <w:tab w:val="left" w:pos="851"/>
              </w:tabs>
              <w:spacing w:line="240" w:lineRule="atLeast"/>
              <w:rPr>
                <w:b/>
                <w:lang w:val="en-GB"/>
              </w:rPr>
            </w:pPr>
          </w:p>
        </w:tc>
        <w:tc>
          <w:tcPr>
            <w:tcW w:w="5245" w:type="dxa"/>
          </w:tcPr>
          <w:p w14:paraId="3B3D4F39" w14:textId="0F5434D4" w:rsidR="00D72F49" w:rsidRPr="00E85629" w:rsidRDefault="00D72F49" w:rsidP="00796BDB">
            <w:pPr>
              <w:tabs>
                <w:tab w:val="left" w:pos="851"/>
              </w:tabs>
              <w:spacing w:before="0" w:line="240" w:lineRule="atLeast"/>
              <w:jc w:val="right"/>
              <w:rPr>
                <w:b/>
              </w:rPr>
            </w:pPr>
            <w:r w:rsidRPr="00122CE1">
              <w:rPr>
                <w:b/>
                <w:lang w:val="fr-CH"/>
              </w:rPr>
              <w:t xml:space="preserve">Original: </w:t>
            </w:r>
            <w:r w:rsidR="00A26EEF">
              <w:rPr>
                <w:b/>
                <w:lang w:val="fr-CH"/>
              </w:rPr>
              <w:t>russe</w:t>
            </w:r>
          </w:p>
        </w:tc>
      </w:tr>
      <w:tr w:rsidR="00D72F49" w:rsidRPr="00813E5E" w14:paraId="7E89BAA4" w14:textId="77777777" w:rsidTr="00796BDB">
        <w:trPr>
          <w:cantSplit/>
          <w:trHeight w:val="23"/>
        </w:trPr>
        <w:tc>
          <w:tcPr>
            <w:tcW w:w="3969" w:type="dxa"/>
          </w:tcPr>
          <w:p w14:paraId="55D64BCC" w14:textId="77777777" w:rsidR="00D72F49" w:rsidRPr="00813E5E" w:rsidRDefault="00D72F49" w:rsidP="00796BDB">
            <w:pPr>
              <w:tabs>
                <w:tab w:val="left" w:pos="851"/>
              </w:tabs>
              <w:spacing w:line="240" w:lineRule="atLeast"/>
              <w:rPr>
                <w:b/>
              </w:rPr>
            </w:pPr>
          </w:p>
        </w:tc>
        <w:tc>
          <w:tcPr>
            <w:tcW w:w="5245" w:type="dxa"/>
          </w:tcPr>
          <w:p w14:paraId="1926BF68" w14:textId="77777777" w:rsidR="00D72F49" w:rsidRDefault="00D72F49" w:rsidP="00796BDB">
            <w:pPr>
              <w:tabs>
                <w:tab w:val="left" w:pos="851"/>
              </w:tabs>
              <w:spacing w:before="0" w:line="240" w:lineRule="atLeast"/>
              <w:jc w:val="right"/>
              <w:rPr>
                <w:b/>
              </w:rPr>
            </w:pPr>
          </w:p>
        </w:tc>
      </w:tr>
      <w:tr w:rsidR="00D72F49" w:rsidRPr="00122CE1" w14:paraId="5826F1DA" w14:textId="77777777" w:rsidTr="00796BDB">
        <w:trPr>
          <w:cantSplit/>
        </w:trPr>
        <w:tc>
          <w:tcPr>
            <w:tcW w:w="9214" w:type="dxa"/>
            <w:gridSpan w:val="2"/>
            <w:tcMar>
              <w:left w:w="0" w:type="dxa"/>
            </w:tcMar>
          </w:tcPr>
          <w:p w14:paraId="04CA18D2" w14:textId="5BF20313" w:rsidR="00D72F49" w:rsidRPr="006B1F53" w:rsidRDefault="00A26EEF" w:rsidP="006B1F53">
            <w:pPr>
              <w:pStyle w:val="Source"/>
              <w:framePr w:hSpace="0" w:wrap="auto" w:vAnchor="margin" w:hAnchor="text" w:xAlign="left" w:yAlign="inline"/>
            </w:pPr>
            <w:r w:rsidRPr="00A26EEF">
              <w:t>Fédération de Russie</w:t>
            </w:r>
          </w:p>
        </w:tc>
      </w:tr>
      <w:tr w:rsidR="00D72F49" w:rsidRPr="00813E5E" w14:paraId="0176D937" w14:textId="77777777" w:rsidTr="00796BDB">
        <w:trPr>
          <w:cantSplit/>
        </w:trPr>
        <w:tc>
          <w:tcPr>
            <w:tcW w:w="9214" w:type="dxa"/>
            <w:gridSpan w:val="2"/>
            <w:tcMar>
              <w:left w:w="0" w:type="dxa"/>
            </w:tcMar>
          </w:tcPr>
          <w:p w14:paraId="69190F8F" w14:textId="5C14F50A" w:rsidR="00D72F49" w:rsidRPr="00A26EEF" w:rsidRDefault="00A26EEF" w:rsidP="00796BDB">
            <w:pPr>
              <w:pStyle w:val="Subtitle"/>
              <w:framePr w:hSpace="0" w:wrap="auto" w:hAnchor="text" w:xAlign="left" w:yAlign="inline"/>
              <w:rPr>
                <w:sz w:val="32"/>
                <w:szCs w:val="32"/>
                <w:lang w:val="fr-FR"/>
              </w:rPr>
            </w:pPr>
            <w:r w:rsidRPr="00A26EEF">
              <w:rPr>
                <w:rFonts w:cstheme="minorHAnsi"/>
                <w:sz w:val="32"/>
                <w:szCs w:val="32"/>
                <w:lang w:val="fr-FR"/>
              </w:rPr>
              <w:t>LIEU PRÉCIS ET DATES EXACTES DE LA CONFÉRENCE DE PLÉNIPOTENTIAIRES DE 2026 DE L'UIT</w:t>
            </w:r>
          </w:p>
        </w:tc>
      </w:tr>
      <w:tr w:rsidR="00D72F49" w:rsidRPr="00813E5E" w14:paraId="189B428B" w14:textId="77777777" w:rsidTr="00796BDB">
        <w:trPr>
          <w:cantSplit/>
        </w:trPr>
        <w:tc>
          <w:tcPr>
            <w:tcW w:w="9214" w:type="dxa"/>
            <w:gridSpan w:val="2"/>
            <w:tcBorders>
              <w:top w:val="single" w:sz="4" w:space="0" w:color="auto"/>
              <w:bottom w:val="single" w:sz="4" w:space="0" w:color="auto"/>
            </w:tcBorders>
            <w:tcMar>
              <w:left w:w="0" w:type="dxa"/>
            </w:tcMar>
          </w:tcPr>
          <w:p w14:paraId="4777B48C" w14:textId="77777777" w:rsidR="00D72F49" w:rsidRPr="0099485B" w:rsidRDefault="00F37FE5" w:rsidP="00796BDB">
            <w:pPr>
              <w:spacing w:before="160"/>
              <w:rPr>
                <w:b/>
                <w:bCs/>
                <w:sz w:val="26"/>
                <w:szCs w:val="26"/>
                <w:lang w:val="fr-CH"/>
              </w:rPr>
            </w:pPr>
            <w:r>
              <w:rPr>
                <w:b/>
                <w:bCs/>
                <w:sz w:val="26"/>
                <w:szCs w:val="26"/>
                <w:lang w:val="fr-CH"/>
              </w:rPr>
              <w:t>Objet</w:t>
            </w:r>
          </w:p>
          <w:p w14:paraId="56564716" w14:textId="77777777" w:rsidR="00D72F49" w:rsidRPr="0099485B" w:rsidRDefault="00D72F49" w:rsidP="00796BDB">
            <w:pPr>
              <w:rPr>
                <w:lang w:val="fr-CH"/>
              </w:rPr>
            </w:pPr>
          </w:p>
          <w:p w14:paraId="46F1EF55" w14:textId="77777777" w:rsidR="00D72F49" w:rsidRPr="00122CE1" w:rsidRDefault="00D72F49" w:rsidP="00796BDB">
            <w:pPr>
              <w:spacing w:before="160"/>
              <w:rPr>
                <w:b/>
                <w:bCs/>
                <w:sz w:val="26"/>
                <w:szCs w:val="26"/>
                <w:lang w:val="fr-CH"/>
              </w:rPr>
            </w:pPr>
            <w:r w:rsidRPr="00122CE1">
              <w:rPr>
                <w:b/>
                <w:bCs/>
                <w:sz w:val="26"/>
                <w:szCs w:val="26"/>
                <w:lang w:val="fr-CH"/>
              </w:rPr>
              <w:t>Suite à donner par le Conseil</w:t>
            </w:r>
          </w:p>
          <w:p w14:paraId="4A776FA3" w14:textId="17FC2538" w:rsidR="00D72F49" w:rsidRPr="00122CE1" w:rsidRDefault="00A26EEF" w:rsidP="00796BDB">
            <w:pPr>
              <w:rPr>
                <w:lang w:val="fr-CH"/>
              </w:rPr>
            </w:pPr>
            <w:r w:rsidRPr="00A26EEF">
              <w:rPr>
                <w:lang w:val="fr-CH"/>
              </w:rPr>
              <w:t xml:space="preserve">Le Conseil est invité à </w:t>
            </w:r>
            <w:r w:rsidRPr="00A26EEF">
              <w:rPr>
                <w:b/>
                <w:bCs/>
                <w:lang w:val="fr-CH"/>
              </w:rPr>
              <w:t>examiner</w:t>
            </w:r>
            <w:r w:rsidRPr="00A26EEF">
              <w:rPr>
                <w:lang w:val="fr-CH"/>
              </w:rPr>
              <w:t xml:space="preserve"> la présente contribution et à prendre les mesures appropriées.</w:t>
            </w:r>
          </w:p>
          <w:p w14:paraId="6A2D79D3" w14:textId="77777777" w:rsidR="00D72F49" w:rsidRPr="00813E5E" w:rsidRDefault="00D72F49" w:rsidP="00796BDB">
            <w:pPr>
              <w:spacing w:before="160"/>
              <w:rPr>
                <w:caps/>
                <w:sz w:val="22"/>
              </w:rPr>
            </w:pPr>
            <w:r w:rsidRPr="00813E5E">
              <w:rPr>
                <w:sz w:val="22"/>
              </w:rPr>
              <w:t>____________</w:t>
            </w:r>
            <w:r>
              <w:rPr>
                <w:sz w:val="22"/>
              </w:rPr>
              <w:t>______</w:t>
            </w:r>
          </w:p>
          <w:p w14:paraId="6DA7914E" w14:textId="77777777" w:rsidR="00D72F49" w:rsidRDefault="00D72F49" w:rsidP="00796BDB">
            <w:pPr>
              <w:spacing w:before="160"/>
              <w:rPr>
                <w:b/>
                <w:bCs/>
                <w:sz w:val="26"/>
                <w:szCs w:val="26"/>
              </w:rPr>
            </w:pPr>
            <w:r w:rsidRPr="00F16BAB">
              <w:rPr>
                <w:b/>
                <w:bCs/>
                <w:sz w:val="26"/>
                <w:szCs w:val="26"/>
              </w:rPr>
              <w:t>Références</w:t>
            </w:r>
          </w:p>
          <w:p w14:paraId="507E4EA0" w14:textId="7CF364CD" w:rsidR="00D72F49" w:rsidRPr="00654928" w:rsidRDefault="00A26EEF" w:rsidP="00CE5172">
            <w:pPr>
              <w:pStyle w:val="Referencetext"/>
              <w:framePr w:hSpace="0" w:wrap="auto" w:vAnchor="margin" w:hAnchor="text" w:xAlign="left" w:yAlign="inline"/>
              <w:rPr>
                <w:i w:val="0"/>
                <w:iCs w:val="0"/>
              </w:rPr>
            </w:pPr>
            <w:r w:rsidRPr="00654928">
              <w:rPr>
                <w:i w:val="0"/>
                <w:iCs w:val="0"/>
                <w:sz w:val="24"/>
                <w:szCs w:val="24"/>
              </w:rPr>
              <w:t>–</w:t>
            </w:r>
          </w:p>
        </w:tc>
      </w:tr>
    </w:tbl>
    <w:p w14:paraId="17548FFC" w14:textId="77777777" w:rsidR="00A51849" w:rsidRPr="0019129B" w:rsidRDefault="00A51849" w:rsidP="00CF0534"/>
    <w:p w14:paraId="222486F2" w14:textId="77777777" w:rsidR="00A51849" w:rsidRDefault="00A51849">
      <w:pPr>
        <w:tabs>
          <w:tab w:val="clear" w:pos="567"/>
          <w:tab w:val="clear" w:pos="1134"/>
          <w:tab w:val="clear" w:pos="1701"/>
          <w:tab w:val="clear" w:pos="2268"/>
          <w:tab w:val="clear" w:pos="2835"/>
        </w:tabs>
        <w:overflowPunct/>
        <w:autoSpaceDE/>
        <w:autoSpaceDN/>
        <w:adjustRightInd/>
        <w:spacing w:before="0"/>
        <w:textAlignment w:val="auto"/>
      </w:pPr>
      <w:r>
        <w:br w:type="page"/>
      </w:r>
    </w:p>
    <w:p w14:paraId="539F9CCD" w14:textId="45EA344B" w:rsidR="00A26EEF" w:rsidRDefault="00A26EEF" w:rsidP="00A26EEF">
      <w:pPr>
        <w:pStyle w:val="Heading1"/>
      </w:pPr>
      <w:r>
        <w:lastRenderedPageBreak/>
        <w:t>1</w:t>
      </w:r>
      <w:r>
        <w:tab/>
        <w:t>Situation actuelle</w:t>
      </w:r>
    </w:p>
    <w:p w14:paraId="2D4F4A60" w14:textId="775495C7" w:rsidR="00A26EEF" w:rsidRDefault="00A26EEF" w:rsidP="00A26EEF">
      <w:r>
        <w:t>1</w:t>
      </w:r>
      <w:r>
        <w:tab/>
        <w:t xml:space="preserve">La Conférence de plénipotentiaires de l'UIT est l'organe suprême de l'Union (numéro 40, alinéa </w:t>
      </w:r>
      <w:r w:rsidRPr="005E43F0">
        <w:rPr>
          <w:i/>
          <w:iCs/>
        </w:rPr>
        <w:t>a)</w:t>
      </w:r>
      <w:r>
        <w:t xml:space="preserve"> de l'article 7 de la Constitution).</w:t>
      </w:r>
    </w:p>
    <w:p w14:paraId="55E51FE9" w14:textId="313FCAD2" w:rsidR="00A26EEF" w:rsidRDefault="00A26EEF" w:rsidP="00A26EEF">
      <w:r>
        <w:t>2</w:t>
      </w:r>
      <w:r>
        <w:tab/>
        <w:t xml:space="preserve">Le Conseil (numéro 41, alinéa </w:t>
      </w:r>
      <w:r w:rsidRPr="005E43F0">
        <w:rPr>
          <w:i/>
          <w:iCs/>
        </w:rPr>
        <w:t>b)</w:t>
      </w:r>
      <w:r>
        <w:t xml:space="preserve"> de l'article 7 de la Constitution) agit au nom de la Conférence de plénipotentiaires dans l'intervalle qui sépare les Conférences de plénipotentiaires en tant qu'organe directeur de l'Union et prend toutes les mesures pour faciliter la mise en œuvre par les </w:t>
      </w:r>
      <w:r w:rsidR="005E43F0">
        <w:t>États</w:t>
      </w:r>
      <w:r>
        <w:t xml:space="preserve"> Membres des dispositions de la Constitution, de la Convention, des Règlements administratifs et des décisions des conférences, assemblées et autres réunions de l'Union (article 10 de la Constitution).</w:t>
      </w:r>
    </w:p>
    <w:p w14:paraId="52062215" w14:textId="3DE5BAE5" w:rsidR="00A26EEF" w:rsidRDefault="00A26EEF" w:rsidP="00A26EEF">
      <w:r>
        <w:t>3</w:t>
      </w:r>
      <w:r>
        <w:tab/>
        <w:t xml:space="preserve">Le Conseil supervise, dans l'intervalle qui sépare deux Conférences de plénipotentiaires, la gestion et l'administration globales de l'Union. En particulier, en vertu du numéro 79 de la Convention (alinéa 13) du paragraphe 11, </w:t>
      </w:r>
      <w:r w:rsidR="005E43F0">
        <w:t>a</w:t>
      </w:r>
      <w:r>
        <w:t xml:space="preserve">rticle 4, Section 2), le Conseil est habilité à prendre toutes les dispositions nécessaires, après accord de la majorité des États Membres, pour résoudre à titre provisoire les cas </w:t>
      </w:r>
      <w:r w:rsidRPr="00A26EEF">
        <w:rPr>
          <w:b/>
          <w:bCs/>
        </w:rPr>
        <w:t>non prévus</w:t>
      </w:r>
      <w:r>
        <w:t xml:space="preserve"> dans la Constitution, dans la Convention et dans les Règlements administratifs, pour la solution desquels il n'est plus possible d'attendre la conférence compétente suivante.</w:t>
      </w:r>
    </w:p>
    <w:p w14:paraId="505663CF" w14:textId="2A2739EB" w:rsidR="00A26EEF" w:rsidRDefault="00A26EEF" w:rsidP="00A26EEF">
      <w:r>
        <w:t>4</w:t>
      </w:r>
      <w:r>
        <w:tab/>
        <w:t xml:space="preserve">La </w:t>
      </w:r>
      <w:r w:rsidRPr="005E43F0">
        <w:rPr>
          <w:b/>
          <w:bCs/>
        </w:rPr>
        <w:t>périodicité</w:t>
      </w:r>
      <w:r>
        <w:t xml:space="preserve"> à laquelle les Conférences de plénipotentiaires doivent avoir lieu </w:t>
      </w:r>
      <w:r w:rsidRPr="005E43F0">
        <w:rPr>
          <w:b/>
          <w:bCs/>
        </w:rPr>
        <w:t>est prévue et clairement établie</w:t>
      </w:r>
      <w:r>
        <w:t xml:space="preserve"> par la Constitution et, conformément au numéro 47 de la Constitution (paragraphe 1 de l'article 8), la Conférence de plénipotentiaires est convoquée tous les quatre ans pour examiner des questions spécifiques, ce qui est également </w:t>
      </w:r>
      <w:r w:rsidRPr="005E43F0">
        <w:rPr>
          <w:b/>
          <w:bCs/>
        </w:rPr>
        <w:t>clairement indiqué</w:t>
      </w:r>
      <w:r>
        <w:t xml:space="preserve"> dans les numéros 49 à 59 de la Constitution (alinéas </w:t>
      </w:r>
      <w:r w:rsidRPr="00B86923">
        <w:rPr>
          <w:i/>
          <w:iCs/>
        </w:rPr>
        <w:t>a)</w:t>
      </w:r>
      <w:r>
        <w:t xml:space="preserve"> à </w:t>
      </w:r>
      <w:r w:rsidRPr="00B86923">
        <w:rPr>
          <w:i/>
          <w:iCs/>
        </w:rPr>
        <w:t>k)</w:t>
      </w:r>
      <w:r>
        <w:t xml:space="preserve"> du paragraphe 2 de l'article 8).</w:t>
      </w:r>
    </w:p>
    <w:p w14:paraId="1D3FD06C" w14:textId="773C4954" w:rsidR="00A26EEF" w:rsidRDefault="00A26EEF" w:rsidP="00A26EEF">
      <w:r>
        <w:t>5</w:t>
      </w:r>
      <w:r>
        <w:tab/>
        <w:t>La Conférence de plénipotentiaires de 2022 a décidé, dans sa Résolution</w:t>
      </w:r>
      <w:r w:rsidR="00B86923">
        <w:t> </w:t>
      </w:r>
      <w:r>
        <w:t>77</w:t>
      </w:r>
      <w:r w:rsidR="00B86923">
        <w:t> </w:t>
      </w:r>
      <w:r>
        <w:t>(Rév.</w:t>
      </w:r>
      <w:r w:rsidR="00B86923">
        <w:t> </w:t>
      </w:r>
      <w:r>
        <w:t>Bucarest, 2022) relative à la planification et la durée des conférences, forums, assemblées et sessions du Conseil de l'Union (2023-2027), que la Conférence de plénipotentiaires se tiendrait pendant le dernier trimestre de 2026 à Doha (Qatar). À sa session ordinaire de 2023, le Conseil a décidé, par sa Décision 636 (C23), que les dates d'ouverture et de clôture de la Conférence de plénipotentiaires seraient du lundi</w:t>
      </w:r>
      <w:r w:rsidR="00B86923">
        <w:t> </w:t>
      </w:r>
      <w:r>
        <w:t>9</w:t>
      </w:r>
      <w:r w:rsidR="00B86923">
        <w:t> </w:t>
      </w:r>
      <w:r>
        <w:t xml:space="preserve">novembre 2026 au vendredi 27 novembre 2026. La consultation menée par voie de la Lettre circulaire N° 23/44 du 7 novembre 2023 concernant le lieu précis et les dates exactes de la Conférence de plénipotentiaires de 2026 a reçu l'accord de la majorité requise des </w:t>
      </w:r>
      <w:r w:rsidR="00B86923">
        <w:t>États </w:t>
      </w:r>
      <w:r>
        <w:t>Membres de l'UIT, conformément au numéro 47 de la Convention de l'UIT. Les États</w:t>
      </w:r>
      <w:r w:rsidR="00B86923">
        <w:t> </w:t>
      </w:r>
      <w:r>
        <w:t>Membres de l'UIT sont donc convenus que la Conférence de plénipotentiaires de 2026 (PP</w:t>
      </w:r>
      <w:r w:rsidR="00B86923">
        <w:noBreakHyphen/>
      </w:r>
      <w:r>
        <w:t>26) se tiendrait au Centre d'expositions et de congrès de Doha, du lundi 9 novembre au</w:t>
      </w:r>
      <w:r w:rsidR="00C42D64">
        <w:t> </w:t>
      </w:r>
      <w:r>
        <w:t xml:space="preserve">vendredi 27 novembre 2026 (Lettre circulaire </w:t>
      </w:r>
      <w:r w:rsidR="00B86923">
        <w:t xml:space="preserve">N° </w:t>
      </w:r>
      <w:r>
        <w:t>23/53 du 21 décembre 2023), conformément au numéro 2 de la Convention (alinéa 2 du paragraphe 1, article 1 de la Section</w:t>
      </w:r>
      <w:r w:rsidR="00C42D64">
        <w:t> </w:t>
      </w:r>
      <w:r>
        <w:t xml:space="preserve">I), compte tenu de la mise en </w:t>
      </w:r>
      <w:r w:rsidR="00B86923">
        <w:t>œuvre</w:t>
      </w:r>
      <w:r>
        <w:t xml:space="preserve"> des procédures établies aux numéros 4 à 6 des Règles générales régissant les conférences, assemblées et réunions de l'Union (les "Règles générales") (alinéas 1 et 2, Section 1, Chapitre I).</w:t>
      </w:r>
    </w:p>
    <w:p w14:paraId="342B7901" w14:textId="00C69863" w:rsidR="00A26EEF" w:rsidRDefault="00A26EEF" w:rsidP="00A26EEF">
      <w:r>
        <w:t>6</w:t>
      </w:r>
      <w:r>
        <w:tab/>
        <w:t>L'État du Qatar, gouvernement invitant, a déjà entrepris des efforts considérables pour que la Conférence de plénipotentiaires se tienne dans le pays.</w:t>
      </w:r>
    </w:p>
    <w:p w14:paraId="02CDF6EE" w14:textId="4490C446" w:rsidR="00A26EEF" w:rsidRDefault="00A26EEF" w:rsidP="00A26EEF">
      <w:r>
        <w:t>7</w:t>
      </w:r>
      <w:r>
        <w:tab/>
        <w:t xml:space="preserve">Au moment de l'élaboration de la présente contribution, le Département de la sûreté et de la sécurité de l'Organisation des Nations Unies n'avait formulé aucune recommandation directe quant à la possibilité d'organiser la Conférence de plénipotentiaires </w:t>
      </w:r>
      <w:r>
        <w:lastRenderedPageBreak/>
        <w:t>conformément aux décisions de la Conférence de plénipotentiaires de 2022 et de la session de 2023 du Conseil, même s'il subsiste des incertitudes concernant la sécurité dans la région et les risques d'escalade.</w:t>
      </w:r>
    </w:p>
    <w:p w14:paraId="6E59C7EE" w14:textId="27B77859" w:rsidR="006A11AE" w:rsidRPr="00A26EEF" w:rsidRDefault="00A26EEF" w:rsidP="00A26EEF">
      <w:r>
        <w:t>8</w:t>
      </w:r>
      <w:r>
        <w:tab/>
        <w:t xml:space="preserve">À titre exceptionnel, dans l'intervalle entre deux Conférences de plénipotentiaires ordinaires, qui sont convoquées tous les quatre ans conformément au numéro 47 de la Constitution (paragraphe 1 de l'article 8), une Conférence de plénipotentiaires extraordinaire peut être convoquée avec un ordre du jour restreint pour traiter de sujets spécifiques, conformément aux numéros 59A à 59D de la Constitution (alinéas </w:t>
      </w:r>
      <w:r w:rsidRPr="00B86923">
        <w:rPr>
          <w:i/>
          <w:iCs/>
        </w:rPr>
        <w:t>a)</w:t>
      </w:r>
      <w:r>
        <w:t xml:space="preserve">, </w:t>
      </w:r>
      <w:r w:rsidRPr="00B86923">
        <w:rPr>
          <w:i/>
          <w:iCs/>
        </w:rPr>
        <w:t>b)</w:t>
      </w:r>
      <w:r>
        <w:t xml:space="preserve"> et </w:t>
      </w:r>
      <w:r w:rsidRPr="00B86923">
        <w:rPr>
          <w:i/>
          <w:iCs/>
        </w:rPr>
        <w:t>c)</w:t>
      </w:r>
      <w:r>
        <w:t xml:space="preserve"> du paragraphe 3, article 8).</w:t>
      </w:r>
    </w:p>
    <w:p w14:paraId="0557E362" w14:textId="53ADB926" w:rsidR="006A11AE" w:rsidRDefault="005E43F0" w:rsidP="00411C49">
      <w:pPr>
        <w:pStyle w:val="Reasons"/>
      </w:pPr>
      <w:r w:rsidRPr="005E43F0">
        <w:t>9</w:t>
      </w:r>
      <w:r w:rsidRPr="005E43F0">
        <w:tab/>
        <w:t>Lorsqu</w:t>
      </w:r>
      <w:r>
        <w:t>'</w:t>
      </w:r>
      <w:r w:rsidRPr="005E43F0">
        <w:t xml:space="preserve">une Conférence de plénipotentiaires doit être réunie sans gouvernement invitant, le Secrétaire général, après entente avec le Gouvernement de la Confédération suisse, prend les dispositions nécessaires pour convoquer et organiser la </w:t>
      </w:r>
      <w:r w:rsidR="00C42D64">
        <w:t>C</w:t>
      </w:r>
      <w:r w:rsidRPr="005E43F0">
        <w:t>onférence ou l'assemblée au siège de l</w:t>
      </w:r>
      <w:r>
        <w:t>'</w:t>
      </w:r>
      <w:r w:rsidRPr="005E43F0">
        <w:t>Union, (numéro 35 des Règles générales).</w:t>
      </w:r>
    </w:p>
    <w:p w14:paraId="62036133" w14:textId="008CD9E2" w:rsidR="00B86923" w:rsidRDefault="00B86923" w:rsidP="00B86923">
      <w:pPr>
        <w:pStyle w:val="Heading1"/>
      </w:pPr>
      <w:r>
        <w:t>2</w:t>
      </w:r>
      <w:r>
        <w:tab/>
        <w:t>Conclusions</w:t>
      </w:r>
    </w:p>
    <w:p w14:paraId="36B4DB10" w14:textId="1EAA440C" w:rsidR="00B86923" w:rsidRDefault="00B86923" w:rsidP="00B86923">
      <w:pPr>
        <w:pStyle w:val="Reasons"/>
      </w:pPr>
      <w:r>
        <w:t>1</w:t>
      </w:r>
      <w:r>
        <w:tab/>
        <w:t>Conformément à la Constitution, la Conférence de plénipotentiaires est convoquée strictement une fois tous les quatre ans et la périodicité de la tenue d'une Conférence de plénipotentiaires ordinaire ne peut être modifiée sans révision des dispositions pertinentes de la Constitution.</w:t>
      </w:r>
    </w:p>
    <w:p w14:paraId="5344C01D" w14:textId="3E6CCF47" w:rsidR="00B86923" w:rsidRDefault="00B86923" w:rsidP="00B86923">
      <w:pPr>
        <w:pStyle w:val="Reasons"/>
      </w:pPr>
      <w:r>
        <w:t>2</w:t>
      </w:r>
      <w:r>
        <w:tab/>
        <w:t>Conformément à la Constitution, à la Convention et aux Règles générales, la prochaine Conférence de plénipotentiaires ordinaire doit se tenir en 2026 soit dans l'État du Qatar, soit dans la Confédération suisse, pays hôte de l'UIT.</w:t>
      </w:r>
    </w:p>
    <w:p w14:paraId="0F8B076F" w14:textId="035A1F95" w:rsidR="00B86923" w:rsidRDefault="00B86923" w:rsidP="00B86923">
      <w:pPr>
        <w:pStyle w:val="Reasons"/>
      </w:pPr>
      <w:r>
        <w:t>3</w:t>
      </w:r>
      <w:r>
        <w:tab/>
        <w:t xml:space="preserve">La prochaine Conférence de plénipotentiaires ordinaire de 2026, qu'elle ait lieu dans l'État du Qatar ou dans la Confédération suisse, est convoquée pour une durée suffisante pour permettre l'examen de tous les points inscrits à l'ordre du jour et cette durée ne peut être partagée entre ces États Membres ou aucun autre État Membre de l'Union en vertu des dispositions de l'article 1 de la Convention, du numéro 5 des Règles générales (alinéa 1 du paragraphe 2, Section 1, Chapitre I) et de la Lettre circulaire </w:t>
      </w:r>
      <w:r w:rsidRPr="00B86923">
        <w:t>N°</w:t>
      </w:r>
      <w:r>
        <w:t xml:space="preserve"> 23/53 du 21 décembre 2023.</w:t>
      </w:r>
    </w:p>
    <w:p w14:paraId="63A8DA34" w14:textId="34B891A0" w:rsidR="00B86923" w:rsidRDefault="00B86923" w:rsidP="00B86923">
      <w:pPr>
        <w:pStyle w:val="Reasons"/>
      </w:pPr>
      <w:r>
        <w:t>4</w:t>
      </w:r>
      <w:r>
        <w:tab/>
        <w:t>L'interprétation de la disposition relative à la périodicité de la Conférence de plénipotentiaires, qui se réunit tous les quatre ans, comporte des risques juridiques (numéro 47 1 de la Constitution: "</w:t>
      </w:r>
      <w:r w:rsidRPr="00B86923">
        <w:rPr>
          <w:i/>
          <w:iCs/>
        </w:rPr>
        <w:t>La Conférence de plénipotentiaires est composée de délégations représentant les Membres. Elle est convoquée tous les quatre ans</w:t>
      </w:r>
      <w:r>
        <w:t>"). Cette disposition peut être interprétée comme une obligation de tenir la Conférence de plénipotentiaires exactement quatre ans à compter de la date de fin de la Conférence de plénipotentiaires précédente, ce qui signifierait que la Conférence de plénipotentiaires de 2026 devrait débuter, au plus tard, le 14 octobre 2026.</w:t>
      </w:r>
    </w:p>
    <w:p w14:paraId="5FC7F586" w14:textId="5D83191A" w:rsidR="00B86923" w:rsidRDefault="00B86923" w:rsidP="00B86923">
      <w:pPr>
        <w:pStyle w:val="Reasons"/>
      </w:pPr>
      <w:r>
        <w:t>5</w:t>
      </w:r>
      <w:r>
        <w:tab/>
        <w:t>Dans le cas d'une interprétation plus souple de la disposition de l'article 47 de la Constitution (paragraphe 1 de l'article 8), la Conférence de plénipotentiaires de 2026 doit se tenir d'ici à la fin de 2026, au plus tard.</w:t>
      </w:r>
    </w:p>
    <w:p w14:paraId="32725C4B" w14:textId="54E58D14" w:rsidR="00B86923" w:rsidRDefault="00B86923" w:rsidP="00B86923">
      <w:pPr>
        <w:pStyle w:val="Reasons"/>
      </w:pPr>
      <w:r>
        <w:t>6</w:t>
      </w:r>
      <w:r>
        <w:tab/>
        <w:t>La convocation d'une Conférence de plénipotentiaires extraordinaire est appropriée dans les cas où il est nécessaire de traiter des sujets spécifiques qui n'ont pas pu être résolus par une Conférence de plénipotentiaires ordinaire ou qui se posent après la tenue d'une Conférence de plénipotentiaires ordinaire, nécessitent une résolution immédiate et ne peuvent attendre la prochaine Conférence ordinaire pour être réglés.</w:t>
      </w:r>
    </w:p>
    <w:p w14:paraId="706DB0F4" w14:textId="20F6BFD5" w:rsidR="00B86923" w:rsidRDefault="00B86923" w:rsidP="00B86923">
      <w:r>
        <w:lastRenderedPageBreak/>
        <w:t>7</w:t>
      </w:r>
      <w:r>
        <w:tab/>
        <w:t xml:space="preserve">En vertu de l'interprétation des dispositions de l'article 8 de la Constitution dans leur ensemble et, en particulier, des numéros 59A à 59D de la Constitution (alinéas </w:t>
      </w:r>
      <w:r w:rsidRPr="00B86923">
        <w:rPr>
          <w:i/>
          <w:iCs/>
        </w:rPr>
        <w:t>a)</w:t>
      </w:r>
      <w:r>
        <w:t xml:space="preserve">, </w:t>
      </w:r>
      <w:r w:rsidRPr="00B86923">
        <w:rPr>
          <w:i/>
          <w:iCs/>
        </w:rPr>
        <w:t>b)</w:t>
      </w:r>
      <w:r>
        <w:t xml:space="preserve"> et </w:t>
      </w:r>
      <w:r w:rsidRPr="00B86923">
        <w:rPr>
          <w:i/>
          <w:iCs/>
        </w:rPr>
        <w:t>c)</w:t>
      </w:r>
      <w:r>
        <w:t xml:space="preserve"> du paragraphe 3 de l'article 8), comme indiqué ci-avant, la décision de convoquer une Conférence de plénipotentiaires extraordinaire en 2027 </w:t>
      </w:r>
      <w:r w:rsidRPr="00654928">
        <w:t>ou durant les années suivant immédiatement la Conférence de plénipotentiaires ordinaire à venir en 2026 ne</w:t>
      </w:r>
      <w:r>
        <w:t xml:space="preserve"> peut être prise par le Conseil à sa session de 2026, avant la prochaine Conférence de plénipotentiaires ordinaire de 2026, dans la mesure où:</w:t>
      </w:r>
    </w:p>
    <w:p w14:paraId="3B2A7109" w14:textId="533CF4CB" w:rsidR="00B86923" w:rsidRDefault="00B86923" w:rsidP="00B86923">
      <w:pPr>
        <w:pStyle w:val="enumlev1"/>
      </w:pPr>
      <w:r>
        <w:t>–</w:t>
      </w:r>
      <w:r>
        <w:tab/>
        <w:t xml:space="preserve">une Conférence de plénipotentiaires ordinaire ne peut se tenir avec un ordre du jour restreint et doit traiter toutes les questions prévues aux numéros 49 à 59 de la Constitution (alinéas </w:t>
      </w:r>
      <w:r w:rsidRPr="00B86923">
        <w:rPr>
          <w:i/>
          <w:iCs/>
        </w:rPr>
        <w:t>a)</w:t>
      </w:r>
      <w:r>
        <w:t xml:space="preserve"> à </w:t>
      </w:r>
      <w:r w:rsidRPr="00B86923">
        <w:rPr>
          <w:i/>
          <w:iCs/>
        </w:rPr>
        <w:t>k)</w:t>
      </w:r>
      <w:r>
        <w:t xml:space="preserve"> du paragraphe 2, article 8);</w:t>
      </w:r>
    </w:p>
    <w:p w14:paraId="663F2B6D" w14:textId="1697A90C" w:rsidR="00B86923" w:rsidRDefault="00B86923" w:rsidP="00B86923">
      <w:pPr>
        <w:pStyle w:val="enumlev1"/>
      </w:pPr>
      <w:r>
        <w:t>–</w:t>
      </w:r>
      <w:r>
        <w:tab/>
        <w:t>une Conférence de plénipotentiaires ordinaire peut, dans des cas exceptionnels, décider de convoquer une Conférence de plénipotentiaires extraordinaire avec un ordre du jour restreint pendant la période précédant la Conférence de plénipotentiaires ordinaire suivante pour examiner des sujets spécifiques non résolus par la Conférence de plénipotentiaires ordinaire mais appelant une décision de l'organe suprême de l'Union;</w:t>
      </w:r>
    </w:p>
    <w:p w14:paraId="2071E78A" w14:textId="442D3D5B" w:rsidR="00B86923" w:rsidRDefault="00B86923" w:rsidP="00B86923">
      <w:pPr>
        <w:pStyle w:val="enumlev1"/>
      </w:pPr>
      <w:r>
        <w:t>–</w:t>
      </w:r>
      <w:r>
        <w:tab/>
        <w:t>les États Membres peuvent, si les deux tiers des États Membres de l'Union en font individuellement la demande au Secrétaire général ou sur proposition du Conseil, convoquer une Conférence de plénipotentiaires extraordinaire avec un ordre du jour restreint dans l'intervalle entre deux Conférences de plénipotentiaires ordinaires, afin d'examiner des sujets spécifiques qui appellent une décision de l'organe suprême de l'Union.</w:t>
      </w:r>
    </w:p>
    <w:p w14:paraId="4CCC6509" w14:textId="6487FBDE" w:rsidR="00B86923" w:rsidRDefault="00B86923" w:rsidP="00B86923">
      <w:r>
        <w:t>8</w:t>
      </w:r>
      <w:r>
        <w:tab/>
        <w:t>De nombreux États Membres et Membres de Secteur ont déjà payé les réservations d'hôtel pour leur délégation à Doha, la location d'installations pour des réceptions, les supports promotionnels, etc.</w:t>
      </w:r>
    </w:p>
    <w:p w14:paraId="584CE42F" w14:textId="3253D8AC" w:rsidR="00B86923" w:rsidRDefault="00B86923" w:rsidP="00B86923">
      <w:r>
        <w:t>9</w:t>
      </w:r>
      <w:r>
        <w:tab/>
        <w:t>En outre, si la Conférence de plénipotentiaires est reportée à janvier 2027, de nombreux États Membres pourraient rencontrer des difficultés pour financer les c</w:t>
      </w:r>
      <w:r w:rsidRPr="00B86923">
        <w:t>oûts reportés du budget 2026 à 2027</w:t>
      </w:r>
      <w:r>
        <w:t>, en particulier si les paiements pour la participation de la délégation à la Conférence de plénipotentiaires de 2026 ont déjà été effectués.</w:t>
      </w:r>
    </w:p>
    <w:p w14:paraId="248BD224" w14:textId="55AC03DE" w:rsidR="00B86923" w:rsidRDefault="00B86923" w:rsidP="00B86923">
      <w:r>
        <w:t>10</w:t>
      </w:r>
      <w:r>
        <w:tab/>
        <w:t xml:space="preserve">En outre, dans certains États Membres, les fonds budgétaires sont alloués aux organisations à la mi-janvier et, dans d'autres, les vacances de Noël durent du 31 décembre 2026 au 10 janvier 2027 (le 11 janvier 2027 étant le premier jour ouvrable), ce qui complique encore la situation en ce qui concerne le financement et l'envoi des délégations destinées à participer à la Conférence de plénipotentiaires aux dates proposées par la Secrétaire générale de l'UIT, soit du 11 au 29 janvier 2027, comme indiqué dans le Document </w:t>
      </w:r>
      <w:hyperlink r:id="rId7" w:history="1">
        <w:r w:rsidRPr="00B86923">
          <w:rPr>
            <w:rStyle w:val="Hyperlink"/>
            <w:rFonts w:eastAsia="Times New Roman" w:cs="Times New Roman"/>
            <w:szCs w:val="20"/>
          </w:rPr>
          <w:t>C26-EXT/2</w:t>
        </w:r>
      </w:hyperlink>
      <w:r>
        <w:t>.</w:t>
      </w:r>
    </w:p>
    <w:p w14:paraId="771512D0" w14:textId="3EC37D31" w:rsidR="00654928" w:rsidRDefault="00654928" w:rsidP="00654928">
      <w:pPr>
        <w:pStyle w:val="Heading1"/>
      </w:pPr>
      <w:r>
        <w:t>3</w:t>
      </w:r>
      <w:r>
        <w:tab/>
        <w:t>Proposition</w:t>
      </w:r>
    </w:p>
    <w:p w14:paraId="7E7FBBE8" w14:textId="2E50D8A3" w:rsidR="00654928" w:rsidRDefault="00654928" w:rsidP="00654928">
      <w:r>
        <w:t>Compte tenu de ce qui précède et du fait que la périodicité des Conférences de plénipotentiaires est clairement établie par la Constitution et que, conformément à l'article 47 de la Constitution (paragraphe 1 de l'article 8), la périodicité est de quatre ans, les auteurs de la présente contribution proposent que le Conseil:</w:t>
      </w:r>
    </w:p>
    <w:p w14:paraId="0558A759" w14:textId="13FEB81E" w:rsidR="00654928" w:rsidRDefault="00654928" w:rsidP="00654928">
      <w:pPr>
        <w:pStyle w:val="enumlev1"/>
      </w:pPr>
      <w:r>
        <w:t>1)</w:t>
      </w:r>
      <w:r>
        <w:tab/>
        <w:t>adresse ses remerciements à l'État du Qatar pour les efforts qu'il déploie en vue d'accueillir la Conférence de plénipotentiaires de 2026;</w:t>
      </w:r>
    </w:p>
    <w:p w14:paraId="3518C2BF" w14:textId="2FB0A023" w:rsidR="00654928" w:rsidRDefault="00654928" w:rsidP="00654928">
      <w:pPr>
        <w:pStyle w:val="enumlev1"/>
      </w:pPr>
      <w:r>
        <w:lastRenderedPageBreak/>
        <w:t>2)</w:t>
      </w:r>
      <w:r>
        <w:tab/>
        <w:t xml:space="preserve">appuie la convocation de la Conférence de plénipotentiaires strictement en 2026, dans un délai qui permette l'examen de l'ordre du jour complet, conformément aux numéros 49 à 59 de la Constitution (alinéas </w:t>
      </w:r>
      <w:r w:rsidRPr="00654928">
        <w:rPr>
          <w:i/>
          <w:iCs/>
        </w:rPr>
        <w:t>a)</w:t>
      </w:r>
      <w:r>
        <w:t xml:space="preserve"> à </w:t>
      </w:r>
      <w:r w:rsidRPr="00654928">
        <w:rPr>
          <w:i/>
          <w:iCs/>
        </w:rPr>
        <w:t>k)</w:t>
      </w:r>
      <w:r>
        <w:t xml:space="preserve"> du paragraphe 2, article 8);</w:t>
      </w:r>
    </w:p>
    <w:p w14:paraId="663ABB35" w14:textId="33945BB9" w:rsidR="00654928" w:rsidRPr="00B86923" w:rsidRDefault="00654928" w:rsidP="00654928">
      <w:pPr>
        <w:pStyle w:val="enumlev1"/>
      </w:pPr>
      <w:r>
        <w:t>3)</w:t>
      </w:r>
      <w:r>
        <w:tab/>
        <w:t>tienne compte des incidences financières lors de l'examen des propositions visant à modifier le lieu, les dates et la durée de la Conférence de plénipotentiaires, qui influent non seulement sur les coûts de l'Union, de l'État invitant et du pays hôte de l'Union, mais aussi sur les coûts encourus par tous les États Membres et Membres de Secteur de l'UIT pour l'envoi de leurs délégations à la Conférence de plénipotentiaires, tels que les coûts déjà engagés (réservation d'hôtels et d'installations, billets d'avion et de transport, etc.) et les coûts à venir, y compris les pénalités et les surtaxes éventuelles, ainsi que les restrictions budgétaires existantes liées à l'impossibilité de reporter sur 2027 les coûts financiers encourus ou prévus dans les budgets pour 2026.</w:t>
      </w:r>
    </w:p>
    <w:p w14:paraId="17BAEC10" w14:textId="77777777" w:rsidR="00897553" w:rsidRDefault="006A11AE" w:rsidP="002D2336">
      <w:pPr>
        <w:jc w:val="center"/>
      </w:pPr>
      <w:r>
        <w:t>______________</w:t>
      </w:r>
    </w:p>
    <w:sectPr w:rsidR="00897553" w:rsidSect="00D72F49">
      <w:headerReference w:type="even" r:id="rId8"/>
      <w:footerReference w:type="even" r:id="rId9"/>
      <w:footerReference w:type="default" r:id="rId10"/>
      <w:headerReference w:type="first" r:id="rId11"/>
      <w:footerReference w:type="first" r:id="rId12"/>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F4F2" w14:textId="77777777" w:rsidR="008F66B7" w:rsidRDefault="008F66B7">
      <w:r>
        <w:separator/>
      </w:r>
    </w:p>
  </w:endnote>
  <w:endnote w:type="continuationSeparator" w:id="0">
    <w:p w14:paraId="0D5B353B" w14:textId="77777777" w:rsidR="008F66B7" w:rsidRDefault="008F6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7386" w14:textId="30CDCA60" w:rsidR="00732045" w:rsidRDefault="007D72F2">
    <w:pPr>
      <w:pStyle w:val="Footer"/>
    </w:pPr>
    <w:fldSimple w:instr=" FILENAME \p \* MERGEFORMAT ">
      <w:r>
        <w:t>Document3</w:t>
      </w:r>
    </w:fldSimple>
    <w:r w:rsidR="00732045">
      <w:tab/>
    </w:r>
    <w:r w:rsidR="002F1B76">
      <w:fldChar w:fldCharType="begin"/>
    </w:r>
    <w:r w:rsidR="00732045">
      <w:instrText xml:space="preserve"> savedate \@ dd.MM.yy </w:instrText>
    </w:r>
    <w:r w:rsidR="002F1B76">
      <w:fldChar w:fldCharType="separate"/>
    </w:r>
    <w:r w:rsidR="00554E24">
      <w:t>25.08.26</w:t>
    </w:r>
    <w:r w:rsidR="002F1B76">
      <w:fldChar w:fldCharType="end"/>
    </w:r>
    <w:r w:rsidR="00732045">
      <w:tab/>
    </w:r>
    <w:r w:rsidR="002F1B76">
      <w:fldChar w:fldCharType="begin"/>
    </w:r>
    <w:r w:rsidR="00732045">
      <w:instrText xml:space="preserve"> printdate \@ dd.MM.yy </w:instrText>
    </w:r>
    <w:r w:rsidR="002F1B76">
      <w:fldChar w:fldCharType="separate"/>
    </w:r>
    <w:r>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BC2A019" w14:textId="77777777" w:rsidTr="00E31DCE">
      <w:trPr>
        <w:jc w:val="center"/>
      </w:trPr>
      <w:tc>
        <w:tcPr>
          <w:tcW w:w="1803" w:type="dxa"/>
          <w:vAlign w:val="center"/>
        </w:tcPr>
        <w:p w14:paraId="6DAED7F3" w14:textId="1AEBC1B2" w:rsidR="00A51849" w:rsidRDefault="00A26EEF" w:rsidP="00A51849">
          <w:pPr>
            <w:pStyle w:val="Header"/>
            <w:jc w:val="left"/>
            <w:rPr>
              <w:noProof/>
            </w:rPr>
          </w:pPr>
          <w:r>
            <w:rPr>
              <w:noProof/>
            </w:rPr>
            <w:t>2602168</w:t>
          </w:r>
        </w:p>
      </w:tc>
      <w:tc>
        <w:tcPr>
          <w:tcW w:w="8261" w:type="dxa"/>
        </w:tcPr>
        <w:p w14:paraId="679F77C5" w14:textId="7D1C7FE7"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A26EEF">
            <w:rPr>
              <w:bCs/>
            </w:rPr>
            <w:t>4</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2484CFA0"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7400CBE7" w14:textId="77777777" w:rsidTr="00E31DCE">
      <w:trPr>
        <w:jc w:val="center"/>
      </w:trPr>
      <w:tc>
        <w:tcPr>
          <w:tcW w:w="1803" w:type="dxa"/>
          <w:vAlign w:val="center"/>
        </w:tcPr>
        <w:p w14:paraId="698DC494"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7EBB56E0" w14:textId="519D701E"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A26EEF">
            <w:rPr>
              <w:bCs/>
            </w:rPr>
            <w:t>4</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5D9B58EC"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50FC" w14:textId="77777777" w:rsidR="008F66B7" w:rsidRDefault="008F66B7">
      <w:r>
        <w:t>____________________</w:t>
      </w:r>
    </w:p>
  </w:footnote>
  <w:footnote w:type="continuationSeparator" w:id="0">
    <w:p w14:paraId="79A4561A" w14:textId="77777777" w:rsidR="008F66B7" w:rsidRDefault="008F6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0662"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2985D9C2"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0EC9" w14:textId="77777777" w:rsidR="00A51849" w:rsidRPr="006B1F53" w:rsidRDefault="006B1F53" w:rsidP="006B1F53">
    <w:pPr>
      <w:pStyle w:val="Header"/>
      <w:jc w:val="left"/>
    </w:pPr>
    <w:r>
      <w:rPr>
        <w:noProof/>
      </w:rPr>
      <w:drawing>
        <wp:inline distT="0" distB="0" distL="0" distR="0" wp14:anchorId="7484B248" wp14:editId="2639B8A7">
          <wp:extent cx="3107780" cy="936000"/>
          <wp:effectExtent l="0" t="0" r="0" b="0"/>
          <wp:docPr id="162899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98215" name="Picture 1628998215"/>
                  <pic:cNvPicPr/>
                </pic:nvPicPr>
                <pic:blipFill>
                  <a:blip r:embed="rId1">
                    <a:extLst>
                      <a:ext uri="{28A0092B-C50C-407E-A947-70E740481C1C}">
                        <a14:useLocalDpi xmlns:a14="http://schemas.microsoft.com/office/drawing/2010/main" val="0"/>
                      </a:ext>
                    </a:extLst>
                  </a:blip>
                  <a:stretch>
                    <a:fillRect/>
                  </a:stretch>
                </pic:blipFill>
                <pic:spPr>
                  <a:xfrm>
                    <a:off x="0" y="0"/>
                    <a:ext cx="3107780"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F2"/>
    <w:rsid w:val="0001696F"/>
    <w:rsid w:val="00076A2C"/>
    <w:rsid w:val="000D0D0A"/>
    <w:rsid w:val="000E303B"/>
    <w:rsid w:val="00103163"/>
    <w:rsid w:val="00106B19"/>
    <w:rsid w:val="001133EF"/>
    <w:rsid w:val="00115D93"/>
    <w:rsid w:val="001247A8"/>
    <w:rsid w:val="001342E0"/>
    <w:rsid w:val="001370B2"/>
    <w:rsid w:val="001378C0"/>
    <w:rsid w:val="001658F9"/>
    <w:rsid w:val="0018694A"/>
    <w:rsid w:val="0019129B"/>
    <w:rsid w:val="001A3287"/>
    <w:rsid w:val="001A6508"/>
    <w:rsid w:val="001C7BBC"/>
    <w:rsid w:val="001D4C31"/>
    <w:rsid w:val="001E4D21"/>
    <w:rsid w:val="00207CD1"/>
    <w:rsid w:val="00226657"/>
    <w:rsid w:val="002477A2"/>
    <w:rsid w:val="00263A51"/>
    <w:rsid w:val="00267E02"/>
    <w:rsid w:val="00271321"/>
    <w:rsid w:val="00277DEA"/>
    <w:rsid w:val="002A5D44"/>
    <w:rsid w:val="002C3F32"/>
    <w:rsid w:val="002C4E3D"/>
    <w:rsid w:val="002D2336"/>
    <w:rsid w:val="002E0BC4"/>
    <w:rsid w:val="002F1B76"/>
    <w:rsid w:val="0033568E"/>
    <w:rsid w:val="00355FF5"/>
    <w:rsid w:val="00361350"/>
    <w:rsid w:val="003C3FAE"/>
    <w:rsid w:val="004038CB"/>
    <w:rsid w:val="0040546F"/>
    <w:rsid w:val="004177BD"/>
    <w:rsid w:val="0042404A"/>
    <w:rsid w:val="0044618F"/>
    <w:rsid w:val="00465C35"/>
    <w:rsid w:val="0046769A"/>
    <w:rsid w:val="00475FB3"/>
    <w:rsid w:val="004C37A9"/>
    <w:rsid w:val="004D1D50"/>
    <w:rsid w:val="004F259E"/>
    <w:rsid w:val="004F633A"/>
    <w:rsid w:val="00504C7F"/>
    <w:rsid w:val="00511F1D"/>
    <w:rsid w:val="00520F36"/>
    <w:rsid w:val="00524E8D"/>
    <w:rsid w:val="00534E13"/>
    <w:rsid w:val="00540615"/>
    <w:rsid w:val="00540A6D"/>
    <w:rsid w:val="00553536"/>
    <w:rsid w:val="00554E24"/>
    <w:rsid w:val="00566679"/>
    <w:rsid w:val="00571EEA"/>
    <w:rsid w:val="00575417"/>
    <w:rsid w:val="005768E1"/>
    <w:rsid w:val="005B1938"/>
    <w:rsid w:val="005C3890"/>
    <w:rsid w:val="005E43F0"/>
    <w:rsid w:val="005F7BFE"/>
    <w:rsid w:val="00600017"/>
    <w:rsid w:val="00602682"/>
    <w:rsid w:val="006235CA"/>
    <w:rsid w:val="0062366E"/>
    <w:rsid w:val="00654928"/>
    <w:rsid w:val="006643AB"/>
    <w:rsid w:val="006A11AE"/>
    <w:rsid w:val="006B1F53"/>
    <w:rsid w:val="006B224B"/>
    <w:rsid w:val="006F0A53"/>
    <w:rsid w:val="0071402E"/>
    <w:rsid w:val="007210CD"/>
    <w:rsid w:val="00732045"/>
    <w:rsid w:val="0073275D"/>
    <w:rsid w:val="007369DB"/>
    <w:rsid w:val="0077110E"/>
    <w:rsid w:val="007956C2"/>
    <w:rsid w:val="00796BDB"/>
    <w:rsid w:val="007A187E"/>
    <w:rsid w:val="007C72C2"/>
    <w:rsid w:val="007D4436"/>
    <w:rsid w:val="007D72F2"/>
    <w:rsid w:val="007F257A"/>
    <w:rsid w:val="007F3665"/>
    <w:rsid w:val="00800037"/>
    <w:rsid w:val="0082299A"/>
    <w:rsid w:val="0083391C"/>
    <w:rsid w:val="0084546D"/>
    <w:rsid w:val="00861D73"/>
    <w:rsid w:val="00882919"/>
    <w:rsid w:val="00897553"/>
    <w:rsid w:val="008A4E87"/>
    <w:rsid w:val="008D76E6"/>
    <w:rsid w:val="008F66B7"/>
    <w:rsid w:val="0092392D"/>
    <w:rsid w:val="0093234A"/>
    <w:rsid w:val="00956A78"/>
    <w:rsid w:val="0097363B"/>
    <w:rsid w:val="00973F53"/>
    <w:rsid w:val="00974970"/>
    <w:rsid w:val="0098348E"/>
    <w:rsid w:val="009A6BAA"/>
    <w:rsid w:val="009A76A8"/>
    <w:rsid w:val="009C307F"/>
    <w:rsid w:val="009C353C"/>
    <w:rsid w:val="009D5955"/>
    <w:rsid w:val="009F0FB8"/>
    <w:rsid w:val="00A01F4F"/>
    <w:rsid w:val="00A109AF"/>
    <w:rsid w:val="00A125FB"/>
    <w:rsid w:val="00A2113E"/>
    <w:rsid w:val="00A23A51"/>
    <w:rsid w:val="00A24607"/>
    <w:rsid w:val="00A25CD3"/>
    <w:rsid w:val="00A26EEF"/>
    <w:rsid w:val="00A51849"/>
    <w:rsid w:val="00A709FE"/>
    <w:rsid w:val="00A73C60"/>
    <w:rsid w:val="00A82767"/>
    <w:rsid w:val="00AA332F"/>
    <w:rsid w:val="00AA7BBB"/>
    <w:rsid w:val="00AB64A8"/>
    <w:rsid w:val="00AC0266"/>
    <w:rsid w:val="00AC0F1D"/>
    <w:rsid w:val="00AD24EC"/>
    <w:rsid w:val="00B27B00"/>
    <w:rsid w:val="00B309F9"/>
    <w:rsid w:val="00B32B60"/>
    <w:rsid w:val="00B51005"/>
    <w:rsid w:val="00B61619"/>
    <w:rsid w:val="00B86923"/>
    <w:rsid w:val="00BB38C1"/>
    <w:rsid w:val="00BB4545"/>
    <w:rsid w:val="00BD5873"/>
    <w:rsid w:val="00BF4B60"/>
    <w:rsid w:val="00C049D7"/>
    <w:rsid w:val="00C04BE3"/>
    <w:rsid w:val="00C25D29"/>
    <w:rsid w:val="00C2625E"/>
    <w:rsid w:val="00C27A7C"/>
    <w:rsid w:val="00C42437"/>
    <w:rsid w:val="00C42D64"/>
    <w:rsid w:val="00C67ECD"/>
    <w:rsid w:val="00CA08ED"/>
    <w:rsid w:val="00CC6EAA"/>
    <w:rsid w:val="00CE5172"/>
    <w:rsid w:val="00CF0534"/>
    <w:rsid w:val="00CF183B"/>
    <w:rsid w:val="00D375CD"/>
    <w:rsid w:val="00D37B53"/>
    <w:rsid w:val="00D553A2"/>
    <w:rsid w:val="00D72F49"/>
    <w:rsid w:val="00D774D3"/>
    <w:rsid w:val="00D904E8"/>
    <w:rsid w:val="00DA08C3"/>
    <w:rsid w:val="00DB5A3E"/>
    <w:rsid w:val="00DC22AA"/>
    <w:rsid w:val="00DD1A99"/>
    <w:rsid w:val="00DE62C6"/>
    <w:rsid w:val="00DF74DD"/>
    <w:rsid w:val="00E25AD0"/>
    <w:rsid w:val="00E4428F"/>
    <w:rsid w:val="00E4448E"/>
    <w:rsid w:val="00E47427"/>
    <w:rsid w:val="00E93668"/>
    <w:rsid w:val="00E95647"/>
    <w:rsid w:val="00EB6350"/>
    <w:rsid w:val="00ED799B"/>
    <w:rsid w:val="00F15B57"/>
    <w:rsid w:val="00F35EF4"/>
    <w:rsid w:val="00F37FE5"/>
    <w:rsid w:val="00F427DB"/>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8D44A"/>
  <w15:docId w15:val="{F0C02000-4C73-4054-9D24-0A653AC1A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6B1F53"/>
    <w:pPr>
      <w:framePr w:hSpace="181" w:wrap="around" w:vAnchor="page" w:hAnchor="page" w:x="1589" w:y="2314"/>
      <w:spacing w:before="840"/>
    </w:pPr>
    <w:rPr>
      <w:rFonts w:cstheme="minorHAnsi"/>
      <w:b/>
      <w:color w:val="000000"/>
      <w:sz w:val="32"/>
      <w:szCs w:val="32"/>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u.int/md/S26-C26EXT-C-0002/f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GS\PF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PF_Council26EXT.dotx</Template>
  <TotalTime>0</TotalTime>
  <Pages>5</Pages>
  <Words>1801</Words>
  <Characters>9780</Characters>
  <Application>Microsoft Office Word</Application>
  <DocSecurity>0</DocSecurity>
  <Lines>165</Lines>
  <Paragraphs>47</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11534</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tribution multipays - Lieu précis et dates exactes de la Conférence de plénipotentiaires de 2026 de l'UIT</dc:title>
  <dc:subject>Session extraordinaire du Conseil 2026 de l'UIT</dc:subject>
  <dc:creator>French</dc:creator>
  <cp:keywords>C26-EXT; C26; C2026; Council 2026; PP26</cp:keywords>
  <dc:description/>
  <cp:lastModifiedBy>ITUGBS</cp:lastModifiedBy>
  <cp:revision>2</cp:revision>
  <cp:lastPrinted>2000-07-18T08:55:00Z</cp:lastPrinted>
  <dcterms:created xsi:type="dcterms:W3CDTF">2026-08-25T09:26:00Z</dcterms:created>
  <dcterms:modified xsi:type="dcterms:W3CDTF">2026-08-25T09:26:00Z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