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BD7905" w14:paraId="686BEFA3" w14:textId="77777777" w:rsidTr="00954C49">
        <w:trPr>
          <w:cantSplit/>
          <w:trHeight w:val="23"/>
        </w:trPr>
        <w:tc>
          <w:tcPr>
            <w:tcW w:w="3969" w:type="dxa"/>
            <w:vMerge w:val="restart"/>
            <w:tcMar>
              <w:left w:w="0" w:type="dxa"/>
            </w:tcMar>
          </w:tcPr>
          <w:p w14:paraId="12495082" w14:textId="63A16A6E" w:rsidR="00AD3606" w:rsidRPr="00BD7905" w:rsidRDefault="00AD3606" w:rsidP="00954C49">
            <w:pPr>
              <w:tabs>
                <w:tab w:val="left" w:pos="851"/>
              </w:tabs>
              <w:spacing w:before="0" w:line="240" w:lineRule="atLeast"/>
              <w:rPr>
                <w:b/>
                <w:lang w:val="en-GB"/>
              </w:rPr>
            </w:pPr>
            <w:bookmarkStart w:id="0" w:name="dmeeting" w:colFirst="0" w:colLast="0"/>
            <w:bookmarkStart w:id="1" w:name="dnum" w:colFirst="1" w:colLast="1"/>
            <w:bookmarkStart w:id="2" w:name="_Hlk133421839"/>
            <w:bookmarkStart w:id="3" w:name="_Hlk133421856"/>
            <w:bookmarkStart w:id="4" w:name="_Hlk133422370"/>
            <w:bookmarkStart w:id="5" w:name="_Hlk133586559"/>
          </w:p>
        </w:tc>
        <w:tc>
          <w:tcPr>
            <w:tcW w:w="5245" w:type="dxa"/>
          </w:tcPr>
          <w:p w14:paraId="21A23F87" w14:textId="36564C96" w:rsidR="00AD3606" w:rsidRPr="00BD7905" w:rsidRDefault="00AD3606" w:rsidP="00954C49">
            <w:pPr>
              <w:tabs>
                <w:tab w:val="left" w:pos="851"/>
              </w:tabs>
              <w:spacing w:before="0" w:line="240" w:lineRule="atLeast"/>
              <w:jc w:val="right"/>
              <w:rPr>
                <w:b/>
                <w:lang w:val="en-GB"/>
              </w:rPr>
            </w:pPr>
            <w:r w:rsidRPr="00BD7905">
              <w:rPr>
                <w:b/>
                <w:lang w:val="en-GB"/>
              </w:rPr>
              <w:t>Document C2</w:t>
            </w:r>
            <w:r w:rsidR="00DE532B" w:rsidRPr="00BD7905">
              <w:rPr>
                <w:b/>
                <w:lang w:val="en-GB"/>
              </w:rPr>
              <w:t>6</w:t>
            </w:r>
            <w:r w:rsidR="00C07960" w:rsidRPr="00BD7905">
              <w:rPr>
                <w:b/>
                <w:lang w:val="en-GB"/>
              </w:rPr>
              <w:t>-EXT</w:t>
            </w:r>
            <w:r w:rsidRPr="00BD7905">
              <w:rPr>
                <w:b/>
                <w:lang w:val="en-GB"/>
              </w:rPr>
              <w:t>/</w:t>
            </w:r>
            <w:r w:rsidR="003B731D" w:rsidRPr="00BD7905">
              <w:rPr>
                <w:b/>
                <w:lang w:val="en-GB"/>
              </w:rPr>
              <w:t>4</w:t>
            </w:r>
            <w:r w:rsidRPr="00BD7905">
              <w:rPr>
                <w:b/>
                <w:lang w:val="en-GB"/>
              </w:rPr>
              <w:t>-E</w:t>
            </w:r>
          </w:p>
        </w:tc>
      </w:tr>
      <w:tr w:rsidR="00AD3606" w:rsidRPr="00BD7905" w14:paraId="366D2CB6" w14:textId="77777777" w:rsidTr="00954C49">
        <w:trPr>
          <w:cantSplit/>
        </w:trPr>
        <w:tc>
          <w:tcPr>
            <w:tcW w:w="3969" w:type="dxa"/>
            <w:vMerge/>
          </w:tcPr>
          <w:p w14:paraId="0FD53901" w14:textId="77777777" w:rsidR="00AD3606" w:rsidRPr="00BD7905" w:rsidRDefault="00AD3606" w:rsidP="00954C49">
            <w:pPr>
              <w:tabs>
                <w:tab w:val="left" w:pos="851"/>
              </w:tabs>
              <w:spacing w:line="240" w:lineRule="atLeast"/>
              <w:rPr>
                <w:b/>
                <w:lang w:val="en-GB"/>
              </w:rPr>
            </w:pPr>
            <w:bookmarkStart w:id="6" w:name="ddate" w:colFirst="1" w:colLast="1"/>
            <w:bookmarkEnd w:id="0"/>
            <w:bookmarkEnd w:id="1"/>
          </w:p>
        </w:tc>
        <w:tc>
          <w:tcPr>
            <w:tcW w:w="5245" w:type="dxa"/>
          </w:tcPr>
          <w:p w14:paraId="01F8875A" w14:textId="2C22B4FA" w:rsidR="00AD3606" w:rsidRPr="00BD7905" w:rsidRDefault="003B731D" w:rsidP="00954C49">
            <w:pPr>
              <w:tabs>
                <w:tab w:val="left" w:pos="851"/>
              </w:tabs>
              <w:spacing w:before="0"/>
              <w:jc w:val="right"/>
              <w:rPr>
                <w:b/>
                <w:lang w:val="en-GB"/>
              </w:rPr>
            </w:pPr>
            <w:r w:rsidRPr="00BD7905">
              <w:rPr>
                <w:b/>
                <w:lang w:val="en-GB"/>
              </w:rPr>
              <w:t>24 August 2026</w:t>
            </w:r>
          </w:p>
        </w:tc>
      </w:tr>
      <w:tr w:rsidR="00AD3606" w:rsidRPr="00BD7905" w14:paraId="18B7C4A0" w14:textId="77777777" w:rsidTr="00954C49">
        <w:trPr>
          <w:cantSplit/>
          <w:trHeight w:val="23"/>
        </w:trPr>
        <w:tc>
          <w:tcPr>
            <w:tcW w:w="3969" w:type="dxa"/>
            <w:vMerge/>
          </w:tcPr>
          <w:p w14:paraId="1559119F" w14:textId="77777777" w:rsidR="00AD3606" w:rsidRPr="00BD7905" w:rsidRDefault="00AD3606" w:rsidP="00954C49">
            <w:pPr>
              <w:tabs>
                <w:tab w:val="left" w:pos="851"/>
              </w:tabs>
              <w:spacing w:line="240" w:lineRule="atLeast"/>
              <w:rPr>
                <w:b/>
                <w:lang w:val="en-GB"/>
              </w:rPr>
            </w:pPr>
            <w:bookmarkStart w:id="7" w:name="dorlang" w:colFirst="1" w:colLast="1"/>
            <w:bookmarkEnd w:id="6"/>
          </w:p>
        </w:tc>
        <w:tc>
          <w:tcPr>
            <w:tcW w:w="5245" w:type="dxa"/>
          </w:tcPr>
          <w:p w14:paraId="1505C087" w14:textId="0692DE13" w:rsidR="00AD3606" w:rsidRPr="00BD7905" w:rsidRDefault="00AD3606" w:rsidP="00954C49">
            <w:pPr>
              <w:tabs>
                <w:tab w:val="left" w:pos="851"/>
              </w:tabs>
              <w:spacing w:before="0" w:line="240" w:lineRule="atLeast"/>
              <w:jc w:val="right"/>
              <w:rPr>
                <w:b/>
                <w:lang w:val="en-GB"/>
              </w:rPr>
            </w:pPr>
            <w:r w:rsidRPr="00BD7905">
              <w:rPr>
                <w:b/>
                <w:lang w:val="en-GB"/>
              </w:rPr>
              <w:t xml:space="preserve">Original: </w:t>
            </w:r>
            <w:r w:rsidR="003B731D" w:rsidRPr="00BD7905">
              <w:rPr>
                <w:b/>
                <w:lang w:val="en-GB"/>
              </w:rPr>
              <w:t>Russian</w:t>
            </w:r>
          </w:p>
        </w:tc>
      </w:tr>
      <w:tr w:rsidR="00472BAD" w:rsidRPr="00BD7905" w14:paraId="32AAF804" w14:textId="77777777" w:rsidTr="00954C49">
        <w:trPr>
          <w:cantSplit/>
          <w:trHeight w:val="23"/>
        </w:trPr>
        <w:tc>
          <w:tcPr>
            <w:tcW w:w="3969" w:type="dxa"/>
          </w:tcPr>
          <w:p w14:paraId="5CFEEFD6" w14:textId="77777777" w:rsidR="00472BAD" w:rsidRPr="00BD7905" w:rsidRDefault="00472BAD" w:rsidP="00954C49">
            <w:pPr>
              <w:tabs>
                <w:tab w:val="left" w:pos="851"/>
              </w:tabs>
              <w:spacing w:line="240" w:lineRule="atLeast"/>
              <w:rPr>
                <w:b/>
                <w:lang w:val="en-GB"/>
              </w:rPr>
            </w:pPr>
          </w:p>
        </w:tc>
        <w:tc>
          <w:tcPr>
            <w:tcW w:w="5245" w:type="dxa"/>
          </w:tcPr>
          <w:p w14:paraId="3B43CA0C" w14:textId="77777777" w:rsidR="00472BAD" w:rsidRPr="00BD7905" w:rsidRDefault="00472BAD" w:rsidP="00954C49">
            <w:pPr>
              <w:tabs>
                <w:tab w:val="left" w:pos="851"/>
              </w:tabs>
              <w:spacing w:before="0" w:line="240" w:lineRule="atLeast"/>
              <w:jc w:val="right"/>
              <w:rPr>
                <w:b/>
                <w:lang w:val="en-GB"/>
              </w:rPr>
            </w:pPr>
          </w:p>
        </w:tc>
      </w:tr>
      <w:tr w:rsidR="00AD3606" w:rsidRPr="00BD7905" w14:paraId="74CF4B88" w14:textId="77777777" w:rsidTr="00954C49">
        <w:trPr>
          <w:cantSplit/>
        </w:trPr>
        <w:tc>
          <w:tcPr>
            <w:tcW w:w="9214" w:type="dxa"/>
            <w:gridSpan w:val="2"/>
            <w:tcMar>
              <w:left w:w="0" w:type="dxa"/>
            </w:tcMar>
          </w:tcPr>
          <w:p w14:paraId="63F97A22" w14:textId="45C64DBF" w:rsidR="00AD3606" w:rsidRPr="00BD7905" w:rsidRDefault="003B731D" w:rsidP="00C07960">
            <w:pPr>
              <w:pStyle w:val="Source"/>
              <w:jc w:val="left"/>
              <w:rPr>
                <w:lang w:val="en-GB"/>
              </w:rPr>
            </w:pPr>
            <w:bookmarkStart w:id="8" w:name="dsource" w:colFirst="0" w:colLast="0"/>
            <w:bookmarkEnd w:id="7"/>
            <w:r w:rsidRPr="00BD7905">
              <w:rPr>
                <w:lang w:val="en-GB"/>
              </w:rPr>
              <w:t>Russian Federation</w:t>
            </w:r>
          </w:p>
        </w:tc>
      </w:tr>
      <w:tr w:rsidR="00AD3606" w:rsidRPr="00BD7905" w14:paraId="1E6CCDA2" w14:textId="77777777" w:rsidTr="00954C49">
        <w:trPr>
          <w:cantSplit/>
        </w:trPr>
        <w:tc>
          <w:tcPr>
            <w:tcW w:w="9214" w:type="dxa"/>
            <w:gridSpan w:val="2"/>
            <w:tcMar>
              <w:left w:w="0" w:type="dxa"/>
            </w:tcMar>
          </w:tcPr>
          <w:p w14:paraId="4F9190CC" w14:textId="2F14460B" w:rsidR="00AD3606" w:rsidRPr="00BD7905" w:rsidRDefault="003B731D" w:rsidP="00954C49">
            <w:pPr>
              <w:pStyle w:val="Subtitle"/>
              <w:framePr w:hSpace="0" w:wrap="auto" w:hAnchor="text" w:xAlign="left" w:yAlign="inline"/>
            </w:pPr>
            <w:bookmarkStart w:id="9" w:name="dtitle1" w:colFirst="0" w:colLast="0"/>
            <w:bookmarkEnd w:id="8"/>
            <w:r w:rsidRPr="00BD7905">
              <w:t>ON THE PRECISE PLACE AND EXACT DATES OF THE 2026 ITU PLENIPOTENTIARY CONFERENCE</w:t>
            </w:r>
          </w:p>
        </w:tc>
      </w:tr>
      <w:tr w:rsidR="00AD3606" w:rsidRPr="00BD7905" w14:paraId="6C27F40D" w14:textId="77777777" w:rsidTr="00954C49">
        <w:trPr>
          <w:cantSplit/>
        </w:trPr>
        <w:tc>
          <w:tcPr>
            <w:tcW w:w="9214" w:type="dxa"/>
            <w:gridSpan w:val="2"/>
            <w:tcBorders>
              <w:top w:val="single" w:sz="4" w:space="0" w:color="auto"/>
              <w:bottom w:val="single" w:sz="4" w:space="0" w:color="auto"/>
            </w:tcBorders>
            <w:tcMar>
              <w:left w:w="0" w:type="dxa"/>
            </w:tcMar>
          </w:tcPr>
          <w:p w14:paraId="4F198C6D" w14:textId="77777777" w:rsidR="00AD3606" w:rsidRPr="00BD7905" w:rsidRDefault="00F16BAB" w:rsidP="00954C49">
            <w:pPr>
              <w:spacing w:before="160"/>
              <w:rPr>
                <w:b/>
                <w:bCs/>
                <w:sz w:val="26"/>
                <w:szCs w:val="26"/>
                <w:lang w:val="en-GB"/>
              </w:rPr>
            </w:pPr>
            <w:r w:rsidRPr="00BD7905">
              <w:rPr>
                <w:b/>
                <w:bCs/>
                <w:sz w:val="26"/>
                <w:szCs w:val="26"/>
                <w:lang w:val="en-GB"/>
              </w:rPr>
              <w:t>Purpose</w:t>
            </w:r>
          </w:p>
          <w:p w14:paraId="222D23DE" w14:textId="77777777" w:rsidR="00AD3606" w:rsidRPr="00BD7905" w:rsidRDefault="00AD3606" w:rsidP="00954C49">
            <w:pPr>
              <w:rPr>
                <w:lang w:val="en-GB"/>
              </w:rPr>
            </w:pPr>
          </w:p>
          <w:p w14:paraId="38C5AF33" w14:textId="77777777" w:rsidR="00AD3606" w:rsidRPr="00BD7905" w:rsidRDefault="00AD3606" w:rsidP="00954C49">
            <w:pPr>
              <w:spacing w:before="160"/>
              <w:rPr>
                <w:b/>
                <w:bCs/>
                <w:sz w:val="26"/>
                <w:szCs w:val="26"/>
                <w:lang w:val="en-GB"/>
              </w:rPr>
            </w:pPr>
            <w:r w:rsidRPr="00BD7905">
              <w:rPr>
                <w:b/>
                <w:bCs/>
                <w:sz w:val="26"/>
                <w:szCs w:val="26"/>
                <w:lang w:val="en-GB"/>
              </w:rPr>
              <w:t>Action required</w:t>
            </w:r>
            <w:r w:rsidR="00F16BAB" w:rsidRPr="00BD7905">
              <w:rPr>
                <w:b/>
                <w:bCs/>
                <w:sz w:val="26"/>
                <w:szCs w:val="26"/>
                <w:lang w:val="en-GB"/>
              </w:rPr>
              <w:t xml:space="preserve"> by the Council</w:t>
            </w:r>
          </w:p>
          <w:p w14:paraId="12DF102C" w14:textId="57EF08D8" w:rsidR="00722551" w:rsidRPr="00BD7905" w:rsidRDefault="003B731D" w:rsidP="00954C49">
            <w:pPr>
              <w:rPr>
                <w:lang w:val="en-GB"/>
              </w:rPr>
            </w:pPr>
            <w:r w:rsidRPr="00BD7905">
              <w:rPr>
                <w:lang w:val="en-GB"/>
              </w:rPr>
              <w:t xml:space="preserve">The Council is invited to </w:t>
            </w:r>
            <w:r w:rsidRPr="00BD7905">
              <w:rPr>
                <w:b/>
                <w:bCs/>
                <w:lang w:val="en-GB"/>
              </w:rPr>
              <w:t>consider</w:t>
            </w:r>
            <w:r w:rsidRPr="00BD7905">
              <w:rPr>
                <w:lang w:val="en-GB"/>
              </w:rPr>
              <w:t xml:space="preserve"> this document and take the necessary steps.</w:t>
            </w:r>
          </w:p>
          <w:p w14:paraId="4C1FE299" w14:textId="77777777" w:rsidR="00C0458D" w:rsidRPr="00BD7905" w:rsidRDefault="00C0458D" w:rsidP="00954C49">
            <w:pPr>
              <w:rPr>
                <w:lang w:val="en-GB"/>
              </w:rPr>
            </w:pPr>
            <w:r w:rsidRPr="00BD7905">
              <w:rPr>
                <w:lang w:val="en-GB"/>
              </w:rPr>
              <w:t>_______________</w:t>
            </w:r>
          </w:p>
          <w:p w14:paraId="7E44F7D2" w14:textId="77777777" w:rsidR="00AD3606" w:rsidRPr="00BD7905" w:rsidRDefault="00AD3606" w:rsidP="00954C49">
            <w:pPr>
              <w:spacing w:before="160"/>
              <w:rPr>
                <w:b/>
                <w:bCs/>
                <w:sz w:val="26"/>
                <w:szCs w:val="26"/>
                <w:lang w:val="en-GB"/>
              </w:rPr>
            </w:pPr>
            <w:r w:rsidRPr="00BD7905">
              <w:rPr>
                <w:b/>
                <w:bCs/>
                <w:sz w:val="26"/>
                <w:szCs w:val="26"/>
                <w:lang w:val="en-GB"/>
              </w:rPr>
              <w:t>References</w:t>
            </w:r>
          </w:p>
          <w:p w14:paraId="36E4373D" w14:textId="4D63425F" w:rsidR="00AD3606" w:rsidRPr="00BD7905" w:rsidRDefault="003B731D" w:rsidP="00954C49">
            <w:pPr>
              <w:spacing w:after="160"/>
              <w:rPr>
                <w:i/>
                <w:iCs/>
                <w:sz w:val="22"/>
                <w:szCs w:val="22"/>
                <w:lang w:val="en-GB"/>
              </w:rPr>
            </w:pPr>
            <w:r w:rsidRPr="00BD7905">
              <w:rPr>
                <w:i/>
                <w:iCs/>
                <w:sz w:val="22"/>
                <w:szCs w:val="22"/>
                <w:lang w:val="en-GB"/>
              </w:rPr>
              <w:t>-</w:t>
            </w:r>
          </w:p>
        </w:tc>
      </w:tr>
    </w:tbl>
    <w:p w14:paraId="53CA8F35" w14:textId="77777777" w:rsidR="00E227F3" w:rsidRPr="00BD7905" w:rsidRDefault="00E227F3">
      <w:pPr>
        <w:tabs>
          <w:tab w:val="clear" w:pos="567"/>
          <w:tab w:val="clear" w:pos="1134"/>
          <w:tab w:val="clear" w:pos="1701"/>
          <w:tab w:val="clear" w:pos="2268"/>
          <w:tab w:val="clear" w:pos="2835"/>
        </w:tabs>
        <w:overflowPunct/>
        <w:autoSpaceDE/>
        <w:autoSpaceDN/>
        <w:adjustRightInd/>
        <w:spacing w:before="0"/>
        <w:textAlignment w:val="auto"/>
        <w:rPr>
          <w:lang w:val="en-GB"/>
        </w:rPr>
      </w:pPr>
      <w:bookmarkStart w:id="10" w:name="_Hlk133421428"/>
      <w:bookmarkEnd w:id="2"/>
      <w:bookmarkEnd w:id="9"/>
    </w:p>
    <w:bookmarkEnd w:id="3"/>
    <w:bookmarkEnd w:id="4"/>
    <w:p w14:paraId="1CE4C118" w14:textId="77777777" w:rsidR="0090147A" w:rsidRPr="00BD7905" w:rsidRDefault="0090147A">
      <w:pPr>
        <w:tabs>
          <w:tab w:val="clear" w:pos="567"/>
          <w:tab w:val="clear" w:pos="1134"/>
          <w:tab w:val="clear" w:pos="1701"/>
          <w:tab w:val="clear" w:pos="2268"/>
          <w:tab w:val="clear" w:pos="2835"/>
        </w:tabs>
        <w:overflowPunct/>
        <w:autoSpaceDE/>
        <w:autoSpaceDN/>
        <w:adjustRightInd/>
        <w:spacing w:before="0"/>
        <w:textAlignment w:val="auto"/>
        <w:rPr>
          <w:b/>
          <w:lang w:val="en-GB"/>
        </w:rPr>
      </w:pPr>
      <w:r w:rsidRPr="00BD7905">
        <w:rPr>
          <w:lang w:val="en-GB"/>
        </w:rPr>
        <w:br w:type="page"/>
      </w:r>
    </w:p>
    <w:bookmarkEnd w:id="5"/>
    <w:bookmarkEnd w:id="10"/>
    <w:p w14:paraId="5A60873D" w14:textId="43936546" w:rsidR="003B731D" w:rsidRPr="00BD7905" w:rsidRDefault="00DE5C98" w:rsidP="00DE5C98">
      <w:pPr>
        <w:pStyle w:val="Heading1"/>
        <w:rPr>
          <w:lang w:val="en-GB"/>
        </w:rPr>
      </w:pPr>
      <w:r w:rsidRPr="00BD7905">
        <w:rPr>
          <w:lang w:val="en-GB"/>
        </w:rPr>
        <w:lastRenderedPageBreak/>
        <w:t>1</w:t>
      </w:r>
      <w:r w:rsidRPr="00BD7905">
        <w:rPr>
          <w:lang w:val="en-GB"/>
        </w:rPr>
        <w:tab/>
      </w:r>
      <w:r w:rsidR="003B731D" w:rsidRPr="00BD7905">
        <w:rPr>
          <w:lang w:val="en-GB"/>
        </w:rPr>
        <w:t>Current situation</w:t>
      </w:r>
    </w:p>
    <w:p w14:paraId="443116DC" w14:textId="2CD13BA8" w:rsidR="003B731D" w:rsidRPr="00BD7905" w:rsidRDefault="00DE5C98" w:rsidP="00DE5C98">
      <w:pPr>
        <w:pStyle w:val="enumlev1"/>
        <w:rPr>
          <w:lang w:val="en-GB"/>
        </w:rPr>
      </w:pPr>
      <w:r w:rsidRPr="00BD7905">
        <w:rPr>
          <w:lang w:val="en-GB"/>
        </w:rPr>
        <w:t>1)</w:t>
      </w:r>
      <w:r w:rsidRPr="00BD7905">
        <w:rPr>
          <w:lang w:val="en-GB"/>
        </w:rPr>
        <w:tab/>
      </w:r>
      <w:r w:rsidR="003B731D" w:rsidRPr="00BD7905">
        <w:rPr>
          <w:lang w:val="en-GB"/>
        </w:rPr>
        <w:t xml:space="preserve">The ITU Plenipotentiary Conference is the supreme organ of the Union (No. 40, subparagraph </w:t>
      </w:r>
      <w:r w:rsidR="003B731D" w:rsidRPr="00BD7905">
        <w:rPr>
          <w:i/>
          <w:iCs/>
          <w:lang w:val="en-GB"/>
        </w:rPr>
        <w:t xml:space="preserve">a) </w:t>
      </w:r>
      <w:r w:rsidR="003B731D" w:rsidRPr="00BD7905">
        <w:rPr>
          <w:lang w:val="en-GB"/>
        </w:rPr>
        <w:t>of Article 7 of the Constitution).</w:t>
      </w:r>
    </w:p>
    <w:p w14:paraId="2A46DEC0" w14:textId="621A0FF9" w:rsidR="003B731D" w:rsidRPr="00BD7905" w:rsidRDefault="00DE5C98" w:rsidP="00DE5C98">
      <w:pPr>
        <w:pStyle w:val="enumlev1"/>
        <w:rPr>
          <w:lang w:val="en-GB"/>
        </w:rPr>
      </w:pPr>
      <w:r w:rsidRPr="00BD7905">
        <w:rPr>
          <w:lang w:val="en-GB"/>
        </w:rPr>
        <w:t>2)</w:t>
      </w:r>
      <w:r w:rsidRPr="00BD7905">
        <w:rPr>
          <w:lang w:val="en-GB"/>
        </w:rPr>
        <w:tab/>
      </w:r>
      <w:r w:rsidR="003B731D" w:rsidRPr="00BD7905">
        <w:rPr>
          <w:lang w:val="en-GB"/>
        </w:rPr>
        <w:t xml:space="preserve">The Council (No. 41, subparagraph </w:t>
      </w:r>
      <w:r w:rsidR="003B731D" w:rsidRPr="00BD7905">
        <w:rPr>
          <w:i/>
          <w:iCs/>
          <w:lang w:val="en-GB"/>
        </w:rPr>
        <w:t xml:space="preserve">b) </w:t>
      </w:r>
      <w:r w:rsidR="003B731D" w:rsidRPr="00BD7905">
        <w:rPr>
          <w:lang w:val="en-GB"/>
        </w:rPr>
        <w:t>of Article 7 of the Constitution) shall act on behalf of the Plenipotentiary Conference in the interval between Plenipotentiary Conferences as the governing body of the Union and shall take all steps to facilitate the implementation by Member States of the provisions of the Constitution, of the Convention, of the Administrative Regulations, and of the decisions of the conference, of the assemblies and other meetings of the Union (Article 10 of the Constitution).</w:t>
      </w:r>
    </w:p>
    <w:p w14:paraId="7BDC23A5" w14:textId="195B78FF" w:rsidR="003B731D" w:rsidRPr="00BD7905" w:rsidRDefault="00DE5C98" w:rsidP="00DE5C98">
      <w:pPr>
        <w:pStyle w:val="enumlev1"/>
        <w:rPr>
          <w:lang w:val="en-GB"/>
        </w:rPr>
      </w:pPr>
      <w:r w:rsidRPr="00BD7905">
        <w:rPr>
          <w:lang w:val="en-GB"/>
        </w:rPr>
        <w:t>3)</w:t>
      </w:r>
      <w:r w:rsidRPr="00BD7905">
        <w:rPr>
          <w:lang w:val="en-GB"/>
        </w:rPr>
        <w:tab/>
      </w:r>
      <w:r w:rsidR="003B731D" w:rsidRPr="00BD7905">
        <w:rPr>
          <w:lang w:val="en-GB"/>
        </w:rPr>
        <w:t xml:space="preserve">The Council shall, in the interval between two Plenipotentiary Conferences, supervise the overall management and administration of the Union; it shall, in particular, in accordance with No. 79 of the Convention (subparagraph 13 of paragraph 11, Article 4 of Section 2), take any necessary steps, with the agreement of a majority of the Member States, provisionally to resolve questions </w:t>
      </w:r>
      <w:r w:rsidR="003B731D" w:rsidRPr="00BD7905">
        <w:rPr>
          <w:b/>
          <w:bCs/>
          <w:lang w:val="en-GB"/>
        </w:rPr>
        <w:t xml:space="preserve">not covered </w:t>
      </w:r>
      <w:r w:rsidR="003B731D" w:rsidRPr="00BD7905">
        <w:rPr>
          <w:lang w:val="en-GB"/>
        </w:rPr>
        <w:t>by the Constitution, the Convention and the Administrative Regulations and which cannot await the next competent conference for settlement.</w:t>
      </w:r>
    </w:p>
    <w:p w14:paraId="47505E1D" w14:textId="209D374C" w:rsidR="003B731D" w:rsidRPr="00BD7905" w:rsidRDefault="00DE5C98" w:rsidP="00DE5C98">
      <w:pPr>
        <w:pStyle w:val="enumlev1"/>
        <w:rPr>
          <w:lang w:val="en-GB"/>
        </w:rPr>
      </w:pPr>
      <w:r w:rsidRPr="00BD7905">
        <w:rPr>
          <w:lang w:val="en-GB"/>
        </w:rPr>
        <w:t>4)</w:t>
      </w:r>
      <w:r w:rsidRPr="00BD7905">
        <w:rPr>
          <w:lang w:val="en-GB"/>
        </w:rPr>
        <w:tab/>
      </w:r>
      <w:r w:rsidR="003B731D" w:rsidRPr="00BD7905">
        <w:rPr>
          <w:b/>
          <w:bCs/>
          <w:lang w:val="en-GB"/>
        </w:rPr>
        <w:t>The frequency</w:t>
      </w:r>
      <w:r w:rsidR="003B731D" w:rsidRPr="00BD7905">
        <w:rPr>
          <w:lang w:val="en-GB"/>
        </w:rPr>
        <w:t xml:space="preserve"> with which Plenipotentiary Conferences shall be held </w:t>
      </w:r>
      <w:r w:rsidR="003B731D" w:rsidRPr="00BD7905">
        <w:rPr>
          <w:b/>
          <w:bCs/>
          <w:lang w:val="en-GB"/>
        </w:rPr>
        <w:t>is stipulated in</w:t>
      </w:r>
      <w:r w:rsidR="003B731D" w:rsidRPr="00BD7905">
        <w:rPr>
          <w:lang w:val="en-GB"/>
        </w:rPr>
        <w:t xml:space="preserve"> </w:t>
      </w:r>
      <w:r w:rsidR="003B731D" w:rsidRPr="00BD7905">
        <w:rPr>
          <w:b/>
          <w:bCs/>
          <w:lang w:val="en-GB"/>
        </w:rPr>
        <w:t>and clearly established by</w:t>
      </w:r>
      <w:r w:rsidR="003B731D" w:rsidRPr="00BD7905">
        <w:rPr>
          <w:lang w:val="en-GB"/>
        </w:rPr>
        <w:t xml:space="preserve"> the Constitution and, in accordance with No. 47 of the Constitution (paragraph 1, Article 8), the Plenipotentiary Conference shall be convened every four years to address specific issues, which are also </w:t>
      </w:r>
      <w:r w:rsidR="003B731D" w:rsidRPr="00BD7905">
        <w:rPr>
          <w:b/>
          <w:bCs/>
          <w:lang w:val="en-GB"/>
        </w:rPr>
        <w:t xml:space="preserve">clearly specified </w:t>
      </w:r>
      <w:r w:rsidR="003B731D" w:rsidRPr="00BD7905">
        <w:rPr>
          <w:lang w:val="en-GB"/>
        </w:rPr>
        <w:t xml:space="preserve">in Nos. 49-59 of the Constitution (subparagraphs </w:t>
      </w:r>
      <w:r w:rsidR="003B731D" w:rsidRPr="00BD7905">
        <w:rPr>
          <w:i/>
          <w:iCs/>
          <w:lang w:val="en-GB"/>
        </w:rPr>
        <w:t xml:space="preserve">a) </w:t>
      </w:r>
      <w:r w:rsidR="003B731D" w:rsidRPr="00BD7905">
        <w:rPr>
          <w:lang w:val="en-GB"/>
        </w:rPr>
        <w:t>to</w:t>
      </w:r>
      <w:r w:rsidR="003B731D" w:rsidRPr="00BD7905">
        <w:rPr>
          <w:i/>
          <w:iCs/>
          <w:lang w:val="en-GB"/>
        </w:rPr>
        <w:t xml:space="preserve"> k) </w:t>
      </w:r>
      <w:r w:rsidR="003B731D" w:rsidRPr="00BD7905">
        <w:rPr>
          <w:lang w:val="en-GB"/>
        </w:rPr>
        <w:t>of</w:t>
      </w:r>
      <w:r w:rsidR="003B731D" w:rsidRPr="00BD7905">
        <w:rPr>
          <w:i/>
          <w:iCs/>
          <w:lang w:val="en-GB"/>
        </w:rPr>
        <w:t xml:space="preserve"> </w:t>
      </w:r>
      <w:r w:rsidR="003B731D" w:rsidRPr="00BD7905">
        <w:rPr>
          <w:lang w:val="en-GB"/>
        </w:rPr>
        <w:t>paragraph 2, Article 8).</w:t>
      </w:r>
    </w:p>
    <w:p w14:paraId="71374B09" w14:textId="1DDE96C8" w:rsidR="003B731D" w:rsidRPr="00BD7905" w:rsidRDefault="00DE5C98" w:rsidP="00DE5C98">
      <w:pPr>
        <w:pStyle w:val="enumlev1"/>
        <w:rPr>
          <w:lang w:val="en-GB"/>
        </w:rPr>
      </w:pPr>
      <w:r w:rsidRPr="00BD7905">
        <w:rPr>
          <w:lang w:val="en-GB"/>
        </w:rPr>
        <w:t>5)</w:t>
      </w:r>
      <w:r w:rsidRPr="00BD7905">
        <w:rPr>
          <w:lang w:val="en-GB"/>
        </w:rPr>
        <w:tab/>
      </w:r>
      <w:r w:rsidR="003B731D" w:rsidRPr="00BD7905">
        <w:rPr>
          <w:lang w:val="en-GB"/>
        </w:rPr>
        <w:t>The 2022 Plenipotentiary Conference resolved, in Resolution 77 (Rev. Bucharest, 2022), on the scheduling and duration of conferences, forums, assemblies and Council sessions of the Union (2023-2027),</w:t>
      </w:r>
      <w:r w:rsidR="003B731D" w:rsidRPr="00BD7905" w:rsidDel="00EE2238">
        <w:rPr>
          <w:lang w:val="en-GB"/>
        </w:rPr>
        <w:t xml:space="preserve"> </w:t>
      </w:r>
      <w:r w:rsidR="003B731D" w:rsidRPr="00BD7905">
        <w:rPr>
          <w:lang w:val="en-GB"/>
        </w:rPr>
        <w:t>that the Plenipotentiary Conference shall be held in the last quarter of 2026 in Doha, Qatar. At its 2023 session, the Council determined in Decision 636 (C23) that the opening and closing dates of the Plenipotentiary Conference will be from Monday, 9 November 2026 to Friday, 27 November 2026. The consultation, carried out by Circular Letter No. 23/44 of 7 November 2023 relating to the precise place and exact dates of the 2026 Plenipotentiary Conference, received the agreement of the required majority of the Member States of ITU, in accordance with No. 47 of the ITU Convention. ITU Member States have therefore agreed that the 2026 Plenipotentiary Conference (PP-26) will take place at the Doha Exhibition and Convention Center, from Monday, 9 November to Friday, 27 November 2026 (CL</w:t>
      </w:r>
      <w:r w:rsidR="00330315" w:rsidRPr="00BD7905">
        <w:rPr>
          <w:lang w:val="en-GB"/>
        </w:rPr>
        <w:noBreakHyphen/>
      </w:r>
      <w:r w:rsidR="003B731D" w:rsidRPr="00BD7905">
        <w:rPr>
          <w:lang w:val="en-GB"/>
        </w:rPr>
        <w:t>23/53 of 21 December 2023), in accordance with No. 2 of the Convention (subparagraph 2 of paragraph 1, Article 1 of Section 1), taking into account the implementation of the procedures established in Nos. 4 to 6 of the General Rules of conferences, assemblies and meetings of the Union (General Rules) (paragraphs 1 and</w:t>
      </w:r>
      <w:r w:rsidR="00330315" w:rsidRPr="00BD7905">
        <w:rPr>
          <w:lang w:val="en-GB"/>
        </w:rPr>
        <w:t> </w:t>
      </w:r>
      <w:r w:rsidR="003B731D" w:rsidRPr="00BD7905">
        <w:rPr>
          <w:lang w:val="en-GB"/>
        </w:rPr>
        <w:t xml:space="preserve">2, Section 1, Chapter </w:t>
      </w:r>
      <w:r w:rsidR="00C82C3E" w:rsidRPr="00BD7905">
        <w:rPr>
          <w:lang w:val="en-GB"/>
        </w:rPr>
        <w:t>I</w:t>
      </w:r>
      <w:r w:rsidR="003B731D" w:rsidRPr="00BD7905">
        <w:rPr>
          <w:lang w:val="en-GB"/>
        </w:rPr>
        <w:t>).</w:t>
      </w:r>
    </w:p>
    <w:p w14:paraId="71468390" w14:textId="57E71508" w:rsidR="003B731D" w:rsidRPr="00BD7905" w:rsidRDefault="00DE5C98" w:rsidP="00DE5C98">
      <w:pPr>
        <w:pStyle w:val="enumlev1"/>
        <w:rPr>
          <w:lang w:val="en-GB"/>
        </w:rPr>
      </w:pPr>
      <w:r w:rsidRPr="00BD7905">
        <w:rPr>
          <w:lang w:val="en-GB"/>
        </w:rPr>
        <w:t>6)</w:t>
      </w:r>
      <w:r w:rsidRPr="00BD7905">
        <w:rPr>
          <w:lang w:val="en-GB"/>
        </w:rPr>
        <w:tab/>
      </w:r>
      <w:r w:rsidR="003B731D" w:rsidRPr="00BD7905">
        <w:rPr>
          <w:lang w:val="en-GB"/>
        </w:rPr>
        <w:t>The State of Qatar, the inviting government, has already undertaken significant efforts to ensure that the Plenipotentiary Conference is held in the country.</w:t>
      </w:r>
    </w:p>
    <w:p w14:paraId="39322FB6" w14:textId="0388CDD7" w:rsidR="003B731D" w:rsidRPr="00BD7905" w:rsidRDefault="00DE5C98" w:rsidP="00DE5C98">
      <w:pPr>
        <w:pStyle w:val="enumlev1"/>
        <w:rPr>
          <w:lang w:val="en-GB"/>
        </w:rPr>
      </w:pPr>
      <w:r w:rsidRPr="00BD7905">
        <w:rPr>
          <w:lang w:val="en-GB"/>
        </w:rPr>
        <w:t>7)</w:t>
      </w:r>
      <w:r w:rsidRPr="00BD7905">
        <w:rPr>
          <w:lang w:val="en-GB"/>
        </w:rPr>
        <w:tab/>
      </w:r>
      <w:r w:rsidR="003B731D" w:rsidRPr="00BD7905">
        <w:rPr>
          <w:lang w:val="en-GB"/>
        </w:rPr>
        <w:t>At the time of preparing this contribution, there are no direct recommendations by the United Nations Department of Safety and Security relating to the possibility of holding the Plenipotentiary Conference in accordance with the decisions of the 2022 Plenipotentiary Conference and the 2023 session of the Council, although there is still uncertainty regarding security in the region and risks of escalation.</w:t>
      </w:r>
    </w:p>
    <w:p w14:paraId="555D3175" w14:textId="6A706845" w:rsidR="003B731D" w:rsidRPr="00BD7905" w:rsidRDefault="00DE5C98" w:rsidP="00DE5C98">
      <w:pPr>
        <w:pStyle w:val="enumlev1"/>
        <w:rPr>
          <w:lang w:val="en-GB"/>
        </w:rPr>
      </w:pPr>
      <w:r w:rsidRPr="00BD7905">
        <w:rPr>
          <w:lang w:val="en-GB"/>
        </w:rPr>
        <w:lastRenderedPageBreak/>
        <w:t>8)</w:t>
      </w:r>
      <w:r w:rsidRPr="00BD7905">
        <w:rPr>
          <w:lang w:val="en-GB"/>
        </w:rPr>
        <w:tab/>
      </w:r>
      <w:r w:rsidR="003B731D" w:rsidRPr="00BD7905">
        <w:rPr>
          <w:lang w:val="en-GB"/>
        </w:rPr>
        <w:t xml:space="preserve">Exceptionally, in the interval between two ordinary Plenipotentiary Conferences, which are convened every four years in accordance with No. 47 </w:t>
      </w:r>
      <w:r w:rsidR="00183A5E" w:rsidRPr="00BD7905">
        <w:rPr>
          <w:lang w:val="en-GB"/>
        </w:rPr>
        <w:t xml:space="preserve">of the Constitution </w:t>
      </w:r>
      <w:r w:rsidR="003B731D" w:rsidRPr="00BD7905">
        <w:rPr>
          <w:lang w:val="en-GB"/>
        </w:rPr>
        <w:t>(paragraph 1, Article</w:t>
      </w:r>
      <w:r w:rsidR="002C1308" w:rsidRPr="00BD7905">
        <w:rPr>
          <w:lang w:val="en-GB"/>
        </w:rPr>
        <w:t> </w:t>
      </w:r>
      <w:r w:rsidR="003B731D" w:rsidRPr="00BD7905">
        <w:rPr>
          <w:lang w:val="en-GB"/>
        </w:rPr>
        <w:t>8), it shall be possible to convene an extraordinary Plenipotentiary Conference with a restricted agenda to deal with specific matters</w:t>
      </w:r>
      <w:r w:rsidR="003B731D" w:rsidRPr="00BD7905" w:rsidDel="00A1635B">
        <w:rPr>
          <w:lang w:val="en-GB"/>
        </w:rPr>
        <w:t xml:space="preserve"> </w:t>
      </w:r>
      <w:r w:rsidR="003B731D" w:rsidRPr="00BD7905">
        <w:rPr>
          <w:lang w:val="en-GB"/>
        </w:rPr>
        <w:t xml:space="preserve">in accordance with Nos. 59A to 59D of the Constitution (subparagraphs </w:t>
      </w:r>
      <w:r w:rsidR="003B731D" w:rsidRPr="00BD7905">
        <w:rPr>
          <w:i/>
          <w:iCs/>
          <w:lang w:val="en-GB"/>
        </w:rPr>
        <w:t>a)</w:t>
      </w:r>
      <w:r w:rsidR="003B731D" w:rsidRPr="00BD7905">
        <w:rPr>
          <w:lang w:val="en-GB"/>
        </w:rPr>
        <w:t xml:space="preserve">, </w:t>
      </w:r>
      <w:r w:rsidR="003B731D" w:rsidRPr="00BD7905">
        <w:rPr>
          <w:i/>
          <w:iCs/>
          <w:lang w:val="en-GB"/>
        </w:rPr>
        <w:t xml:space="preserve">b) </w:t>
      </w:r>
      <w:r w:rsidR="003B731D" w:rsidRPr="00BD7905">
        <w:rPr>
          <w:lang w:val="en-GB"/>
        </w:rPr>
        <w:t xml:space="preserve">and </w:t>
      </w:r>
      <w:r w:rsidR="003B731D" w:rsidRPr="00BD7905">
        <w:rPr>
          <w:i/>
          <w:iCs/>
          <w:lang w:val="en-GB"/>
        </w:rPr>
        <w:t xml:space="preserve">c) </w:t>
      </w:r>
      <w:r w:rsidR="003B731D" w:rsidRPr="00BD7905">
        <w:rPr>
          <w:lang w:val="en-GB"/>
        </w:rPr>
        <w:t xml:space="preserve">of paragraph 3, Article 8). </w:t>
      </w:r>
    </w:p>
    <w:p w14:paraId="733F3542" w14:textId="3510FD94" w:rsidR="003B731D" w:rsidRPr="00BD7905" w:rsidRDefault="00DE5C98" w:rsidP="00DE5C98">
      <w:pPr>
        <w:pStyle w:val="enumlev1"/>
        <w:rPr>
          <w:lang w:val="en-GB"/>
        </w:rPr>
      </w:pPr>
      <w:r w:rsidRPr="00BD7905">
        <w:rPr>
          <w:lang w:val="en-GB"/>
        </w:rPr>
        <w:t>9)</w:t>
      </w:r>
      <w:r w:rsidRPr="00BD7905">
        <w:rPr>
          <w:lang w:val="en-GB"/>
        </w:rPr>
        <w:tab/>
      </w:r>
      <w:r w:rsidR="003B731D" w:rsidRPr="00BD7905">
        <w:rPr>
          <w:lang w:val="en-GB"/>
        </w:rPr>
        <w:t>When a Plenipotentiary Conference is to be held without an inviting government, the Secretary-General shall take the necessary steps to convene and organize the conference or assembly at the seat of the Union, after agreement with the Government of the Swiss Confederation (No. 35 of the General Rules).</w:t>
      </w:r>
    </w:p>
    <w:p w14:paraId="5AEB2A6C" w14:textId="3487DC79" w:rsidR="003B731D" w:rsidRPr="00BD7905" w:rsidRDefault="00DE5C98" w:rsidP="00DE5C98">
      <w:pPr>
        <w:pStyle w:val="Heading1"/>
        <w:rPr>
          <w:lang w:val="en-GB"/>
        </w:rPr>
      </w:pPr>
      <w:r w:rsidRPr="00BD7905">
        <w:rPr>
          <w:lang w:val="en-GB"/>
        </w:rPr>
        <w:t>2</w:t>
      </w:r>
      <w:r w:rsidRPr="00BD7905">
        <w:rPr>
          <w:lang w:val="en-GB"/>
        </w:rPr>
        <w:tab/>
      </w:r>
      <w:r w:rsidR="003B731D" w:rsidRPr="00BD7905">
        <w:rPr>
          <w:lang w:val="en-GB"/>
        </w:rPr>
        <w:t>Conclusions:</w:t>
      </w:r>
    </w:p>
    <w:p w14:paraId="0AC75E69" w14:textId="69FBB948" w:rsidR="003B731D" w:rsidRPr="00BD7905" w:rsidRDefault="00DE5C98" w:rsidP="00DE5C98">
      <w:pPr>
        <w:pStyle w:val="enumlev1"/>
        <w:rPr>
          <w:lang w:val="en-GB"/>
        </w:rPr>
      </w:pPr>
      <w:r w:rsidRPr="00BD7905">
        <w:rPr>
          <w:lang w:val="en-GB"/>
        </w:rPr>
        <w:t>1)</w:t>
      </w:r>
      <w:r w:rsidRPr="00BD7905">
        <w:rPr>
          <w:lang w:val="en-GB"/>
        </w:rPr>
        <w:tab/>
      </w:r>
      <w:r w:rsidR="003B731D" w:rsidRPr="00BD7905">
        <w:rPr>
          <w:lang w:val="en-GB"/>
        </w:rPr>
        <w:t>The Plenipotentiary Conference, in accordance with the Constitution, is convened strictly once every four years, and this frequency of holding an ordinary Plenipotentiary Conference cannot be changed without revising the relevant provisions of the Constitution.</w:t>
      </w:r>
    </w:p>
    <w:p w14:paraId="1D7D8836" w14:textId="0CD1C5F3" w:rsidR="003B731D" w:rsidRPr="00BD7905" w:rsidRDefault="00DE5C98" w:rsidP="00DE5C98">
      <w:pPr>
        <w:pStyle w:val="enumlev1"/>
        <w:rPr>
          <w:lang w:val="en-GB"/>
        </w:rPr>
      </w:pPr>
      <w:r w:rsidRPr="00BD7905">
        <w:rPr>
          <w:lang w:val="en-GB"/>
        </w:rPr>
        <w:t>2)</w:t>
      </w:r>
      <w:r w:rsidRPr="00BD7905">
        <w:rPr>
          <w:lang w:val="en-GB"/>
        </w:rPr>
        <w:tab/>
      </w:r>
      <w:r w:rsidR="003B731D" w:rsidRPr="00BD7905">
        <w:rPr>
          <w:lang w:val="en-GB"/>
        </w:rPr>
        <w:t>In accordance with the Constitution, the Convention and the General Rules, the upcoming ordinary Plenipotentiary Conference must be held in 2026 either in the State of Qatar or in the Swiss Confederation, the host country of the ITU.</w:t>
      </w:r>
    </w:p>
    <w:p w14:paraId="73DF3D94" w14:textId="0162AE9D" w:rsidR="003B731D" w:rsidRPr="00BD7905" w:rsidRDefault="00DE5C98" w:rsidP="00DE5C98">
      <w:pPr>
        <w:pStyle w:val="enumlev1"/>
        <w:rPr>
          <w:lang w:val="en-GB"/>
        </w:rPr>
      </w:pPr>
      <w:r w:rsidRPr="00BD7905">
        <w:rPr>
          <w:lang w:val="en-GB"/>
        </w:rPr>
        <w:t>3)</w:t>
      </w:r>
      <w:r w:rsidRPr="00BD7905">
        <w:rPr>
          <w:lang w:val="en-GB"/>
        </w:rPr>
        <w:tab/>
      </w:r>
      <w:r w:rsidR="003B731D" w:rsidRPr="00BD7905">
        <w:rPr>
          <w:lang w:val="en-GB"/>
        </w:rPr>
        <w:t xml:space="preserve">The upcoming ordinary 2026 Plenipotentiary Conference, when held in either the State of Qatar or the Swiss Confederation, shall be convened for a period of time that is sufficient for the consideration of all items on the agenda, and its duration may not be divided between these or any other Member States of the Union by virtue of the provisions of Article 1 of the Convention, No. 5 of the General Rules (subparagraph 1, paragraph 2, Section 1, Chapter </w:t>
      </w:r>
      <w:r w:rsidR="00C82C3E" w:rsidRPr="00BD7905">
        <w:rPr>
          <w:lang w:val="en-GB"/>
        </w:rPr>
        <w:t>I</w:t>
      </w:r>
      <w:r w:rsidR="003B731D" w:rsidRPr="00BD7905">
        <w:rPr>
          <w:lang w:val="en-GB"/>
        </w:rPr>
        <w:t>) and CL-23/53 of 21 December 2023.</w:t>
      </w:r>
    </w:p>
    <w:p w14:paraId="564A5F49" w14:textId="45135D1F" w:rsidR="003B731D" w:rsidRPr="00BD7905" w:rsidRDefault="00DE5C98" w:rsidP="00DE5C98">
      <w:pPr>
        <w:pStyle w:val="enumlev1"/>
        <w:rPr>
          <w:lang w:val="en-GB"/>
        </w:rPr>
      </w:pPr>
      <w:r w:rsidRPr="00BD7905">
        <w:rPr>
          <w:lang w:val="en-GB"/>
        </w:rPr>
        <w:t>4)</w:t>
      </w:r>
      <w:r w:rsidRPr="00BD7905">
        <w:rPr>
          <w:lang w:val="en-GB"/>
        </w:rPr>
        <w:tab/>
      </w:r>
      <w:r w:rsidR="003B731D" w:rsidRPr="00BD7905">
        <w:rPr>
          <w:lang w:val="en-GB"/>
        </w:rPr>
        <w:t>There are legal risks associated with the interpretation of the provision concerning the frequency of the Plenipotentiary Conference, which shall be convened every four years (French version of No. 47</w:t>
      </w:r>
      <w:r w:rsidR="00DF292B" w:rsidRPr="00BD7905">
        <w:rPr>
          <w:lang w:val="en-GB"/>
        </w:rPr>
        <w:t xml:space="preserve"> 1</w:t>
      </w:r>
      <w:r w:rsidR="003B731D" w:rsidRPr="00BD7905">
        <w:rPr>
          <w:lang w:val="en-GB"/>
        </w:rPr>
        <w:t xml:space="preserve"> of the Constitution:</w:t>
      </w:r>
      <w:r w:rsidR="003B731D" w:rsidRPr="00BD7905">
        <w:rPr>
          <w:i/>
          <w:iCs/>
          <w:lang w:val="en-GB"/>
        </w:rPr>
        <w:t xml:space="preserve"> </w:t>
      </w:r>
      <w:r w:rsidR="00DF292B" w:rsidRPr="00BD7905">
        <w:rPr>
          <w:i/>
          <w:iCs/>
          <w:lang w:val="en-GB"/>
        </w:rPr>
        <w:t>"</w:t>
      </w:r>
      <w:r w:rsidR="003B731D" w:rsidRPr="00BD7905">
        <w:rPr>
          <w:i/>
          <w:iCs/>
          <w:lang w:val="en-GB"/>
        </w:rPr>
        <w:t>La Conférence de plénipotentiaires est composée de délégations représentant les Membres. Elle est convoquée tous les quatre ans.</w:t>
      </w:r>
      <w:r w:rsidR="00DF292B" w:rsidRPr="00BD7905">
        <w:rPr>
          <w:i/>
          <w:iCs/>
          <w:lang w:val="en-GB"/>
        </w:rPr>
        <w:t>"</w:t>
      </w:r>
      <w:r w:rsidR="003B731D" w:rsidRPr="00BD7905">
        <w:rPr>
          <w:lang w:val="en-GB"/>
        </w:rPr>
        <w:t>). This could be interpreted as a requirement to hold the Plenipotentiary Conference exactly four years from the end date of the previous Plenipotentiary Conference, which would mean that the 2026 Plenipotentiary Conference must begin no later than 14 October 2026.</w:t>
      </w:r>
    </w:p>
    <w:p w14:paraId="7E364B8F" w14:textId="57614D7F" w:rsidR="003B731D" w:rsidRPr="00BD7905" w:rsidRDefault="003B731D" w:rsidP="00DE5C98">
      <w:pPr>
        <w:pStyle w:val="enumlev1"/>
        <w:rPr>
          <w:lang w:val="en-GB"/>
        </w:rPr>
      </w:pPr>
      <w:r w:rsidRPr="00BD7905">
        <w:rPr>
          <w:lang w:val="en-GB"/>
        </w:rPr>
        <w:t>5</w:t>
      </w:r>
      <w:r w:rsidR="00DE5C98" w:rsidRPr="00BD7905">
        <w:rPr>
          <w:lang w:val="en-GB"/>
        </w:rPr>
        <w:t>)</w:t>
      </w:r>
      <w:r w:rsidRPr="00BD7905">
        <w:rPr>
          <w:lang w:val="en-GB"/>
        </w:rPr>
        <w:tab/>
        <w:t>In the case of a more lenient interpretation of No. 47 of the Constitution (paragraph 1, Article 8), the 2026 Plenipotentiary Conference must be held by the end of 2026 at the latest.</w:t>
      </w:r>
    </w:p>
    <w:p w14:paraId="03FD9734" w14:textId="2EAAE859" w:rsidR="003B731D" w:rsidRPr="00BD7905" w:rsidRDefault="003B731D" w:rsidP="00DE5C98">
      <w:pPr>
        <w:pStyle w:val="enumlev1"/>
        <w:rPr>
          <w:lang w:val="en-GB"/>
        </w:rPr>
      </w:pPr>
      <w:r w:rsidRPr="00BD7905">
        <w:rPr>
          <w:lang w:val="en-GB"/>
        </w:rPr>
        <w:t>6</w:t>
      </w:r>
      <w:r w:rsidR="00DE5C98" w:rsidRPr="00BD7905">
        <w:rPr>
          <w:lang w:val="en-GB"/>
        </w:rPr>
        <w:t>)</w:t>
      </w:r>
      <w:r w:rsidRPr="00BD7905">
        <w:rPr>
          <w:lang w:val="en-GB"/>
        </w:rPr>
        <w:tab/>
        <w:t>The convening of an extraordinary Plenipotentiary Conference is appropriate in cases where it is necessary to deal with specific matters that could not be resolved by an ordinary Plenipotentiary Conference or that arose after the holding of an ordinary Plenipotentiary Conference, require immediate resolution and which cannot await the next ordinary conference for settlement</w:t>
      </w:r>
      <w:r w:rsidR="00DE5C98" w:rsidRPr="00BD7905">
        <w:rPr>
          <w:lang w:val="en-GB"/>
        </w:rPr>
        <w:t>.</w:t>
      </w:r>
    </w:p>
    <w:p w14:paraId="7D23CEC6" w14:textId="194390C8" w:rsidR="00DE5C98" w:rsidRPr="00BD7905" w:rsidRDefault="00DE5C98" w:rsidP="00DE5C98">
      <w:pPr>
        <w:pStyle w:val="enumlev1"/>
        <w:rPr>
          <w:lang w:val="en-GB"/>
        </w:rPr>
      </w:pPr>
      <w:r w:rsidRPr="00BD7905">
        <w:rPr>
          <w:lang w:val="en-GB"/>
        </w:rPr>
        <w:t>7)</w:t>
      </w:r>
      <w:r w:rsidRPr="00BD7905">
        <w:rPr>
          <w:lang w:val="en-GB"/>
        </w:rPr>
        <w:tab/>
        <w:t xml:space="preserve">By virtue of the interpretation of the provisions of Article 8 of the Constitution as a whole and, in particular, Nos. 59A to 59D of the Constitution (subparagraphs </w:t>
      </w:r>
      <w:r w:rsidRPr="00BD7905">
        <w:rPr>
          <w:i/>
          <w:iCs/>
          <w:lang w:val="en-GB"/>
        </w:rPr>
        <w:t>a)</w:t>
      </w:r>
      <w:r w:rsidRPr="00BD7905">
        <w:rPr>
          <w:lang w:val="en-GB"/>
        </w:rPr>
        <w:t xml:space="preserve">, </w:t>
      </w:r>
      <w:r w:rsidRPr="00BD7905">
        <w:rPr>
          <w:i/>
          <w:iCs/>
          <w:lang w:val="en-GB"/>
        </w:rPr>
        <w:t xml:space="preserve">b) </w:t>
      </w:r>
      <w:r w:rsidRPr="00BD7905">
        <w:rPr>
          <w:lang w:val="en-GB"/>
        </w:rPr>
        <w:t>and</w:t>
      </w:r>
      <w:r w:rsidR="00DF292B" w:rsidRPr="00BD7905">
        <w:rPr>
          <w:lang w:val="en-GB"/>
        </w:rPr>
        <w:t> </w:t>
      </w:r>
      <w:r w:rsidRPr="00BD7905">
        <w:rPr>
          <w:i/>
          <w:iCs/>
          <w:lang w:val="en-GB"/>
        </w:rPr>
        <w:t xml:space="preserve">c) </w:t>
      </w:r>
      <w:r w:rsidRPr="00BD7905">
        <w:rPr>
          <w:lang w:val="en-GB"/>
        </w:rPr>
        <w:t xml:space="preserve">of paragraph 3, Article 8) and, as set out above, a decision to convene an extraordinary Plenipotentiary Conference in 2027 or subsequent years immediately </w:t>
      </w:r>
      <w:r w:rsidRPr="00BD7905">
        <w:rPr>
          <w:lang w:val="en-GB"/>
        </w:rPr>
        <w:lastRenderedPageBreak/>
        <w:t>following the upcoming ordinary Plenipotentiary Conference in 2026 cannot be taken by the 2026 Council prior to the upcoming ordinary Plenipotentiary Conference in 2026, since:</w:t>
      </w:r>
    </w:p>
    <w:p w14:paraId="7D5ED945" w14:textId="731578A7" w:rsidR="003B731D" w:rsidRPr="00BD7905" w:rsidRDefault="00DE5C98" w:rsidP="00DE5C98">
      <w:pPr>
        <w:pStyle w:val="enumlev2"/>
        <w:rPr>
          <w:lang w:val="en-GB"/>
        </w:rPr>
      </w:pPr>
      <w:r w:rsidRPr="00BD7905">
        <w:rPr>
          <w:rFonts w:cs="Calibri"/>
          <w:lang w:val="en-GB"/>
        </w:rPr>
        <w:t>–</w:t>
      </w:r>
      <w:r w:rsidRPr="00BD7905">
        <w:rPr>
          <w:lang w:val="en-GB"/>
        </w:rPr>
        <w:tab/>
      </w:r>
      <w:r w:rsidR="003B731D" w:rsidRPr="00BD7905">
        <w:rPr>
          <w:lang w:val="en-GB"/>
        </w:rPr>
        <w:t xml:space="preserve">an ordinary Plenipotentiary Conference cannot be held with a restricted agenda and must cover all the issues provided for in Nos. 49–59 of the Constitution (subparagraphs </w:t>
      </w:r>
      <w:r w:rsidR="003B731D" w:rsidRPr="00BD7905">
        <w:rPr>
          <w:i/>
          <w:iCs/>
          <w:lang w:val="en-GB"/>
        </w:rPr>
        <w:t>a)</w:t>
      </w:r>
      <w:r w:rsidR="003B731D" w:rsidRPr="00BD7905">
        <w:rPr>
          <w:lang w:val="en-GB"/>
        </w:rPr>
        <w:t>–</w:t>
      </w:r>
      <w:r w:rsidR="003B731D" w:rsidRPr="00BD7905">
        <w:rPr>
          <w:i/>
          <w:iCs/>
          <w:lang w:val="en-GB"/>
        </w:rPr>
        <w:t>k)</w:t>
      </w:r>
      <w:r w:rsidR="003B731D" w:rsidRPr="00BD7905">
        <w:rPr>
          <w:lang w:val="en-GB"/>
        </w:rPr>
        <w:t xml:space="preserve"> of paragraph 2, Article 8);</w:t>
      </w:r>
    </w:p>
    <w:p w14:paraId="3AC21DBC" w14:textId="2804FD07" w:rsidR="003B731D" w:rsidRPr="00BD7905" w:rsidRDefault="00DE5C98" w:rsidP="00DE5C98">
      <w:pPr>
        <w:pStyle w:val="enumlev2"/>
        <w:rPr>
          <w:lang w:val="en-GB"/>
        </w:rPr>
      </w:pPr>
      <w:r w:rsidRPr="00BD7905">
        <w:rPr>
          <w:rFonts w:cs="Calibri"/>
          <w:lang w:val="en-GB"/>
        </w:rPr>
        <w:t>–</w:t>
      </w:r>
      <w:r w:rsidRPr="00BD7905">
        <w:rPr>
          <w:lang w:val="en-GB"/>
        </w:rPr>
        <w:tab/>
      </w:r>
      <w:r w:rsidR="003B731D" w:rsidRPr="00BD7905">
        <w:rPr>
          <w:lang w:val="en-GB"/>
        </w:rPr>
        <w:t>an ordinary Plenipotentiary Conference may, in exceptional cases, decide to convene an extraordinary Plenipotentiary Conference with a restricted agenda in the period preceding the next upcoming ordinary Plenipotentiary Conference to consider specific issues that were not resolved by the ordinary Plenipotentiary Conference but require a decision by the supreme organ of the Union;</w:t>
      </w:r>
    </w:p>
    <w:p w14:paraId="43FB7DE7" w14:textId="61C39AD4" w:rsidR="003B731D" w:rsidRPr="00BD7905" w:rsidRDefault="00DE5C98" w:rsidP="00DE5C98">
      <w:pPr>
        <w:pStyle w:val="enumlev2"/>
        <w:rPr>
          <w:lang w:val="en-GB"/>
        </w:rPr>
      </w:pPr>
      <w:r w:rsidRPr="00BD7905">
        <w:rPr>
          <w:rFonts w:cs="Calibri"/>
          <w:lang w:val="en-GB"/>
        </w:rPr>
        <w:t>–</w:t>
      </w:r>
      <w:r w:rsidRPr="00BD7905">
        <w:rPr>
          <w:lang w:val="en-GB"/>
        </w:rPr>
        <w:tab/>
      </w:r>
      <w:r w:rsidR="003B731D" w:rsidRPr="00BD7905">
        <w:rPr>
          <w:lang w:val="en-GB"/>
        </w:rPr>
        <w:t>Member States may, should two-thirds of the Member States of the Union individually so request the Secretary-General or at the proposal of the Council, convene an extraordinary Plenipotentiary Conference with a restricted agenda in the interval between two ordinary Plenipotentiary Conferences in order to consider specific matters that have arisen and require a decision by the supreme organ of the Union.</w:t>
      </w:r>
    </w:p>
    <w:p w14:paraId="2219E122" w14:textId="6AAA31E6" w:rsidR="003B731D" w:rsidRPr="00BD7905" w:rsidRDefault="003B731D" w:rsidP="00DE5C98">
      <w:pPr>
        <w:pStyle w:val="enumlev1"/>
        <w:rPr>
          <w:lang w:val="en-GB"/>
        </w:rPr>
      </w:pPr>
      <w:r w:rsidRPr="00BD7905">
        <w:rPr>
          <w:lang w:val="en-GB"/>
        </w:rPr>
        <w:t>8</w:t>
      </w:r>
      <w:r w:rsidR="00DE5C98" w:rsidRPr="00BD7905">
        <w:rPr>
          <w:lang w:val="en-GB"/>
        </w:rPr>
        <w:t>)</w:t>
      </w:r>
      <w:r w:rsidRPr="00BD7905">
        <w:rPr>
          <w:lang w:val="en-GB"/>
        </w:rPr>
        <w:tab/>
        <w:t>Many Member States and Sector Members have already paid for hotel accommodation for their delegations in Doha, for the rental of venues for social events and for branded merchandise, etc.</w:t>
      </w:r>
    </w:p>
    <w:p w14:paraId="55DEA380" w14:textId="7ABA6556" w:rsidR="003B731D" w:rsidRPr="00BD7905" w:rsidRDefault="003B731D" w:rsidP="00DE5C98">
      <w:pPr>
        <w:pStyle w:val="enumlev1"/>
        <w:rPr>
          <w:lang w:val="en-GB"/>
        </w:rPr>
      </w:pPr>
      <w:r w:rsidRPr="00BD7905">
        <w:rPr>
          <w:lang w:val="en-GB"/>
        </w:rPr>
        <w:t>9</w:t>
      </w:r>
      <w:r w:rsidR="00DE5C98" w:rsidRPr="00BD7905">
        <w:rPr>
          <w:lang w:val="en-GB"/>
        </w:rPr>
        <w:t>)</w:t>
      </w:r>
      <w:r w:rsidRPr="00BD7905">
        <w:rPr>
          <w:lang w:val="en-GB"/>
        </w:rPr>
        <w:tab/>
        <w:t>Furthermore, if the Plenipotentiary Conference is postponed to January 2027, many Member States may face difficulties in funding costs carried over to 2027 from the 2026 budget, particularly if payments have already been made for the delegation’s participation in the 2026 Plenipotentiary Conference.</w:t>
      </w:r>
    </w:p>
    <w:p w14:paraId="593350A5" w14:textId="4A2B850D" w:rsidR="003B731D" w:rsidRPr="00BD7905" w:rsidRDefault="003B731D" w:rsidP="00DE5C98">
      <w:pPr>
        <w:pStyle w:val="enumlev1"/>
        <w:rPr>
          <w:lang w:val="en-GB"/>
        </w:rPr>
      </w:pPr>
      <w:r w:rsidRPr="00BD7905">
        <w:rPr>
          <w:lang w:val="en-GB"/>
        </w:rPr>
        <w:t>10</w:t>
      </w:r>
      <w:r w:rsidR="00DE5C98" w:rsidRPr="00BD7905">
        <w:rPr>
          <w:lang w:val="en-GB"/>
        </w:rPr>
        <w:t>)</w:t>
      </w:r>
      <w:r w:rsidRPr="00BD7905">
        <w:rPr>
          <w:lang w:val="en-GB"/>
        </w:rPr>
        <w:tab/>
        <w:t xml:space="preserve">Moreover, in some Member States, budgetary funds are allocated to organizations in mid-January, and in certain Member States, the Christmas holidays run from 31 December 2026 to 10 January 2027 (11 January 2027 is the first working day), which further complicates the situation regarding financing and sending delegations to participate in the Plenipotentiary Conference on the dates proposed by the ITU Secretary-General, namely from 11 to 29 January 2027, as indicated in </w:t>
      </w:r>
      <w:r w:rsidR="00DF292B" w:rsidRPr="00BD7905">
        <w:rPr>
          <w:lang w:val="en-GB"/>
        </w:rPr>
        <w:t xml:space="preserve">Document </w:t>
      </w:r>
      <w:hyperlink r:id="rId8" w:history="1">
        <w:r w:rsidR="00DF292B" w:rsidRPr="00BD7905">
          <w:rPr>
            <w:rStyle w:val="Hyperlink"/>
            <w:u w:val="single"/>
            <w:lang w:val="en-GB"/>
          </w:rPr>
          <w:t>C26-EXT/2</w:t>
        </w:r>
      </w:hyperlink>
      <w:r w:rsidRPr="00BD7905">
        <w:rPr>
          <w:lang w:val="en-GB"/>
        </w:rPr>
        <w:t>.</w:t>
      </w:r>
    </w:p>
    <w:p w14:paraId="20A9C068" w14:textId="1DD54B45" w:rsidR="003B731D" w:rsidRPr="00BD7905" w:rsidRDefault="003B731D" w:rsidP="00DE5C98">
      <w:pPr>
        <w:pStyle w:val="Heading1"/>
        <w:rPr>
          <w:lang w:val="en-GB"/>
        </w:rPr>
      </w:pPr>
      <w:r w:rsidRPr="00BD7905">
        <w:rPr>
          <w:lang w:val="en-GB"/>
        </w:rPr>
        <w:t>III</w:t>
      </w:r>
      <w:r w:rsidRPr="00BD7905">
        <w:rPr>
          <w:lang w:val="en-GB"/>
        </w:rPr>
        <w:tab/>
        <w:t>Proposal</w:t>
      </w:r>
    </w:p>
    <w:p w14:paraId="2B470FED" w14:textId="1B75A152" w:rsidR="003B731D" w:rsidRPr="00BD7905" w:rsidRDefault="003B731D" w:rsidP="00DE5C98">
      <w:pPr>
        <w:rPr>
          <w:lang w:val="en-GB"/>
        </w:rPr>
      </w:pPr>
      <w:r w:rsidRPr="00BD7905">
        <w:rPr>
          <w:lang w:val="en-GB"/>
        </w:rPr>
        <w:t>In light of the foregoing, and also noting that the frequency of Plenipotentiary Conferences is clearly established by the Constitution and, in accordance with No. 47 of the Constitution (paragraph 1, Article 8) is every four years, the authors of the contribution propose that the Council:</w:t>
      </w:r>
    </w:p>
    <w:p w14:paraId="603ACF23" w14:textId="594E97B3" w:rsidR="003B731D" w:rsidRPr="00BD7905" w:rsidRDefault="003B731D" w:rsidP="00DE5C98">
      <w:pPr>
        <w:pStyle w:val="enumlev1"/>
        <w:rPr>
          <w:lang w:val="en-GB"/>
        </w:rPr>
      </w:pPr>
      <w:r w:rsidRPr="00BD7905">
        <w:rPr>
          <w:lang w:val="en-GB"/>
        </w:rPr>
        <w:t>1</w:t>
      </w:r>
      <w:r w:rsidR="00DE5C98" w:rsidRPr="00BD7905">
        <w:rPr>
          <w:lang w:val="en-GB"/>
        </w:rPr>
        <w:t>)</w:t>
      </w:r>
      <w:r w:rsidRPr="00BD7905">
        <w:rPr>
          <w:lang w:val="en-GB"/>
        </w:rPr>
        <w:tab/>
        <w:t>Thank the State of Qatar for its efforts in preparing to host the 2026 Plenipotentiary Conference;</w:t>
      </w:r>
    </w:p>
    <w:p w14:paraId="4B295BF6" w14:textId="2A603509" w:rsidR="003B731D" w:rsidRPr="00BD7905" w:rsidRDefault="003B731D" w:rsidP="00DE5C98">
      <w:pPr>
        <w:pStyle w:val="enumlev1"/>
        <w:rPr>
          <w:lang w:val="en-GB"/>
        </w:rPr>
      </w:pPr>
      <w:r w:rsidRPr="00BD7905">
        <w:rPr>
          <w:lang w:val="en-GB"/>
        </w:rPr>
        <w:t>2</w:t>
      </w:r>
      <w:r w:rsidR="00DE5C98" w:rsidRPr="00BD7905">
        <w:rPr>
          <w:lang w:val="en-GB"/>
        </w:rPr>
        <w:t>)</w:t>
      </w:r>
      <w:r w:rsidRPr="00BD7905">
        <w:rPr>
          <w:lang w:val="en-GB"/>
        </w:rPr>
        <w:tab/>
        <w:t xml:space="preserve">Support the convening of the Plenipotentiary Conference strictly in 2026, within a timeframe that allows for the consideration of the full agenda, in accordance with Nos. 49–59 of the Constitution (subparagraphs </w:t>
      </w:r>
      <w:r w:rsidRPr="00BD7905">
        <w:rPr>
          <w:i/>
          <w:iCs/>
          <w:lang w:val="en-GB"/>
        </w:rPr>
        <w:t>a)</w:t>
      </w:r>
      <w:r w:rsidRPr="00BD7905">
        <w:rPr>
          <w:lang w:val="en-GB"/>
        </w:rPr>
        <w:t>–</w:t>
      </w:r>
      <w:r w:rsidRPr="00BD7905">
        <w:rPr>
          <w:i/>
          <w:iCs/>
          <w:lang w:val="en-GB"/>
        </w:rPr>
        <w:t>k)</w:t>
      </w:r>
      <w:r w:rsidRPr="00BD7905">
        <w:rPr>
          <w:lang w:val="en-GB"/>
        </w:rPr>
        <w:t xml:space="preserve"> of paragraph 2, Article 8);</w:t>
      </w:r>
    </w:p>
    <w:p w14:paraId="0CB9DBF0" w14:textId="3072830C" w:rsidR="003B731D" w:rsidRPr="00BD7905" w:rsidRDefault="003B731D" w:rsidP="00DE5C98">
      <w:pPr>
        <w:pStyle w:val="enumlev1"/>
        <w:rPr>
          <w:lang w:val="en-GB"/>
        </w:rPr>
      </w:pPr>
      <w:r w:rsidRPr="00BD7905">
        <w:rPr>
          <w:lang w:val="en-GB"/>
        </w:rPr>
        <w:t>3</w:t>
      </w:r>
      <w:r w:rsidR="00DE5C98" w:rsidRPr="00BD7905">
        <w:rPr>
          <w:lang w:val="en-GB"/>
        </w:rPr>
        <w:t>)</w:t>
      </w:r>
      <w:r w:rsidRPr="00BD7905">
        <w:rPr>
          <w:lang w:val="en-GB"/>
        </w:rPr>
        <w:tab/>
        <w:t xml:space="preserve">Take into account the financial implications when considering proposals to change the venue, dates and duration of the Plenipotentiary Conference, which affect not only the </w:t>
      </w:r>
      <w:r w:rsidRPr="00BD7905">
        <w:rPr>
          <w:lang w:val="en-GB"/>
        </w:rPr>
        <w:lastRenderedPageBreak/>
        <w:t>costs for the Union, the inviting State and the host country of the Union, but also the costs for all ITU Member States and Sector Members associated with sending their delegations to participate in the Plenipotentiary Conference, such as costs already incurred (hotel and venue reservations, airline and other transport tickets, etc.) and anticipated costs, including possible penalties and surcharges, as well as existing budgetary constraints related to the inability to carrying over incurred and/or planned financial costs from 2026 budgets to 2027.</w:t>
      </w:r>
    </w:p>
    <w:p w14:paraId="43298D23" w14:textId="77777777" w:rsidR="003B731D" w:rsidRPr="00BD7905" w:rsidRDefault="003B731D" w:rsidP="003B731D">
      <w:pPr>
        <w:spacing w:after="120"/>
        <w:ind w:left="720" w:hanging="720"/>
        <w:jc w:val="both"/>
        <w:rPr>
          <w:rFonts w:cs="Calibri"/>
          <w:sz w:val="22"/>
          <w:szCs w:val="22"/>
          <w:lang w:val="en-GB"/>
        </w:rPr>
      </w:pPr>
    </w:p>
    <w:p w14:paraId="2C18566D" w14:textId="77777777" w:rsidR="003B731D" w:rsidRPr="00BD7905" w:rsidRDefault="003B731D" w:rsidP="003B731D">
      <w:pPr>
        <w:rPr>
          <w:rFonts w:cs="Calibri"/>
          <w:sz w:val="22"/>
          <w:szCs w:val="22"/>
          <w:lang w:val="en-GB"/>
        </w:rPr>
      </w:pPr>
    </w:p>
    <w:p w14:paraId="6CDC3A2D" w14:textId="77777777" w:rsidR="007A3FCD" w:rsidRPr="00C0458D" w:rsidRDefault="007A3FCD" w:rsidP="007A3FCD">
      <w:pPr>
        <w:jc w:val="center"/>
      </w:pPr>
      <w:r w:rsidRPr="00BD7905">
        <w:rPr>
          <w:lang w:val="en-GB"/>
        </w:rPr>
        <w:t>______________</w:t>
      </w:r>
    </w:p>
    <w:sectPr w:rsidR="007A3FCD" w:rsidRPr="00C0458D" w:rsidSect="00AD3606">
      <w:footerReference w:type="default" r:id="rId9"/>
      <w:headerReference w:type="first" r:id="rId10"/>
      <w:footerReference w:type="first" r:id="rId11"/>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3CEB3" w14:textId="77777777" w:rsidR="009308B0" w:rsidRDefault="009308B0">
      <w:r>
        <w:separator/>
      </w:r>
    </w:p>
  </w:endnote>
  <w:endnote w:type="continuationSeparator" w:id="0">
    <w:p w14:paraId="09271D75" w14:textId="77777777" w:rsidR="009308B0" w:rsidRDefault="00930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1F784A51" w14:textId="77777777" w:rsidTr="0042469C">
      <w:trPr>
        <w:jc w:val="center"/>
      </w:trPr>
      <w:tc>
        <w:tcPr>
          <w:tcW w:w="1803" w:type="dxa"/>
          <w:vAlign w:val="center"/>
        </w:tcPr>
        <w:p w14:paraId="53AE10B8" w14:textId="77777777" w:rsidR="00EE49E8" w:rsidRDefault="00C6520B" w:rsidP="00EE49E8">
          <w:pPr>
            <w:pStyle w:val="Header"/>
            <w:jc w:val="left"/>
            <w:rPr>
              <w:noProof/>
            </w:rPr>
          </w:pPr>
          <w:r>
            <w:rPr>
              <w:noProof/>
            </w:rPr>
            <w:t>gDoc #</w:t>
          </w:r>
        </w:p>
      </w:tc>
      <w:tc>
        <w:tcPr>
          <w:tcW w:w="8261" w:type="dxa"/>
        </w:tcPr>
        <w:p w14:paraId="57C4442D" w14:textId="50C6F5D7" w:rsidR="00EE49E8" w:rsidRPr="00E06FD5" w:rsidRDefault="00EE49E8" w:rsidP="00C07960">
          <w:pPr>
            <w:pStyle w:val="Header"/>
            <w:tabs>
              <w:tab w:val="left" w:pos="6452"/>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00C07960">
            <w:rPr>
              <w:bCs/>
            </w:rPr>
            <w:t>-EXT</w:t>
          </w:r>
          <w:r w:rsidRPr="00623AE3">
            <w:rPr>
              <w:bCs/>
            </w:rPr>
            <w:t>/</w:t>
          </w:r>
          <w:r w:rsidR="002C1308">
            <w:rPr>
              <w:bCs/>
            </w:rPr>
            <w:t>4</w:t>
          </w:r>
          <w:r w:rsidRPr="00623AE3">
            <w:rPr>
              <w:bCs/>
            </w:rPr>
            <w:t>-E</w:t>
          </w:r>
          <w:r>
            <w:rPr>
              <w:bCs/>
            </w:rPr>
            <w:tab/>
          </w:r>
          <w:r>
            <w:fldChar w:fldCharType="begin"/>
          </w:r>
          <w:r>
            <w:instrText>PAGE</w:instrText>
          </w:r>
          <w:r>
            <w:fldChar w:fldCharType="separate"/>
          </w:r>
          <w:r>
            <w:t>1</w:t>
          </w:r>
          <w:r>
            <w:rPr>
              <w:noProof/>
            </w:rPr>
            <w:fldChar w:fldCharType="end"/>
          </w:r>
        </w:p>
      </w:tc>
    </w:tr>
  </w:tbl>
  <w:p w14:paraId="64C7C257"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01C95A45" w14:textId="77777777" w:rsidTr="006B77F1">
      <w:trPr>
        <w:jc w:val="center"/>
      </w:trPr>
      <w:tc>
        <w:tcPr>
          <w:tcW w:w="1803" w:type="dxa"/>
          <w:vAlign w:val="center"/>
        </w:tcPr>
        <w:p w14:paraId="3E5134C8" w14:textId="77777777" w:rsidR="00EE49E8" w:rsidRPr="006B77F1" w:rsidRDefault="00DE532B" w:rsidP="00EE49E8">
          <w:pPr>
            <w:pStyle w:val="Header"/>
            <w:jc w:val="left"/>
            <w:rPr>
              <w:noProof/>
            </w:rPr>
          </w:pPr>
          <w:hyperlink r:id="rId1" w:history="1">
            <w:r>
              <w:rPr>
                <w:rStyle w:val="Hyperlink"/>
              </w:rPr>
              <w:t>council.itu.int/2026</w:t>
            </w:r>
          </w:hyperlink>
        </w:p>
      </w:tc>
      <w:tc>
        <w:tcPr>
          <w:tcW w:w="8261" w:type="dxa"/>
        </w:tcPr>
        <w:p w14:paraId="4C62B512" w14:textId="1602F096" w:rsidR="00EE49E8" w:rsidRPr="00E06FD5" w:rsidRDefault="00EE49E8" w:rsidP="00C07960">
          <w:pPr>
            <w:pStyle w:val="Header"/>
            <w:tabs>
              <w:tab w:val="left" w:pos="6452"/>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00C07960">
            <w:rPr>
              <w:bCs/>
            </w:rPr>
            <w:t>-EXT</w:t>
          </w:r>
          <w:r w:rsidRPr="00623AE3">
            <w:rPr>
              <w:bCs/>
            </w:rPr>
            <w:t>/</w:t>
          </w:r>
          <w:r w:rsidR="003B731D">
            <w:rPr>
              <w:bCs/>
            </w:rPr>
            <w:t>4</w:t>
          </w:r>
          <w:r w:rsidRPr="00623AE3">
            <w:rPr>
              <w:bCs/>
            </w:rPr>
            <w:t>-E</w:t>
          </w:r>
          <w:r>
            <w:rPr>
              <w:bCs/>
            </w:rPr>
            <w:tab/>
          </w:r>
          <w:r>
            <w:fldChar w:fldCharType="begin"/>
          </w:r>
          <w:r>
            <w:instrText>PAGE</w:instrText>
          </w:r>
          <w:r>
            <w:fldChar w:fldCharType="separate"/>
          </w:r>
          <w:r>
            <w:t>1</w:t>
          </w:r>
          <w:r>
            <w:rPr>
              <w:noProof/>
            </w:rPr>
            <w:fldChar w:fldCharType="end"/>
          </w:r>
        </w:p>
      </w:tc>
    </w:tr>
  </w:tbl>
  <w:p w14:paraId="2498BDAB"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F7786" w14:textId="77777777" w:rsidR="009308B0" w:rsidRDefault="009308B0">
      <w:r>
        <w:t>____________________</w:t>
      </w:r>
    </w:p>
  </w:footnote>
  <w:footnote w:type="continuationSeparator" w:id="0">
    <w:p w14:paraId="30E16D21" w14:textId="77777777" w:rsidR="009308B0" w:rsidRDefault="00930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6378" w14:textId="77777777" w:rsidR="00AD3606" w:rsidRPr="00512087" w:rsidRDefault="00EA30D5" w:rsidP="00EA30D5">
    <w:pPr>
      <w:pStyle w:val="Header"/>
      <w:jc w:val="left"/>
    </w:pPr>
    <w:r>
      <w:rPr>
        <w:noProof/>
      </w:rPr>
      <w:drawing>
        <wp:inline distT="0" distB="0" distL="0" distR="0" wp14:anchorId="5E88E406" wp14:editId="23CAA874">
          <wp:extent cx="3276000" cy="863163"/>
          <wp:effectExtent l="0" t="0" r="635" b="0"/>
          <wp:docPr id="2071443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43194" name="Picture 2071443194"/>
                  <pic:cNvPicPr/>
                </pic:nvPicPr>
                <pic:blipFill>
                  <a:blip r:embed="rId1">
                    <a:extLst>
                      <a:ext uri="{28A0092B-C50C-407E-A947-70E740481C1C}">
                        <a14:useLocalDpi xmlns:a14="http://schemas.microsoft.com/office/drawing/2010/main" val="0"/>
                      </a:ext>
                    </a:extLst>
                  </a:blip>
                  <a:stretch>
                    <a:fillRect/>
                  </a:stretch>
                </pic:blipFill>
                <pic:spPr>
                  <a:xfrm>
                    <a:off x="0" y="0"/>
                    <a:ext cx="3276000" cy="8631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052A0F"/>
    <w:multiLevelType w:val="hybridMultilevel"/>
    <w:tmpl w:val="FFFFFFFF"/>
    <w:lvl w:ilvl="0" w:tplc="C472EAB2">
      <w:start w:val="1"/>
      <w:numFmt w:val="upperRoman"/>
      <w:lvlText w:val="%1."/>
      <w:lvlJc w:val="left"/>
      <w:pPr>
        <w:ind w:left="1080" w:hanging="72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7451154F"/>
    <w:multiLevelType w:val="hybridMultilevel"/>
    <w:tmpl w:val="9B28D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D44CDE"/>
    <w:multiLevelType w:val="hybridMultilevel"/>
    <w:tmpl w:val="FFFFFFFF"/>
    <w:lvl w:ilvl="0" w:tplc="1C6E31FA">
      <w:start w:val="1"/>
      <w:numFmt w:val="decimal"/>
      <w:lvlText w:val="%1."/>
      <w:lvlJc w:val="left"/>
      <w:pPr>
        <w:ind w:left="730" w:hanging="3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374816267">
    <w:abstractNumId w:val="0"/>
  </w:num>
  <w:num w:numId="2" w16cid:durableId="757098391">
    <w:abstractNumId w:val="2"/>
  </w:num>
  <w:num w:numId="3" w16cid:durableId="868295861">
    <w:abstractNumId w:val="3"/>
  </w:num>
  <w:num w:numId="4" w16cid:durableId="1575622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E7C"/>
    <w:rsid w:val="0001696F"/>
    <w:rsid w:val="000210D4"/>
    <w:rsid w:val="0006007D"/>
    <w:rsid w:val="00063016"/>
    <w:rsid w:val="00066795"/>
    <w:rsid w:val="00076AF6"/>
    <w:rsid w:val="00085CF2"/>
    <w:rsid w:val="000B1705"/>
    <w:rsid w:val="000C7456"/>
    <w:rsid w:val="000D75B2"/>
    <w:rsid w:val="000E372C"/>
    <w:rsid w:val="000F5DDB"/>
    <w:rsid w:val="00104EC4"/>
    <w:rsid w:val="001121F5"/>
    <w:rsid w:val="001400DC"/>
    <w:rsid w:val="00140CE1"/>
    <w:rsid w:val="0015189A"/>
    <w:rsid w:val="0017539C"/>
    <w:rsid w:val="00175AC2"/>
    <w:rsid w:val="0017609F"/>
    <w:rsid w:val="00176F47"/>
    <w:rsid w:val="00183A5E"/>
    <w:rsid w:val="001A3154"/>
    <w:rsid w:val="001A7D1D"/>
    <w:rsid w:val="001B51DD"/>
    <w:rsid w:val="001C628E"/>
    <w:rsid w:val="001E0F7B"/>
    <w:rsid w:val="001F5569"/>
    <w:rsid w:val="0020487B"/>
    <w:rsid w:val="002119FD"/>
    <w:rsid w:val="002130E0"/>
    <w:rsid w:val="00221F46"/>
    <w:rsid w:val="00227332"/>
    <w:rsid w:val="00264425"/>
    <w:rsid w:val="00265875"/>
    <w:rsid w:val="0027303B"/>
    <w:rsid w:val="00277DEA"/>
    <w:rsid w:val="0028109B"/>
    <w:rsid w:val="002916B4"/>
    <w:rsid w:val="002A0615"/>
    <w:rsid w:val="002A133E"/>
    <w:rsid w:val="002A2188"/>
    <w:rsid w:val="002B1F58"/>
    <w:rsid w:val="002C1308"/>
    <w:rsid w:val="002C1C7A"/>
    <w:rsid w:val="002C3F32"/>
    <w:rsid w:val="002C54E2"/>
    <w:rsid w:val="0030160F"/>
    <w:rsid w:val="00320223"/>
    <w:rsid w:val="00322D0D"/>
    <w:rsid w:val="00330315"/>
    <w:rsid w:val="00361465"/>
    <w:rsid w:val="003877F5"/>
    <w:rsid w:val="003936D3"/>
    <w:rsid w:val="003942D4"/>
    <w:rsid w:val="003958A8"/>
    <w:rsid w:val="003B29C2"/>
    <w:rsid w:val="003B4FAF"/>
    <w:rsid w:val="003B731D"/>
    <w:rsid w:val="003C2533"/>
    <w:rsid w:val="003D5A7F"/>
    <w:rsid w:val="003F0228"/>
    <w:rsid w:val="0040435A"/>
    <w:rsid w:val="00416A24"/>
    <w:rsid w:val="00431D9E"/>
    <w:rsid w:val="00433CE8"/>
    <w:rsid w:val="00434A5C"/>
    <w:rsid w:val="00453079"/>
    <w:rsid w:val="004544D9"/>
    <w:rsid w:val="00465C35"/>
    <w:rsid w:val="00472BAD"/>
    <w:rsid w:val="00484009"/>
    <w:rsid w:val="00490E72"/>
    <w:rsid w:val="00491157"/>
    <w:rsid w:val="00491BA9"/>
    <w:rsid w:val="004921C8"/>
    <w:rsid w:val="0049369C"/>
    <w:rsid w:val="00495615"/>
    <w:rsid w:val="00495B0B"/>
    <w:rsid w:val="004A1B8B"/>
    <w:rsid w:val="004D1851"/>
    <w:rsid w:val="004D599D"/>
    <w:rsid w:val="004E2EA5"/>
    <w:rsid w:val="004E3AEB"/>
    <w:rsid w:val="004F599D"/>
    <w:rsid w:val="0050223C"/>
    <w:rsid w:val="00512087"/>
    <w:rsid w:val="005243FF"/>
    <w:rsid w:val="00564FBC"/>
    <w:rsid w:val="005800BC"/>
    <w:rsid w:val="00582442"/>
    <w:rsid w:val="005F3269"/>
    <w:rsid w:val="0061071E"/>
    <w:rsid w:val="00623AE3"/>
    <w:rsid w:val="0064737F"/>
    <w:rsid w:val="006535F1"/>
    <w:rsid w:val="0065557D"/>
    <w:rsid w:val="00660D50"/>
    <w:rsid w:val="006620AA"/>
    <w:rsid w:val="00662984"/>
    <w:rsid w:val="006716BB"/>
    <w:rsid w:val="00680E2C"/>
    <w:rsid w:val="00686A09"/>
    <w:rsid w:val="006A2F4B"/>
    <w:rsid w:val="006B1859"/>
    <w:rsid w:val="006B6680"/>
    <w:rsid w:val="006B6DCC"/>
    <w:rsid w:val="006B77F1"/>
    <w:rsid w:val="00702DEF"/>
    <w:rsid w:val="00706861"/>
    <w:rsid w:val="0072221B"/>
    <w:rsid w:val="00722551"/>
    <w:rsid w:val="007266DF"/>
    <w:rsid w:val="0075051B"/>
    <w:rsid w:val="00753E7C"/>
    <w:rsid w:val="00765C89"/>
    <w:rsid w:val="0077110E"/>
    <w:rsid w:val="00793188"/>
    <w:rsid w:val="00794D34"/>
    <w:rsid w:val="007A3FCD"/>
    <w:rsid w:val="007B19CF"/>
    <w:rsid w:val="007D01AF"/>
    <w:rsid w:val="00813E5E"/>
    <w:rsid w:val="0083581B"/>
    <w:rsid w:val="0084546D"/>
    <w:rsid w:val="00863874"/>
    <w:rsid w:val="00864AFF"/>
    <w:rsid w:val="00865925"/>
    <w:rsid w:val="008B4A6A"/>
    <w:rsid w:val="008B60F5"/>
    <w:rsid w:val="008C7E27"/>
    <w:rsid w:val="008F7448"/>
    <w:rsid w:val="008F7958"/>
    <w:rsid w:val="0090147A"/>
    <w:rsid w:val="009173EF"/>
    <w:rsid w:val="009308B0"/>
    <w:rsid w:val="00932906"/>
    <w:rsid w:val="00954C49"/>
    <w:rsid w:val="00961B0B"/>
    <w:rsid w:val="00962D33"/>
    <w:rsid w:val="009842A1"/>
    <w:rsid w:val="009A76A8"/>
    <w:rsid w:val="009B38C3"/>
    <w:rsid w:val="009E17BD"/>
    <w:rsid w:val="009E485A"/>
    <w:rsid w:val="00A01F4F"/>
    <w:rsid w:val="00A04CEC"/>
    <w:rsid w:val="00A109AF"/>
    <w:rsid w:val="00A27F92"/>
    <w:rsid w:val="00A32257"/>
    <w:rsid w:val="00A36D20"/>
    <w:rsid w:val="00A514A4"/>
    <w:rsid w:val="00A55622"/>
    <w:rsid w:val="00A83502"/>
    <w:rsid w:val="00A94BAB"/>
    <w:rsid w:val="00AD15B3"/>
    <w:rsid w:val="00AD3606"/>
    <w:rsid w:val="00AD4A3D"/>
    <w:rsid w:val="00AF6E49"/>
    <w:rsid w:val="00B04A67"/>
    <w:rsid w:val="00B0583C"/>
    <w:rsid w:val="00B40A81"/>
    <w:rsid w:val="00B44910"/>
    <w:rsid w:val="00B72267"/>
    <w:rsid w:val="00B76EB6"/>
    <w:rsid w:val="00B7737B"/>
    <w:rsid w:val="00B824C8"/>
    <w:rsid w:val="00B84B9D"/>
    <w:rsid w:val="00B9131F"/>
    <w:rsid w:val="00BB0646"/>
    <w:rsid w:val="00BC251A"/>
    <w:rsid w:val="00BC4A20"/>
    <w:rsid w:val="00BD032B"/>
    <w:rsid w:val="00BD7905"/>
    <w:rsid w:val="00BE01C6"/>
    <w:rsid w:val="00BE2640"/>
    <w:rsid w:val="00BF1FDE"/>
    <w:rsid w:val="00C01189"/>
    <w:rsid w:val="00C0458D"/>
    <w:rsid w:val="00C07960"/>
    <w:rsid w:val="00C3459B"/>
    <w:rsid w:val="00C374DE"/>
    <w:rsid w:val="00C47AD4"/>
    <w:rsid w:val="00C52D81"/>
    <w:rsid w:val="00C55198"/>
    <w:rsid w:val="00C5605F"/>
    <w:rsid w:val="00C6520B"/>
    <w:rsid w:val="00C67ECD"/>
    <w:rsid w:val="00C82C3E"/>
    <w:rsid w:val="00CA6393"/>
    <w:rsid w:val="00CA7995"/>
    <w:rsid w:val="00CB18FF"/>
    <w:rsid w:val="00CD0C08"/>
    <w:rsid w:val="00CE03FB"/>
    <w:rsid w:val="00CE433C"/>
    <w:rsid w:val="00CF0161"/>
    <w:rsid w:val="00CF33F3"/>
    <w:rsid w:val="00CF4A2B"/>
    <w:rsid w:val="00D024CA"/>
    <w:rsid w:val="00D06183"/>
    <w:rsid w:val="00D22C42"/>
    <w:rsid w:val="00D65041"/>
    <w:rsid w:val="00DB1936"/>
    <w:rsid w:val="00DB384B"/>
    <w:rsid w:val="00DE532B"/>
    <w:rsid w:val="00DE5C98"/>
    <w:rsid w:val="00DF0189"/>
    <w:rsid w:val="00DF292B"/>
    <w:rsid w:val="00E06FD5"/>
    <w:rsid w:val="00E10E80"/>
    <w:rsid w:val="00E124F0"/>
    <w:rsid w:val="00E227F3"/>
    <w:rsid w:val="00E545C6"/>
    <w:rsid w:val="00E60F04"/>
    <w:rsid w:val="00E65B24"/>
    <w:rsid w:val="00E854E4"/>
    <w:rsid w:val="00E86DBF"/>
    <w:rsid w:val="00E969AF"/>
    <w:rsid w:val="00EA30D5"/>
    <w:rsid w:val="00EB0D6F"/>
    <w:rsid w:val="00EB2232"/>
    <w:rsid w:val="00EC48E2"/>
    <w:rsid w:val="00EC5337"/>
    <w:rsid w:val="00EE49E8"/>
    <w:rsid w:val="00EF48AC"/>
    <w:rsid w:val="00F16BAB"/>
    <w:rsid w:val="00F2150A"/>
    <w:rsid w:val="00F231D8"/>
    <w:rsid w:val="00F44C00"/>
    <w:rsid w:val="00F45D2C"/>
    <w:rsid w:val="00F46C5F"/>
    <w:rsid w:val="00F632C0"/>
    <w:rsid w:val="00F641E1"/>
    <w:rsid w:val="00F94A63"/>
    <w:rsid w:val="00FA1C28"/>
    <w:rsid w:val="00FB1279"/>
    <w:rsid w:val="00FB6B76"/>
    <w:rsid w:val="00FB7596"/>
    <w:rsid w:val="00FE4077"/>
    <w:rsid w:val="00FE500D"/>
    <w:rsid w:val="00FE77D2"/>
    <w:rsid w:val="00FF39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FC425"/>
  <w15:docId w15:val="{80B688DE-D863-4823-81A8-CB5B053E9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8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C48E2"/>
    <w:pPr>
      <w:keepNext/>
      <w:keepLines/>
      <w:spacing w:before="360"/>
      <w:ind w:left="567" w:hanging="567"/>
      <w:outlineLvl w:val="0"/>
    </w:pPr>
    <w:rPr>
      <w:b/>
      <w:sz w:val="28"/>
    </w:rPr>
  </w:style>
  <w:style w:type="paragraph" w:styleId="Heading2">
    <w:name w:val="heading 2"/>
    <w:basedOn w:val="Heading1"/>
    <w:next w:val="Normal"/>
    <w:qFormat/>
    <w:rsid w:val="00EC48E2"/>
    <w:pPr>
      <w:spacing w:before="200"/>
      <w:outlineLvl w:val="1"/>
    </w:pPr>
    <w:rPr>
      <w:sz w:val="24"/>
    </w:rPr>
  </w:style>
  <w:style w:type="paragraph" w:styleId="Heading3">
    <w:name w:val="heading 3"/>
    <w:basedOn w:val="Heading1"/>
    <w:next w:val="Normal"/>
    <w:qFormat/>
    <w:rsid w:val="00EC48E2"/>
    <w:pPr>
      <w:spacing w:before="200"/>
      <w:outlineLvl w:val="2"/>
    </w:pPr>
    <w:rPr>
      <w:sz w:val="24"/>
    </w:rPr>
  </w:style>
  <w:style w:type="paragraph" w:styleId="Heading4">
    <w:name w:val="heading 4"/>
    <w:basedOn w:val="Heading3"/>
    <w:next w:val="Normal"/>
    <w:qFormat/>
    <w:rsid w:val="00EC48E2"/>
    <w:pPr>
      <w:ind w:left="1134" w:hanging="1134"/>
      <w:outlineLvl w:val="3"/>
    </w:pPr>
  </w:style>
  <w:style w:type="paragraph" w:styleId="Heading5">
    <w:name w:val="heading 5"/>
    <w:basedOn w:val="Heading4"/>
    <w:next w:val="Normal"/>
    <w:qFormat/>
    <w:rsid w:val="00EC48E2"/>
    <w:pPr>
      <w:outlineLvl w:val="4"/>
    </w:pPr>
  </w:style>
  <w:style w:type="paragraph" w:styleId="Heading6">
    <w:name w:val="heading 6"/>
    <w:basedOn w:val="Heading4"/>
    <w:next w:val="Normal"/>
    <w:qFormat/>
    <w:rsid w:val="00EC48E2"/>
    <w:pPr>
      <w:outlineLvl w:val="5"/>
    </w:pPr>
  </w:style>
  <w:style w:type="paragraph" w:styleId="Heading7">
    <w:name w:val="heading 7"/>
    <w:basedOn w:val="Heading4"/>
    <w:next w:val="Normal"/>
    <w:qFormat/>
    <w:rsid w:val="00EC48E2"/>
    <w:pPr>
      <w:ind w:left="1701" w:hanging="1701"/>
      <w:outlineLvl w:val="6"/>
    </w:pPr>
  </w:style>
  <w:style w:type="paragraph" w:styleId="Heading8">
    <w:name w:val="heading 8"/>
    <w:basedOn w:val="Heading4"/>
    <w:next w:val="Normal"/>
    <w:qFormat/>
    <w:rsid w:val="00EC48E2"/>
    <w:pPr>
      <w:ind w:left="1701" w:hanging="1701"/>
      <w:outlineLvl w:val="7"/>
    </w:pPr>
  </w:style>
  <w:style w:type="paragraph" w:styleId="Heading9">
    <w:name w:val="heading 9"/>
    <w:basedOn w:val="Heading4"/>
    <w:next w:val="Normal"/>
    <w:qFormat/>
    <w:rsid w:val="00EC48E2"/>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EC48E2"/>
  </w:style>
  <w:style w:type="paragraph" w:styleId="TOC4">
    <w:name w:val="toc 4"/>
    <w:basedOn w:val="TOC1"/>
    <w:next w:val="Normal"/>
    <w:rsid w:val="00EC48E2"/>
  </w:style>
  <w:style w:type="paragraph" w:styleId="TOC3">
    <w:name w:val="toc 3"/>
    <w:basedOn w:val="TOC1"/>
    <w:next w:val="Normal"/>
    <w:rsid w:val="00EC48E2"/>
  </w:style>
  <w:style w:type="paragraph" w:styleId="TOC2">
    <w:name w:val="toc 2"/>
    <w:basedOn w:val="TOC1"/>
    <w:next w:val="Normal"/>
    <w:rsid w:val="00EC48E2"/>
    <w:pPr>
      <w:spacing w:before="160"/>
    </w:pPr>
  </w:style>
  <w:style w:type="paragraph" w:styleId="TOC1">
    <w:name w:val="toc 1"/>
    <w:basedOn w:val="Normal"/>
    <w:rsid w:val="00EC48E2"/>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EC48E2"/>
  </w:style>
  <w:style w:type="paragraph" w:styleId="TOC6">
    <w:name w:val="toc 6"/>
    <w:basedOn w:val="TOC5"/>
    <w:next w:val="Normal"/>
    <w:rsid w:val="00EC48E2"/>
  </w:style>
  <w:style w:type="paragraph" w:styleId="TOC5">
    <w:name w:val="toc 5"/>
    <w:basedOn w:val="TOC4"/>
    <w:next w:val="Normal"/>
    <w:rsid w:val="00EC48E2"/>
    <w:rPr>
      <w:lang w:val="fr-CH"/>
    </w:rPr>
  </w:style>
  <w:style w:type="paragraph" w:styleId="Index7">
    <w:name w:val="index 7"/>
    <w:basedOn w:val="Normal"/>
    <w:next w:val="Normal"/>
    <w:rsid w:val="00EC48E2"/>
    <w:pPr>
      <w:ind w:left="1698"/>
    </w:pPr>
  </w:style>
  <w:style w:type="paragraph" w:styleId="Index6">
    <w:name w:val="index 6"/>
    <w:basedOn w:val="Normal"/>
    <w:next w:val="Normal"/>
    <w:rsid w:val="00EC48E2"/>
    <w:pPr>
      <w:ind w:left="1415"/>
    </w:pPr>
  </w:style>
  <w:style w:type="paragraph" w:styleId="Index5">
    <w:name w:val="index 5"/>
    <w:basedOn w:val="Normal"/>
    <w:next w:val="Normal"/>
    <w:rsid w:val="00EC48E2"/>
    <w:pPr>
      <w:ind w:left="1132"/>
    </w:pPr>
  </w:style>
  <w:style w:type="paragraph" w:styleId="Index4">
    <w:name w:val="index 4"/>
    <w:basedOn w:val="Normal"/>
    <w:next w:val="Normal"/>
    <w:rsid w:val="00EC48E2"/>
    <w:pPr>
      <w:ind w:left="849"/>
    </w:pPr>
  </w:style>
  <w:style w:type="paragraph" w:styleId="Index3">
    <w:name w:val="index 3"/>
    <w:basedOn w:val="Normal"/>
    <w:next w:val="Normal"/>
    <w:rsid w:val="00EC48E2"/>
    <w:pPr>
      <w:ind w:left="566"/>
    </w:pPr>
  </w:style>
  <w:style w:type="paragraph" w:styleId="Index2">
    <w:name w:val="index 2"/>
    <w:basedOn w:val="Normal"/>
    <w:next w:val="Normal"/>
    <w:rsid w:val="00EC48E2"/>
    <w:pPr>
      <w:ind w:left="283"/>
    </w:pPr>
  </w:style>
  <w:style w:type="paragraph" w:styleId="Index1">
    <w:name w:val="index 1"/>
    <w:basedOn w:val="Normal"/>
    <w:next w:val="Normal"/>
    <w:rsid w:val="00EC48E2"/>
  </w:style>
  <w:style w:type="character" w:styleId="LineNumber">
    <w:name w:val="line number"/>
    <w:basedOn w:val="DefaultParagraphFont"/>
    <w:rsid w:val="00EC48E2"/>
  </w:style>
  <w:style w:type="paragraph" w:styleId="IndexHeading">
    <w:name w:val="index heading"/>
    <w:basedOn w:val="Normal"/>
    <w:next w:val="Index1"/>
    <w:rsid w:val="00EC48E2"/>
  </w:style>
  <w:style w:type="paragraph" w:styleId="Footer">
    <w:name w:val="footer"/>
    <w:basedOn w:val="Normal"/>
    <w:rsid w:val="00EC48E2"/>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EC48E2"/>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EC48E2"/>
    <w:rPr>
      <w:rFonts w:ascii="Calibri" w:hAnsi="Calibri"/>
      <w:position w:val="6"/>
      <w:sz w:val="16"/>
    </w:rPr>
  </w:style>
  <w:style w:type="paragraph" w:styleId="FootnoteText">
    <w:name w:val="footnote text"/>
    <w:basedOn w:val="Normal"/>
    <w:rsid w:val="00EC48E2"/>
    <w:pPr>
      <w:keepLines/>
      <w:tabs>
        <w:tab w:val="left" w:pos="256"/>
      </w:tabs>
      <w:ind w:left="256" w:hanging="256"/>
    </w:pPr>
    <w:rPr>
      <w:sz w:val="22"/>
    </w:rPr>
  </w:style>
  <w:style w:type="paragraph" w:styleId="NormalIndent">
    <w:name w:val="Normal Indent"/>
    <w:basedOn w:val="Normal"/>
    <w:rsid w:val="00EC48E2"/>
    <w:pPr>
      <w:ind w:left="567"/>
    </w:pPr>
  </w:style>
  <w:style w:type="paragraph" w:customStyle="1" w:styleId="enumlev1">
    <w:name w:val="enumlev1"/>
    <w:basedOn w:val="Normal"/>
    <w:rsid w:val="00EC48E2"/>
    <w:pPr>
      <w:spacing w:before="80"/>
      <w:ind w:left="567" w:hanging="567"/>
    </w:pPr>
  </w:style>
  <w:style w:type="paragraph" w:customStyle="1" w:styleId="enumlev2">
    <w:name w:val="enumlev2"/>
    <w:basedOn w:val="enumlev1"/>
    <w:rsid w:val="00EC48E2"/>
    <w:pPr>
      <w:ind w:left="1134"/>
    </w:pPr>
  </w:style>
  <w:style w:type="paragraph" w:customStyle="1" w:styleId="enumlev3">
    <w:name w:val="enumlev3"/>
    <w:basedOn w:val="enumlev2"/>
    <w:rsid w:val="00EC48E2"/>
    <w:pPr>
      <w:ind w:left="1701"/>
    </w:pPr>
  </w:style>
  <w:style w:type="paragraph" w:customStyle="1" w:styleId="Normalaftertitle">
    <w:name w:val="Normal after title"/>
    <w:basedOn w:val="Normal"/>
    <w:next w:val="Normal"/>
    <w:rsid w:val="00EC48E2"/>
    <w:pPr>
      <w:spacing w:before="240"/>
    </w:pPr>
  </w:style>
  <w:style w:type="character" w:customStyle="1" w:styleId="HeaderChar">
    <w:name w:val="Header Char"/>
    <w:basedOn w:val="DefaultParagraphFont"/>
    <w:link w:val="Header"/>
    <w:uiPriority w:val="99"/>
    <w:rsid w:val="00EC48E2"/>
    <w:rPr>
      <w:rFonts w:ascii="Calibri" w:hAnsi="Calibri"/>
      <w:sz w:val="18"/>
      <w:lang w:val="fr-FR" w:eastAsia="en-US"/>
    </w:rPr>
  </w:style>
  <w:style w:type="paragraph" w:customStyle="1" w:styleId="Head">
    <w:name w:val="Head"/>
    <w:basedOn w:val="Normal"/>
    <w:rsid w:val="00EC48E2"/>
    <w:pPr>
      <w:tabs>
        <w:tab w:val="left" w:pos="6663"/>
      </w:tabs>
      <w:overflowPunct/>
      <w:autoSpaceDE/>
      <w:autoSpaceDN/>
      <w:adjustRightInd/>
      <w:spacing w:before="0"/>
      <w:textAlignment w:val="auto"/>
    </w:pPr>
  </w:style>
  <w:style w:type="paragraph" w:customStyle="1" w:styleId="toc0">
    <w:name w:val="toc 0"/>
    <w:basedOn w:val="Normal"/>
    <w:next w:val="TOC1"/>
    <w:rsid w:val="00EC48E2"/>
    <w:pPr>
      <w:tabs>
        <w:tab w:val="clear" w:pos="567"/>
        <w:tab w:val="clear" w:pos="1134"/>
        <w:tab w:val="clear" w:pos="1701"/>
        <w:tab w:val="clear" w:pos="2268"/>
        <w:tab w:val="clear" w:pos="2835"/>
        <w:tab w:val="right" w:pos="9781"/>
      </w:tabs>
    </w:pPr>
    <w:rPr>
      <w:b/>
    </w:rPr>
  </w:style>
  <w:style w:type="paragraph" w:styleId="List">
    <w:name w:val="List"/>
    <w:basedOn w:val="Normal"/>
    <w:rsid w:val="00EC48E2"/>
    <w:pPr>
      <w:tabs>
        <w:tab w:val="left" w:pos="2127"/>
      </w:tabs>
      <w:ind w:left="2127" w:hanging="2127"/>
    </w:pPr>
  </w:style>
  <w:style w:type="paragraph" w:customStyle="1" w:styleId="Part">
    <w:name w:val="Part"/>
    <w:basedOn w:val="Normal"/>
    <w:rsid w:val="00EC48E2"/>
    <w:pPr>
      <w:tabs>
        <w:tab w:val="left" w:pos="1276"/>
      </w:tabs>
      <w:spacing w:before="199"/>
      <w:ind w:left="1701" w:hanging="1701"/>
    </w:pPr>
    <w:rPr>
      <w:caps/>
    </w:rPr>
  </w:style>
  <w:style w:type="paragraph" w:customStyle="1" w:styleId="Source">
    <w:name w:val="Source"/>
    <w:basedOn w:val="Normal"/>
    <w:next w:val="Title1"/>
    <w:rsid w:val="00EC48E2"/>
    <w:pPr>
      <w:spacing w:before="840"/>
      <w:jc w:val="center"/>
    </w:pPr>
    <w:rPr>
      <w:b/>
      <w:sz w:val="28"/>
    </w:rPr>
  </w:style>
  <w:style w:type="paragraph" w:customStyle="1" w:styleId="meeting">
    <w:name w:val="meeting"/>
    <w:basedOn w:val="Head"/>
    <w:next w:val="Head"/>
    <w:rsid w:val="00EC48E2"/>
    <w:pPr>
      <w:tabs>
        <w:tab w:val="left" w:pos="7371"/>
      </w:tabs>
      <w:spacing w:after="567"/>
    </w:pPr>
  </w:style>
  <w:style w:type="paragraph" w:customStyle="1" w:styleId="Subject">
    <w:name w:val="Subject"/>
    <w:basedOn w:val="Normal"/>
    <w:next w:val="Source"/>
    <w:rsid w:val="00EC48E2"/>
    <w:pPr>
      <w:tabs>
        <w:tab w:val="left" w:pos="709"/>
      </w:tabs>
      <w:spacing w:before="0"/>
      <w:ind w:left="709" w:hanging="709"/>
    </w:pPr>
  </w:style>
  <w:style w:type="paragraph" w:customStyle="1" w:styleId="Object">
    <w:name w:val="Object"/>
    <w:basedOn w:val="Subject"/>
    <w:next w:val="Subject"/>
    <w:rsid w:val="00EC48E2"/>
  </w:style>
  <w:style w:type="paragraph" w:customStyle="1" w:styleId="Data">
    <w:name w:val="Data"/>
    <w:basedOn w:val="Subject"/>
    <w:next w:val="Subject"/>
    <w:rsid w:val="00EC48E2"/>
  </w:style>
  <w:style w:type="table" w:styleId="TableGrid">
    <w:name w:val="Table Grid"/>
    <w:basedOn w:val="TableNormal"/>
    <w:uiPriority w:val="39"/>
    <w:rsid w:val="00EC48E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C48E2"/>
    <w:rPr>
      <w:rFonts w:eastAsiaTheme="minorHAnsi" w:cstheme="minorBidi"/>
      <w:color w:val="4F81BD" w:themeColor="accent1"/>
      <w:szCs w:val="22"/>
    </w:rPr>
  </w:style>
  <w:style w:type="paragraph" w:customStyle="1" w:styleId="FirstFooter">
    <w:name w:val="FirstFooter"/>
    <w:basedOn w:val="Footer"/>
    <w:rsid w:val="00EC48E2"/>
    <w:rPr>
      <w:caps w:val="0"/>
    </w:rPr>
  </w:style>
  <w:style w:type="paragraph" w:customStyle="1" w:styleId="Note">
    <w:name w:val="Note"/>
    <w:basedOn w:val="Normal"/>
    <w:rsid w:val="00EC48E2"/>
    <w:pPr>
      <w:spacing w:before="80"/>
    </w:pPr>
    <w:rPr>
      <w:sz w:val="22"/>
    </w:rPr>
  </w:style>
  <w:style w:type="paragraph" w:styleId="TOC9">
    <w:name w:val="toc 9"/>
    <w:basedOn w:val="Normal"/>
    <w:next w:val="Normal"/>
    <w:rsid w:val="00EC48E2"/>
    <w:pPr>
      <w:tabs>
        <w:tab w:val="clear" w:pos="567"/>
        <w:tab w:val="clear" w:pos="1134"/>
        <w:tab w:val="clear" w:pos="1701"/>
        <w:tab w:val="clear" w:pos="2268"/>
        <w:tab w:val="clear" w:pos="2835"/>
        <w:tab w:val="right" w:leader="dot" w:pos="9645"/>
      </w:tabs>
      <w:ind w:left="1920"/>
    </w:pPr>
  </w:style>
  <w:style w:type="paragraph" w:customStyle="1" w:styleId="Headingb">
    <w:name w:val="Heading_b"/>
    <w:basedOn w:val="Heading3"/>
    <w:next w:val="Normal"/>
    <w:rsid w:val="00EC48E2"/>
    <w:pPr>
      <w:spacing w:before="160"/>
      <w:ind w:left="0" w:firstLine="0"/>
      <w:outlineLvl w:val="0"/>
    </w:pPr>
  </w:style>
  <w:style w:type="character" w:styleId="FollowedHyperlink">
    <w:name w:val="FollowedHyperlink"/>
    <w:basedOn w:val="DefaultParagraphFont"/>
    <w:rsid w:val="00EC48E2"/>
    <w:rPr>
      <w:color w:val="800080"/>
      <w:u w:val="single"/>
    </w:rPr>
  </w:style>
  <w:style w:type="paragraph" w:customStyle="1" w:styleId="Title1">
    <w:name w:val="Title 1"/>
    <w:basedOn w:val="Normal"/>
    <w:next w:val="Normalaftertitle"/>
    <w:rsid w:val="00EC48E2"/>
    <w:pPr>
      <w:spacing w:before="360"/>
      <w:jc w:val="center"/>
    </w:pPr>
    <w:rPr>
      <w:caps/>
    </w:rPr>
  </w:style>
  <w:style w:type="paragraph" w:customStyle="1" w:styleId="Title2">
    <w:name w:val="Title 2"/>
    <w:basedOn w:val="Title1"/>
    <w:next w:val="Normalaftertitle"/>
    <w:rsid w:val="00EC48E2"/>
    <w:pPr>
      <w:keepNext/>
      <w:keepLines/>
      <w:spacing w:before="240"/>
    </w:pPr>
    <w:rPr>
      <w:b/>
      <w:caps w:val="0"/>
    </w:rPr>
  </w:style>
  <w:style w:type="paragraph" w:customStyle="1" w:styleId="Title3">
    <w:name w:val="Title 3"/>
    <w:basedOn w:val="Title2"/>
    <w:next w:val="Normalaftertitle"/>
    <w:rsid w:val="00EC48E2"/>
    <w:rPr>
      <w:b w:val="0"/>
      <w:caps/>
    </w:rPr>
  </w:style>
  <w:style w:type="paragraph" w:customStyle="1" w:styleId="Title4">
    <w:name w:val="Title 4"/>
    <w:basedOn w:val="Annextitle"/>
    <w:next w:val="Normal"/>
    <w:rsid w:val="00EC48E2"/>
    <w:pPr>
      <w:spacing w:after="120"/>
    </w:pPr>
    <w:rPr>
      <w:b w:val="0"/>
    </w:rPr>
  </w:style>
  <w:style w:type="paragraph" w:customStyle="1" w:styleId="dnum">
    <w:name w:val="dnum"/>
    <w:basedOn w:val="Normal"/>
    <w:rsid w:val="00EC48E2"/>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AnnexNo">
    <w:name w:val="Annex_No"/>
    <w:basedOn w:val="Normal"/>
    <w:next w:val="Annexref"/>
    <w:rsid w:val="00EC48E2"/>
    <w:pPr>
      <w:keepNext/>
      <w:keepLines/>
      <w:spacing w:before="720"/>
      <w:jc w:val="center"/>
    </w:pPr>
    <w:rPr>
      <w:caps/>
      <w:sz w:val="28"/>
    </w:rPr>
  </w:style>
  <w:style w:type="paragraph" w:customStyle="1" w:styleId="Annextitle">
    <w:name w:val="Annex_title"/>
    <w:basedOn w:val="Normal"/>
    <w:next w:val="Normalaftertitle"/>
    <w:rsid w:val="00EC48E2"/>
    <w:pPr>
      <w:keepNext/>
      <w:keepLines/>
      <w:spacing w:before="240" w:after="240"/>
      <w:jc w:val="center"/>
    </w:pPr>
    <w:rPr>
      <w:b/>
      <w:sz w:val="28"/>
    </w:rPr>
  </w:style>
  <w:style w:type="paragraph" w:customStyle="1" w:styleId="Annexref">
    <w:name w:val="Annex_ref"/>
    <w:basedOn w:val="Normal"/>
    <w:next w:val="Annextitle"/>
    <w:rsid w:val="00EC48E2"/>
    <w:pPr>
      <w:keepNext/>
      <w:keepLines/>
      <w:jc w:val="center"/>
    </w:pPr>
    <w:rPr>
      <w:sz w:val="28"/>
    </w:rPr>
  </w:style>
  <w:style w:type="paragraph" w:customStyle="1" w:styleId="Call">
    <w:name w:val="Call"/>
    <w:basedOn w:val="Normal"/>
    <w:next w:val="Normal"/>
    <w:rsid w:val="00EC48E2"/>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Normal"/>
    <w:qFormat/>
    <w:rsid w:val="00EC48E2"/>
    <w:pPr>
      <w:framePr w:hSpace="180" w:wrap="around" w:hAnchor="page" w:x="1821" w:y="2317"/>
      <w:spacing w:after="160"/>
    </w:pPr>
    <w:rPr>
      <w:sz w:val="34"/>
      <w:lang w:val="en-GB"/>
    </w:rPr>
  </w:style>
  <w:style w:type="paragraph" w:customStyle="1" w:styleId="Figure">
    <w:name w:val="Figure"/>
    <w:basedOn w:val="Normal"/>
    <w:next w:val="Normal"/>
    <w:rsid w:val="00EC48E2"/>
    <w:pPr>
      <w:spacing w:after="240"/>
      <w:jc w:val="center"/>
    </w:pPr>
  </w:style>
  <w:style w:type="paragraph" w:customStyle="1" w:styleId="Figuretitle">
    <w:name w:val="Figure_title"/>
    <w:basedOn w:val="Tabletitle"/>
    <w:next w:val="Normalaftertitle"/>
    <w:rsid w:val="00EC48E2"/>
    <w:pPr>
      <w:spacing w:before="120" w:after="0"/>
    </w:pPr>
  </w:style>
  <w:style w:type="paragraph" w:customStyle="1" w:styleId="Tabletitle">
    <w:name w:val="Table_title"/>
    <w:basedOn w:val="TableNo"/>
    <w:next w:val="Tabletext"/>
    <w:rsid w:val="00EC48E2"/>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EC48E2"/>
    <w:pPr>
      <w:keepNext/>
      <w:keepLines/>
      <w:spacing w:before="480" w:after="120"/>
      <w:jc w:val="center"/>
    </w:pPr>
    <w:rPr>
      <w:caps/>
    </w:rPr>
  </w:style>
  <w:style w:type="paragraph" w:customStyle="1" w:styleId="Tabletext">
    <w:name w:val="Table_text"/>
    <w:basedOn w:val="Normal"/>
    <w:rsid w:val="00EC48E2"/>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EC48E2"/>
    <w:pPr>
      <w:spacing w:before="20" w:after="240"/>
    </w:pPr>
    <w:rPr>
      <w:sz w:val="18"/>
    </w:rPr>
  </w:style>
  <w:style w:type="paragraph" w:customStyle="1" w:styleId="FigureNo">
    <w:name w:val="Figure_No"/>
    <w:basedOn w:val="Normal"/>
    <w:next w:val="Figuretitle"/>
    <w:rsid w:val="00EC48E2"/>
    <w:pPr>
      <w:keepNext/>
      <w:keepLines/>
      <w:spacing w:before="480" w:after="120"/>
      <w:jc w:val="center"/>
    </w:pPr>
    <w:rPr>
      <w:caps/>
    </w:rPr>
  </w:style>
  <w:style w:type="paragraph" w:customStyle="1" w:styleId="Figurewithouttitle">
    <w:name w:val="Figure_without_title"/>
    <w:basedOn w:val="Figure"/>
    <w:next w:val="Normal"/>
    <w:rsid w:val="00EC48E2"/>
  </w:style>
  <w:style w:type="paragraph" w:customStyle="1" w:styleId="Headingi">
    <w:name w:val="Heading_i"/>
    <w:basedOn w:val="Heading3"/>
    <w:next w:val="Normal"/>
    <w:rsid w:val="00EC48E2"/>
    <w:pPr>
      <w:spacing w:before="160"/>
      <w:ind w:left="0" w:firstLine="0"/>
      <w:outlineLvl w:val="0"/>
    </w:pPr>
    <w:rPr>
      <w:b w:val="0"/>
      <w:i/>
    </w:rPr>
  </w:style>
  <w:style w:type="character" w:styleId="PageNumber">
    <w:name w:val="page number"/>
    <w:basedOn w:val="DefaultParagraphFont"/>
    <w:rsid w:val="00EC48E2"/>
    <w:rPr>
      <w:rFonts w:ascii="Calibri" w:hAnsi="Calibri"/>
    </w:rPr>
  </w:style>
  <w:style w:type="paragraph" w:customStyle="1" w:styleId="PartNo">
    <w:name w:val="Part_No"/>
    <w:basedOn w:val="AnnexNo"/>
    <w:next w:val="Parttitle"/>
    <w:rsid w:val="00EC48E2"/>
  </w:style>
  <w:style w:type="paragraph" w:customStyle="1" w:styleId="Parttitle">
    <w:name w:val="Part_title"/>
    <w:basedOn w:val="Annextitle"/>
    <w:next w:val="Partref"/>
    <w:rsid w:val="00EC48E2"/>
  </w:style>
  <w:style w:type="paragraph" w:customStyle="1" w:styleId="Partref">
    <w:name w:val="Part_ref"/>
    <w:basedOn w:val="Annexref"/>
    <w:next w:val="Normalaftertitle"/>
    <w:rsid w:val="00EC48E2"/>
  </w:style>
  <w:style w:type="paragraph" w:customStyle="1" w:styleId="RecNo">
    <w:name w:val="Rec_No"/>
    <w:basedOn w:val="Normal"/>
    <w:next w:val="Rectitle"/>
    <w:rsid w:val="00EC48E2"/>
    <w:pPr>
      <w:keepNext/>
      <w:keepLines/>
      <w:spacing w:before="720"/>
      <w:jc w:val="center"/>
    </w:pPr>
    <w:rPr>
      <w:caps/>
      <w:sz w:val="28"/>
    </w:rPr>
  </w:style>
  <w:style w:type="paragraph" w:customStyle="1" w:styleId="Rectitle">
    <w:name w:val="Rec_title"/>
    <w:basedOn w:val="Normal"/>
    <w:next w:val="Heading1"/>
    <w:rsid w:val="00EC48E2"/>
    <w:pPr>
      <w:keepNext/>
      <w:keepLines/>
      <w:jc w:val="center"/>
    </w:pPr>
    <w:rPr>
      <w:b/>
      <w:sz w:val="28"/>
    </w:rPr>
  </w:style>
  <w:style w:type="paragraph" w:customStyle="1" w:styleId="Recref">
    <w:name w:val="Rec_ref"/>
    <w:basedOn w:val="Rectitle"/>
    <w:next w:val="Recdate"/>
    <w:rsid w:val="00EC48E2"/>
    <w:rPr>
      <w:rFonts w:ascii="Times New Roman" w:hAnsi="Times New Roman"/>
      <w:b w:val="0"/>
      <w:sz w:val="24"/>
    </w:rPr>
  </w:style>
  <w:style w:type="paragraph" w:customStyle="1" w:styleId="Recdate">
    <w:name w:val="Rec_date"/>
    <w:basedOn w:val="Recref"/>
    <w:next w:val="Normalaftertitle"/>
    <w:rsid w:val="00EC48E2"/>
    <w:pPr>
      <w:jc w:val="right"/>
    </w:pPr>
    <w:rPr>
      <w:sz w:val="22"/>
    </w:rPr>
  </w:style>
  <w:style w:type="paragraph" w:customStyle="1" w:styleId="Questiondate">
    <w:name w:val="Question_date"/>
    <w:basedOn w:val="Recdate"/>
    <w:next w:val="Normalaftertitle"/>
    <w:rsid w:val="00EC48E2"/>
  </w:style>
  <w:style w:type="paragraph" w:customStyle="1" w:styleId="QuestionNo">
    <w:name w:val="Question_No"/>
    <w:basedOn w:val="RecNo"/>
    <w:next w:val="Questiontitle"/>
    <w:rsid w:val="00EC48E2"/>
  </w:style>
  <w:style w:type="paragraph" w:customStyle="1" w:styleId="Questionref">
    <w:name w:val="Question_ref"/>
    <w:basedOn w:val="Recref"/>
    <w:next w:val="Questiondate"/>
    <w:rsid w:val="00EC48E2"/>
  </w:style>
  <w:style w:type="paragraph" w:customStyle="1" w:styleId="Questiontitle">
    <w:name w:val="Question_title"/>
    <w:basedOn w:val="Rectitle"/>
    <w:next w:val="Questionref"/>
    <w:rsid w:val="00EC48E2"/>
  </w:style>
  <w:style w:type="paragraph" w:customStyle="1" w:styleId="Reftext">
    <w:name w:val="Ref_text"/>
    <w:basedOn w:val="Normal"/>
    <w:rsid w:val="00EC48E2"/>
    <w:pPr>
      <w:ind w:left="567" w:hanging="567"/>
    </w:pPr>
  </w:style>
  <w:style w:type="paragraph" w:customStyle="1" w:styleId="Reftitle">
    <w:name w:val="Ref_title"/>
    <w:basedOn w:val="Normal"/>
    <w:next w:val="Reftext"/>
    <w:rsid w:val="00EC48E2"/>
    <w:pPr>
      <w:spacing w:before="480"/>
      <w:jc w:val="center"/>
    </w:pPr>
    <w:rPr>
      <w:caps/>
      <w:sz w:val="28"/>
    </w:rPr>
  </w:style>
  <w:style w:type="paragraph" w:customStyle="1" w:styleId="Resdate">
    <w:name w:val="Res_date"/>
    <w:basedOn w:val="Recdate"/>
    <w:next w:val="Normalaftertitle"/>
    <w:rsid w:val="00EC48E2"/>
  </w:style>
  <w:style w:type="paragraph" w:customStyle="1" w:styleId="ResNo">
    <w:name w:val="Res_No"/>
    <w:basedOn w:val="AnnexNo"/>
    <w:next w:val="Restitle"/>
    <w:rsid w:val="00EC48E2"/>
  </w:style>
  <w:style w:type="paragraph" w:customStyle="1" w:styleId="Restitle">
    <w:name w:val="Res_title"/>
    <w:basedOn w:val="Annextitle"/>
    <w:next w:val="Normal"/>
    <w:rsid w:val="00EC48E2"/>
  </w:style>
  <w:style w:type="paragraph" w:customStyle="1" w:styleId="Resref">
    <w:name w:val="Res_ref"/>
    <w:basedOn w:val="Recref"/>
    <w:next w:val="Resdate"/>
    <w:rsid w:val="00EC48E2"/>
  </w:style>
  <w:style w:type="paragraph" w:customStyle="1" w:styleId="SectionNo">
    <w:name w:val="Section_No"/>
    <w:basedOn w:val="AnnexNo"/>
    <w:next w:val="Sectiontitle"/>
    <w:rsid w:val="00EC48E2"/>
  </w:style>
  <w:style w:type="paragraph" w:customStyle="1" w:styleId="Sectiontitle">
    <w:name w:val="Section_title"/>
    <w:basedOn w:val="Normal"/>
    <w:next w:val="Normalaftertitle"/>
    <w:rsid w:val="00EC48E2"/>
    <w:rPr>
      <w:sz w:val="28"/>
    </w:rPr>
  </w:style>
  <w:style w:type="paragraph" w:customStyle="1" w:styleId="Tablehead">
    <w:name w:val="Table_head"/>
    <w:basedOn w:val="Tabletext"/>
    <w:rsid w:val="00EC48E2"/>
    <w:pPr>
      <w:keepNext/>
      <w:keepLines/>
      <w:spacing w:before="80" w:after="80"/>
      <w:jc w:val="center"/>
    </w:pPr>
    <w:rPr>
      <w:b/>
    </w:rPr>
  </w:style>
  <w:style w:type="paragraph" w:customStyle="1" w:styleId="Tablelegend">
    <w:name w:val="Table_legend"/>
    <w:basedOn w:val="Tabletext"/>
    <w:rsid w:val="00EC48E2"/>
    <w:pPr>
      <w:ind w:left="284" w:hanging="284"/>
    </w:pPr>
    <w:rPr>
      <w:sz w:val="20"/>
    </w:rPr>
  </w:style>
  <w:style w:type="paragraph" w:customStyle="1" w:styleId="Tableref">
    <w:name w:val="Table_ref"/>
    <w:basedOn w:val="Normal"/>
    <w:next w:val="Tabletitle"/>
    <w:rsid w:val="00EC48E2"/>
    <w:pPr>
      <w:keepNext/>
      <w:keepLines/>
      <w:jc w:val="center"/>
    </w:pPr>
    <w:rPr>
      <w:sz w:val="20"/>
    </w:rPr>
  </w:style>
  <w:style w:type="paragraph" w:customStyle="1" w:styleId="Artheading">
    <w:name w:val="Art_heading"/>
    <w:basedOn w:val="Normal"/>
    <w:next w:val="Normalaftertitle"/>
    <w:rsid w:val="00EC48E2"/>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EC48E2"/>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EC48E2"/>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EC48E2"/>
  </w:style>
  <w:style w:type="paragraph" w:customStyle="1" w:styleId="Chaptitle">
    <w:name w:val="Chap_title"/>
    <w:basedOn w:val="Arttitle"/>
    <w:next w:val="Normalaftertitle"/>
    <w:rsid w:val="00EC48E2"/>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EC48E2"/>
    <w:rPr>
      <w:color w:val="666666"/>
    </w:rPr>
  </w:style>
  <w:style w:type="paragraph" w:customStyle="1" w:styleId="Reasons">
    <w:name w:val="Reasons"/>
    <w:basedOn w:val="Normal"/>
    <w:qFormat/>
    <w:rsid w:val="00EC48E2"/>
  </w:style>
  <w:style w:type="paragraph" w:customStyle="1" w:styleId="AppendixNo">
    <w:name w:val="Appendix_No"/>
    <w:basedOn w:val="AnnexNo"/>
    <w:next w:val="Normal"/>
    <w:rsid w:val="00EC48E2"/>
  </w:style>
  <w:style w:type="paragraph" w:customStyle="1" w:styleId="Appendixref">
    <w:name w:val="Appendix_ref"/>
    <w:basedOn w:val="Annexref"/>
    <w:next w:val="Normal"/>
    <w:rsid w:val="00EC48E2"/>
  </w:style>
  <w:style w:type="paragraph" w:customStyle="1" w:styleId="Appendixtitle">
    <w:name w:val="Appendix_title"/>
    <w:basedOn w:val="Annextitle"/>
    <w:next w:val="Normalaftertitle"/>
    <w:rsid w:val="00EC48E2"/>
  </w:style>
  <w:style w:type="paragraph" w:customStyle="1" w:styleId="Equation">
    <w:name w:val="Equation"/>
    <w:basedOn w:val="Normal"/>
    <w:rsid w:val="00EC48E2"/>
    <w:pPr>
      <w:tabs>
        <w:tab w:val="center" w:pos="4820"/>
        <w:tab w:val="right" w:pos="9639"/>
      </w:tabs>
    </w:pPr>
  </w:style>
  <w:style w:type="paragraph" w:customStyle="1" w:styleId="Equationlegend">
    <w:name w:val="Equation_legend"/>
    <w:basedOn w:val="NormalIndent"/>
    <w:rsid w:val="00EC48E2"/>
    <w:pPr>
      <w:tabs>
        <w:tab w:val="right" w:pos="1531"/>
      </w:tabs>
      <w:spacing w:before="80"/>
      <w:ind w:left="1701" w:hanging="1701"/>
    </w:pPr>
  </w:style>
  <w:style w:type="paragraph" w:customStyle="1" w:styleId="firstfooter0">
    <w:name w:val="firstfooter"/>
    <w:basedOn w:val="Normal"/>
    <w:rsid w:val="00EC48E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Referencetext">
    <w:name w:val="Reference_text"/>
    <w:basedOn w:val="Normal"/>
    <w:rsid w:val="00EC48E2"/>
    <w:pPr>
      <w:framePr w:hSpace="181" w:wrap="around" w:vAnchor="page" w:hAnchor="page" w:x="1589" w:y="2314"/>
      <w:spacing w:after="160"/>
    </w:pPr>
    <w:rPr>
      <w:i/>
      <w:iCs/>
      <w:sz w:val="22"/>
      <w:szCs w:val="22"/>
    </w:rPr>
  </w:style>
  <w:style w:type="paragraph" w:customStyle="1" w:styleId="Repdate">
    <w:name w:val="Rep_date"/>
    <w:basedOn w:val="Recdate"/>
    <w:next w:val="Normalaftertitle"/>
    <w:rsid w:val="00EC48E2"/>
  </w:style>
  <w:style w:type="paragraph" w:customStyle="1" w:styleId="RepNo">
    <w:name w:val="Rep_No"/>
    <w:basedOn w:val="RecNo"/>
    <w:next w:val="Normal"/>
    <w:rsid w:val="00EC48E2"/>
  </w:style>
  <w:style w:type="paragraph" w:customStyle="1" w:styleId="Repref">
    <w:name w:val="Rep_ref"/>
    <w:basedOn w:val="Recref"/>
    <w:next w:val="Repdate"/>
    <w:rsid w:val="00EC48E2"/>
  </w:style>
  <w:style w:type="paragraph" w:customStyle="1" w:styleId="Reptitle">
    <w:name w:val="Rep_title"/>
    <w:basedOn w:val="Rectitle"/>
    <w:next w:val="Repref"/>
    <w:rsid w:val="00EC48E2"/>
  </w:style>
  <w:style w:type="paragraph" w:customStyle="1" w:styleId="SpecialFooter">
    <w:name w:val="Special Footer"/>
    <w:basedOn w:val="Footer"/>
    <w:rsid w:val="00EC48E2"/>
    <w:pPr>
      <w:tabs>
        <w:tab w:val="left" w:pos="567"/>
        <w:tab w:val="left" w:pos="1134"/>
        <w:tab w:val="left" w:pos="1701"/>
        <w:tab w:val="left" w:pos="2268"/>
        <w:tab w:val="left" w:pos="2835"/>
      </w:tabs>
      <w:jc w:val="both"/>
    </w:pPr>
    <w:rPr>
      <w:caps w:val="0"/>
      <w:noProof w:val="0"/>
    </w:rPr>
  </w:style>
  <w:style w:type="paragraph" w:styleId="ListParagraph">
    <w:name w:val="List Paragraph"/>
    <w:basedOn w:val="Normal"/>
    <w:uiPriority w:val="34"/>
    <w:qFormat/>
    <w:rsid w:val="003B731D"/>
    <w:pPr>
      <w:tabs>
        <w:tab w:val="clear" w:pos="567"/>
        <w:tab w:val="clear" w:pos="1134"/>
        <w:tab w:val="clear" w:pos="1701"/>
        <w:tab w:val="clear" w:pos="2268"/>
        <w:tab w:val="clear" w:pos="2835"/>
      </w:tabs>
      <w:overflowPunct/>
      <w:autoSpaceDE/>
      <w:autoSpaceDN/>
      <w:adjustRightInd/>
      <w:spacing w:before="0"/>
      <w:ind w:left="720"/>
      <w:contextualSpacing/>
      <w:textAlignment w:val="auto"/>
    </w:pPr>
    <w:rPr>
      <w:rFonts w:asciiTheme="minorHAnsi" w:eastAsiaTheme="minorHAnsi" w:hAnsiTheme="minorHAnsi" w:cstheme="minorBidi"/>
      <w:kern w:val="2"/>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26EXT-C-0002/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epp\AppData\Roaming\Microsoft\Templates\POOL%20E%20-%20ITU\GS\PE_Council26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PE_Council26EXT.dotx</Template>
  <TotalTime>1</TotalTime>
  <Pages>5</Pages>
  <Words>1607</Words>
  <Characters>9162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General Secretariat</Manager>
  <Company>International Telecommunication Union (ITU)</Company>
  <LinksUpToDate>false</LinksUpToDate>
  <CharactersWithSpaces>10748</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Extraordinary session of the ITU Council 2026</dc:subject>
  <dc:creator>TPU E RR</dc:creator>
  <cp:keywords>C26-EXT; C26; C2026; Council 2026; PP26</cp:keywords>
  <dc:description/>
  <cp:lastModifiedBy>ITUGBS</cp:lastModifiedBy>
  <cp:revision>2</cp:revision>
  <cp:lastPrinted>2000-07-18T13:30:00Z</cp:lastPrinted>
  <dcterms:created xsi:type="dcterms:W3CDTF">2026-08-25T08:57:00Z</dcterms:created>
  <dcterms:modified xsi:type="dcterms:W3CDTF">2026-08-25T08:57:00Z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ies>
</file>