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05"/>
        <w:gridCol w:w="2966"/>
      </w:tblGrid>
      <w:tr w:rsidR="007B0AA0" w14:paraId="7DF1A863" w14:textId="77777777" w:rsidTr="00412320">
        <w:tc>
          <w:tcPr>
            <w:tcW w:w="6105" w:type="dxa"/>
          </w:tcPr>
          <w:p w14:paraId="3506C1E0" w14:textId="36B69F19" w:rsidR="007B0AA0" w:rsidRPr="007B0AA0" w:rsidRDefault="007B0AA0" w:rsidP="00412320">
            <w:pPr>
              <w:spacing w:before="240" w:after="60" w:line="260" w:lineRule="exact"/>
              <w:rPr>
                <w:b/>
                <w:bCs/>
                <w:rtl/>
                <w:lang w:bidi="ar-EG"/>
              </w:rPr>
            </w:pPr>
          </w:p>
        </w:tc>
        <w:tc>
          <w:tcPr>
            <w:tcW w:w="2966" w:type="dxa"/>
          </w:tcPr>
          <w:p w14:paraId="5F48910E" w14:textId="7AFF72F3" w:rsidR="007B0AA0" w:rsidRPr="007B0AA0" w:rsidRDefault="007B0AA0" w:rsidP="00412320">
            <w:pPr>
              <w:spacing w:before="240" w:after="60" w:line="260" w:lineRule="exact"/>
              <w:rPr>
                <w:b/>
                <w:bCs/>
                <w:lang w:bidi="ar-EG"/>
              </w:rPr>
            </w:pPr>
            <w:r w:rsidRPr="007B0AA0">
              <w:rPr>
                <w:rFonts w:hint="cs"/>
                <w:b/>
                <w:bCs/>
                <w:rtl/>
                <w:lang w:bidi="ar-EG"/>
              </w:rPr>
              <w:t xml:space="preserve">الوثيقة </w:t>
            </w:r>
            <w:r w:rsidRPr="007B0AA0">
              <w:rPr>
                <w:b/>
                <w:bCs/>
                <w:lang w:bidi="ar-EG"/>
              </w:rPr>
              <w:t>C2</w:t>
            </w:r>
            <w:r w:rsidR="00040ED1">
              <w:rPr>
                <w:b/>
                <w:bCs/>
                <w:lang w:bidi="ar-EG"/>
              </w:rPr>
              <w:t>6</w:t>
            </w:r>
            <w:r w:rsidR="00E7321B">
              <w:rPr>
                <w:b/>
                <w:bCs/>
                <w:lang w:bidi="ar-EG"/>
              </w:rPr>
              <w:t>-EXT</w:t>
            </w:r>
            <w:r w:rsidRPr="007B0AA0">
              <w:rPr>
                <w:b/>
                <w:bCs/>
                <w:lang w:bidi="ar-EG"/>
              </w:rPr>
              <w:t>/</w:t>
            </w:r>
            <w:r w:rsidR="000C6030">
              <w:rPr>
                <w:b/>
                <w:bCs/>
                <w:lang w:bidi="ar-EG"/>
              </w:rPr>
              <w:t>4</w:t>
            </w:r>
            <w:r w:rsidRPr="007B0AA0">
              <w:rPr>
                <w:b/>
                <w:bCs/>
                <w:lang w:bidi="ar-EG"/>
              </w:rPr>
              <w:t>-A</w:t>
            </w:r>
          </w:p>
        </w:tc>
      </w:tr>
      <w:tr w:rsidR="007B0AA0" w14:paraId="71DFCA02" w14:textId="77777777" w:rsidTr="00412320">
        <w:tc>
          <w:tcPr>
            <w:tcW w:w="6105" w:type="dxa"/>
          </w:tcPr>
          <w:p w14:paraId="3AD5EA28" w14:textId="77777777" w:rsidR="007B0AA0" w:rsidRPr="007B0AA0" w:rsidRDefault="007B0AA0" w:rsidP="00412320">
            <w:pPr>
              <w:spacing w:before="60" w:after="60" w:line="260" w:lineRule="exact"/>
              <w:rPr>
                <w:b/>
                <w:bCs/>
                <w:rtl/>
                <w:lang w:bidi="ar-EG"/>
              </w:rPr>
            </w:pPr>
          </w:p>
        </w:tc>
        <w:tc>
          <w:tcPr>
            <w:tcW w:w="2966" w:type="dxa"/>
          </w:tcPr>
          <w:p w14:paraId="3B84D4AD" w14:textId="604E4B96" w:rsidR="007B0AA0" w:rsidRPr="007B0AA0" w:rsidRDefault="000C6030" w:rsidP="00412320">
            <w:pPr>
              <w:spacing w:before="60" w:after="60" w:line="260" w:lineRule="exact"/>
              <w:rPr>
                <w:b/>
                <w:bCs/>
                <w:rtl/>
                <w:lang w:bidi="ar-EG"/>
              </w:rPr>
            </w:pPr>
            <w:r>
              <w:rPr>
                <w:rFonts w:hint="cs"/>
                <w:b/>
                <w:bCs/>
                <w:rtl/>
              </w:rPr>
              <w:t>‏</w:t>
            </w:r>
            <w:r>
              <w:rPr>
                <w:rFonts w:hint="cs"/>
                <w:b/>
                <w:bCs/>
              </w:rPr>
              <w:t>24</w:t>
            </w:r>
            <w:r>
              <w:rPr>
                <w:rFonts w:hint="cs"/>
                <w:b/>
                <w:bCs/>
                <w:rtl/>
              </w:rPr>
              <w:t xml:space="preserve">‏ أغسطس‏ </w:t>
            </w:r>
            <w:r>
              <w:rPr>
                <w:rFonts w:hint="cs"/>
                <w:b/>
                <w:bCs/>
              </w:rPr>
              <w:t>2026</w:t>
            </w:r>
          </w:p>
        </w:tc>
      </w:tr>
      <w:tr w:rsidR="007B0AA0" w14:paraId="1749BF16" w14:textId="77777777" w:rsidTr="00412320">
        <w:tc>
          <w:tcPr>
            <w:tcW w:w="6105" w:type="dxa"/>
          </w:tcPr>
          <w:p w14:paraId="3155B4C6" w14:textId="77777777" w:rsidR="007B0AA0" w:rsidRPr="007B0AA0" w:rsidRDefault="007B0AA0" w:rsidP="00412320">
            <w:pPr>
              <w:spacing w:before="60" w:after="60" w:line="260" w:lineRule="exact"/>
              <w:rPr>
                <w:b/>
                <w:bCs/>
                <w:rtl/>
                <w:lang w:bidi="ar-EG"/>
              </w:rPr>
            </w:pPr>
          </w:p>
        </w:tc>
        <w:tc>
          <w:tcPr>
            <w:tcW w:w="2966" w:type="dxa"/>
          </w:tcPr>
          <w:p w14:paraId="4004E81F" w14:textId="390662A0" w:rsidR="007B0AA0" w:rsidRPr="007B0AA0" w:rsidRDefault="001D64C7" w:rsidP="00412320">
            <w:pPr>
              <w:spacing w:before="60" w:after="60" w:line="260" w:lineRule="exact"/>
              <w:rPr>
                <w:b/>
                <w:bCs/>
                <w:rtl/>
                <w:lang w:bidi="ar-EG"/>
              </w:rPr>
            </w:pPr>
            <w:r w:rsidRPr="007B0AA0">
              <w:rPr>
                <w:rFonts w:hint="cs"/>
                <w:b/>
                <w:bCs/>
                <w:rtl/>
                <w:lang w:bidi="ar-EG"/>
              </w:rPr>
              <w:t xml:space="preserve">الأصل: </w:t>
            </w:r>
            <w:r w:rsidR="008842AF">
              <w:rPr>
                <w:rFonts w:hint="cs"/>
                <w:b/>
                <w:bCs/>
                <w:rtl/>
                <w:lang w:bidi="ar-EG"/>
              </w:rPr>
              <w:t>بالروسية</w:t>
            </w:r>
          </w:p>
        </w:tc>
      </w:tr>
      <w:tr w:rsidR="007B0AA0" w14:paraId="5FB2E96A" w14:textId="77777777" w:rsidTr="00412320">
        <w:tc>
          <w:tcPr>
            <w:tcW w:w="6105" w:type="dxa"/>
          </w:tcPr>
          <w:p w14:paraId="03346FF6" w14:textId="77777777" w:rsidR="007B0AA0" w:rsidRDefault="007B0AA0" w:rsidP="00412320">
            <w:pPr>
              <w:spacing w:before="60" w:after="60" w:line="260" w:lineRule="exact"/>
              <w:rPr>
                <w:lang w:bidi="ar-EG"/>
              </w:rPr>
            </w:pPr>
          </w:p>
        </w:tc>
        <w:tc>
          <w:tcPr>
            <w:tcW w:w="2966" w:type="dxa"/>
          </w:tcPr>
          <w:p w14:paraId="0DB7CFFE" w14:textId="77777777" w:rsidR="007B0AA0" w:rsidRDefault="007B0AA0" w:rsidP="00412320">
            <w:pPr>
              <w:spacing w:before="60" w:after="60" w:line="260" w:lineRule="exact"/>
              <w:rPr>
                <w:rtl/>
                <w:lang w:bidi="ar-EG"/>
              </w:rPr>
            </w:pPr>
          </w:p>
        </w:tc>
      </w:tr>
      <w:tr w:rsidR="007B0AA0" w14:paraId="4940E162" w14:textId="77777777" w:rsidTr="00412320">
        <w:tc>
          <w:tcPr>
            <w:tcW w:w="9071" w:type="dxa"/>
            <w:gridSpan w:val="2"/>
          </w:tcPr>
          <w:p w14:paraId="6DB16371" w14:textId="0FAA3242" w:rsidR="007B0AA0" w:rsidRDefault="008B5CCA" w:rsidP="00412320">
            <w:pPr>
              <w:pStyle w:val="Source"/>
              <w:jc w:val="left"/>
              <w:rPr>
                <w:rtl/>
                <w:lang w:bidi="ar-EG"/>
              </w:rPr>
            </w:pPr>
            <w:r w:rsidRPr="008B5CCA">
              <w:rPr>
                <w:rtl/>
                <w:lang w:bidi="ar-EG"/>
              </w:rPr>
              <w:t>الاتحاد الروسي</w:t>
            </w:r>
          </w:p>
        </w:tc>
      </w:tr>
      <w:tr w:rsidR="007B0AA0" w14:paraId="536B2FC2" w14:textId="77777777" w:rsidTr="00412320">
        <w:tc>
          <w:tcPr>
            <w:tcW w:w="9071" w:type="dxa"/>
            <w:gridSpan w:val="2"/>
            <w:tcBorders>
              <w:bottom w:val="single" w:sz="4" w:space="0" w:color="auto"/>
            </w:tcBorders>
          </w:tcPr>
          <w:p w14:paraId="591345D7" w14:textId="45939191" w:rsidR="007B0AA0" w:rsidRPr="005546CF" w:rsidRDefault="008B5CCA" w:rsidP="00412320">
            <w:pPr>
              <w:pStyle w:val="Subtitle0"/>
              <w:rPr>
                <w:sz w:val="32"/>
                <w:szCs w:val="32"/>
              </w:rPr>
            </w:pPr>
            <w:r w:rsidRPr="008B5CCA">
              <w:rPr>
                <w:sz w:val="32"/>
                <w:szCs w:val="32"/>
                <w:rtl/>
              </w:rPr>
              <w:t xml:space="preserve">المكان والموعد الدقيقان لعقد مؤتمر المندوبين المفوضين للاتحاد الدولي للاتصالات لعام </w:t>
            </w:r>
            <w:r w:rsidRPr="008B5CCA">
              <w:rPr>
                <w:sz w:val="32"/>
                <w:szCs w:val="32"/>
              </w:rPr>
              <w:t>2026</w:t>
            </w:r>
          </w:p>
        </w:tc>
      </w:tr>
      <w:tr w:rsidR="007B0AA0" w14:paraId="192C6650" w14:textId="77777777" w:rsidTr="00412320">
        <w:tc>
          <w:tcPr>
            <w:tcW w:w="9071" w:type="dxa"/>
            <w:gridSpan w:val="2"/>
            <w:tcBorders>
              <w:top w:val="single" w:sz="4" w:space="0" w:color="auto"/>
              <w:bottom w:val="single" w:sz="4" w:space="0" w:color="auto"/>
            </w:tcBorders>
          </w:tcPr>
          <w:p w14:paraId="5213F978" w14:textId="77777777" w:rsidR="007B0AA0" w:rsidRPr="007B0AA0" w:rsidRDefault="007B0AA0" w:rsidP="00D21610">
            <w:pPr>
              <w:rPr>
                <w:b/>
                <w:bCs/>
                <w:rtl/>
              </w:rPr>
            </w:pPr>
            <w:r w:rsidRPr="007B0AA0">
              <w:rPr>
                <w:rFonts w:hint="cs"/>
                <w:b/>
                <w:bCs/>
                <w:rtl/>
              </w:rPr>
              <w:t>الغرض</w:t>
            </w:r>
          </w:p>
          <w:p w14:paraId="6356622F" w14:textId="77777777" w:rsidR="007B0AA0" w:rsidRDefault="007B0AA0" w:rsidP="00412320">
            <w:pPr>
              <w:rPr>
                <w:rtl/>
              </w:rPr>
            </w:pPr>
          </w:p>
          <w:p w14:paraId="04018D01" w14:textId="77777777" w:rsidR="007B0AA0" w:rsidRPr="007B0AA0" w:rsidRDefault="007B0AA0" w:rsidP="00412320">
            <w:pPr>
              <w:rPr>
                <w:b/>
                <w:bCs/>
                <w:rtl/>
              </w:rPr>
            </w:pPr>
            <w:r w:rsidRPr="007B0AA0">
              <w:rPr>
                <w:rFonts w:hint="cs"/>
                <w:b/>
                <w:bCs/>
                <w:rtl/>
              </w:rPr>
              <w:t>الإجراء المطلوب من المجلس</w:t>
            </w:r>
          </w:p>
          <w:p w14:paraId="4A8B105E" w14:textId="76E35E79" w:rsidR="007B0AA0" w:rsidRDefault="008B5CCA" w:rsidP="00412320">
            <w:pPr>
              <w:rPr>
                <w:rtl/>
              </w:rPr>
            </w:pPr>
            <w:r w:rsidRPr="008B5CCA">
              <w:rPr>
                <w:rtl/>
              </w:rPr>
              <w:t xml:space="preserve">يُدعى المجلس إلى </w:t>
            </w:r>
            <w:r w:rsidRPr="008B5CCA">
              <w:rPr>
                <w:b/>
                <w:bCs/>
                <w:rtl/>
              </w:rPr>
              <w:t>النظر</w:t>
            </w:r>
            <w:r w:rsidRPr="008B5CCA">
              <w:rPr>
                <w:rtl/>
              </w:rPr>
              <w:t xml:space="preserve"> في هذه الوثيقة واتخاذ الخطوات اللازمة.</w:t>
            </w:r>
          </w:p>
          <w:p w14:paraId="11E5AA23" w14:textId="77777777" w:rsidR="007B0AA0" w:rsidRPr="007B0AA0" w:rsidRDefault="007B0AA0" w:rsidP="00412320">
            <w:pPr>
              <w:rPr>
                <w:rFonts w:ascii="Traditional Arabic" w:hAnsi="Traditional Arabic" w:cs="Traditional Arabic"/>
                <w:sz w:val="30"/>
                <w:szCs w:val="30"/>
                <w:rtl/>
              </w:rPr>
            </w:pPr>
            <w:r w:rsidRPr="007B0AA0">
              <w:rPr>
                <w:rFonts w:ascii="Traditional Arabic" w:hAnsi="Traditional Arabic" w:cs="Traditional Arabic"/>
                <w:sz w:val="30"/>
                <w:szCs w:val="30"/>
                <w:rtl/>
              </w:rPr>
              <w:t>___________</w:t>
            </w:r>
          </w:p>
          <w:p w14:paraId="32BCCA25" w14:textId="77777777" w:rsidR="007B0AA0" w:rsidRPr="007B0AA0" w:rsidRDefault="007B0AA0" w:rsidP="00412320">
            <w:pPr>
              <w:rPr>
                <w:b/>
                <w:bCs/>
                <w:rtl/>
              </w:rPr>
            </w:pPr>
            <w:r w:rsidRPr="007B0AA0">
              <w:rPr>
                <w:rFonts w:hint="cs"/>
                <w:b/>
                <w:bCs/>
                <w:rtl/>
              </w:rPr>
              <w:t>المراجع</w:t>
            </w:r>
          </w:p>
          <w:p w14:paraId="0FA3C795" w14:textId="0BAC38E1" w:rsidR="007B0AA0" w:rsidRPr="005546CF" w:rsidRDefault="008B5CCA" w:rsidP="00412320">
            <w:pPr>
              <w:rPr>
                <w:i/>
                <w:iCs/>
                <w:rtl/>
              </w:rPr>
            </w:pPr>
            <w:r>
              <w:rPr>
                <w:rFonts w:hint="cs"/>
                <w:i/>
                <w:iCs/>
                <w:rtl/>
              </w:rPr>
              <w:t>-</w:t>
            </w:r>
          </w:p>
        </w:tc>
      </w:tr>
    </w:tbl>
    <w:p w14:paraId="575DD3F7" w14:textId="77777777" w:rsidR="00E61BE8" w:rsidRDefault="00E61BE8" w:rsidP="00E61BE8">
      <w:pPr>
        <w:rPr>
          <w:rtl/>
          <w:lang w:bidi="ar-EG"/>
        </w:rPr>
      </w:pPr>
    </w:p>
    <w:p w14:paraId="4599A0D1" w14:textId="77777777" w:rsidR="00F50E3F" w:rsidRDefault="00F50E3F" w:rsidP="0043260A">
      <w:pPr>
        <w:rPr>
          <w:rtl/>
          <w:lang w:bidi="ar-EG"/>
        </w:rPr>
      </w:pPr>
      <w:r>
        <w:rPr>
          <w:rtl/>
          <w:lang w:bidi="ar-EG"/>
        </w:rPr>
        <w:br w:type="page"/>
      </w:r>
    </w:p>
    <w:p w14:paraId="42A2EC29" w14:textId="2D4D0E9B" w:rsidR="008B5CCA" w:rsidRPr="008B5CCA" w:rsidRDefault="008B5CCA" w:rsidP="008B5CCA">
      <w:pPr>
        <w:pStyle w:val="Heading1"/>
        <w:rPr>
          <w:lang w:val="ar-SA" w:bidi="ar-EG"/>
        </w:rPr>
      </w:pPr>
      <w:r>
        <w:rPr>
          <w:lang w:val="en-GB"/>
        </w:rPr>
        <w:lastRenderedPageBreak/>
        <w:t>1</w:t>
      </w:r>
      <w:r>
        <w:rPr>
          <w:lang w:val="en-GB"/>
        </w:rPr>
        <w:tab/>
      </w:r>
      <w:r w:rsidRPr="008B5CCA">
        <w:rPr>
          <w:rtl/>
          <w:lang w:val="en-GB"/>
        </w:rPr>
        <w:t>الوضع الحالي</w:t>
      </w:r>
    </w:p>
    <w:p w14:paraId="7F4AB988" w14:textId="18087E15" w:rsidR="008B5CCA" w:rsidRPr="008B5CCA" w:rsidRDefault="008B5CCA" w:rsidP="008B5CCA">
      <w:pPr>
        <w:pStyle w:val="enumlev1"/>
        <w:rPr>
          <w:lang w:val="ar-SA" w:bidi="ar-EG"/>
        </w:rPr>
      </w:pPr>
      <w:r>
        <w:rPr>
          <w:lang w:val="en-GB"/>
        </w:rPr>
        <w:t>(1</w:t>
      </w:r>
      <w:r>
        <w:rPr>
          <w:lang w:val="en-GB"/>
        </w:rPr>
        <w:tab/>
      </w:r>
      <w:r w:rsidRPr="008B5CCA">
        <w:rPr>
          <w:rtl/>
          <w:lang w:val="en-GB"/>
        </w:rPr>
        <w:t>مؤتمر المندوبين المفوضين للاتحاد الدولي للاتصالات هو الهيئة العليا للاتحاد (الرقم 40، الفقرة الفرعية</w:t>
      </w:r>
      <w:r w:rsidR="005A44B0">
        <w:rPr>
          <w:rFonts w:hint="cs"/>
          <w:rtl/>
          <w:lang w:val="en-GB"/>
        </w:rPr>
        <w:t xml:space="preserve"> </w:t>
      </w:r>
      <w:proofErr w:type="gramStart"/>
      <w:r w:rsidRPr="008B5CCA">
        <w:rPr>
          <w:i/>
          <w:iCs/>
          <w:rtl/>
          <w:lang w:val="en-GB"/>
        </w:rPr>
        <w:t>أ</w:t>
      </w:r>
      <w:r w:rsidR="005A44B0">
        <w:rPr>
          <w:rFonts w:hint="cs"/>
          <w:i/>
          <w:iCs/>
          <w:rtl/>
          <w:lang w:val="en-GB"/>
        </w:rPr>
        <w:t> </w:t>
      </w:r>
      <w:r w:rsidRPr="008B5CCA">
        <w:rPr>
          <w:i/>
          <w:iCs/>
          <w:rtl/>
          <w:lang w:val="en-GB"/>
        </w:rPr>
        <w:t>)</w:t>
      </w:r>
      <w:proofErr w:type="gramEnd"/>
      <w:r w:rsidRPr="008B5CCA">
        <w:rPr>
          <w:rtl/>
          <w:lang w:val="en-GB"/>
        </w:rPr>
        <w:t xml:space="preserve"> من المادة 7 من الدستور).</w:t>
      </w:r>
    </w:p>
    <w:p w14:paraId="70BC9209" w14:textId="2C322504" w:rsidR="008B5CCA" w:rsidRPr="008B5CCA" w:rsidRDefault="008B5CCA" w:rsidP="008B5CCA">
      <w:pPr>
        <w:pStyle w:val="enumlev1"/>
        <w:rPr>
          <w:lang w:val="ar-SA" w:bidi="ar-EG"/>
        </w:rPr>
      </w:pPr>
      <w:r>
        <w:rPr>
          <w:lang w:val="en-GB"/>
        </w:rPr>
        <w:t>(2</w:t>
      </w:r>
      <w:r>
        <w:rPr>
          <w:lang w:val="en-GB"/>
        </w:rPr>
        <w:tab/>
      </w:r>
      <w:r w:rsidRPr="008B5CCA">
        <w:rPr>
          <w:rtl/>
          <w:lang w:val="en-GB"/>
        </w:rPr>
        <w:t xml:space="preserve">يتصرف المجلس (الرقم 41، الفقرة الفرعية </w:t>
      </w:r>
      <w:r w:rsidRPr="008B5CCA">
        <w:rPr>
          <w:i/>
          <w:iCs/>
          <w:rtl/>
          <w:lang w:val="en-GB"/>
        </w:rPr>
        <w:t>ب)</w:t>
      </w:r>
      <w:r w:rsidRPr="008B5CCA">
        <w:rPr>
          <w:rtl/>
          <w:lang w:val="en-GB"/>
        </w:rPr>
        <w:t xml:space="preserve"> من المادة 7 من الدستور) باسم مؤتمر المندوبين المفوضين في الفترة الواقعة بين مؤتمرين للمندوبين المفوضين، بصفته الهيئة الإدارية للاتحاد، ويتخذ جميع الخطوات اللازمة كي يسهّل على الدول الأعضاء تنفيذ أحكام الدستور والاتفاقية واللوائح الإدارية وقرارات مؤتمرات الاتحاد وجمعياته واجتماعاته الأخرى (المادة 10 من الدستور).</w:t>
      </w:r>
    </w:p>
    <w:p w14:paraId="0D3B5863" w14:textId="50068D03" w:rsidR="008B5CCA" w:rsidRPr="008B5CCA" w:rsidRDefault="008B5CCA" w:rsidP="008B5CCA">
      <w:pPr>
        <w:pStyle w:val="enumlev1"/>
        <w:rPr>
          <w:lang w:val="ar-SA" w:bidi="ar-EG"/>
        </w:rPr>
      </w:pPr>
      <w:r>
        <w:rPr>
          <w:lang w:val="en-GB"/>
        </w:rPr>
        <w:t>(3</w:t>
      </w:r>
      <w:r>
        <w:rPr>
          <w:lang w:val="en-GB"/>
        </w:rPr>
        <w:tab/>
      </w:r>
      <w:r w:rsidRPr="008B5CCA">
        <w:rPr>
          <w:rtl/>
          <w:lang w:val="en-GB"/>
        </w:rPr>
        <w:t>يشرف المجلس، في الفترة الواقعة بين مؤتمرين للمندوبين المفوضين، على مجمل التسيير الإداري والإدارة في</w:t>
      </w:r>
      <w:r w:rsidR="00234DA8">
        <w:rPr>
          <w:rFonts w:hint="eastAsia"/>
          <w:rtl/>
          <w:lang w:val="en-GB" w:bidi="ar-SA"/>
        </w:rPr>
        <w:t> </w:t>
      </w:r>
      <w:r w:rsidRPr="008B5CCA">
        <w:rPr>
          <w:rtl/>
          <w:lang w:val="en-GB"/>
        </w:rPr>
        <w:t xml:space="preserve">الاتحاد؛ ويقوم على وجه الخصوص، وفقاً للرقم 79 من الاتفاقية (الفقرة الفرعية </w:t>
      </w:r>
      <w:proofErr w:type="gramStart"/>
      <w:r w:rsidRPr="004B62A3">
        <w:rPr>
          <w:rtl/>
          <w:lang w:val="en-GB"/>
        </w:rPr>
        <w:t>13)</w:t>
      </w:r>
      <w:r w:rsidRPr="008B5CCA">
        <w:rPr>
          <w:rtl/>
          <w:lang w:val="en-GB"/>
        </w:rPr>
        <w:t>،</w:t>
      </w:r>
      <w:proofErr w:type="gramEnd"/>
      <w:r w:rsidRPr="008B5CCA">
        <w:rPr>
          <w:rtl/>
          <w:lang w:val="en-GB"/>
        </w:rPr>
        <w:t xml:space="preserve"> الفقرة 11 من المادة 4 من القسم 2) باتخاذ جميع الترتيبات اللازمة، بعد موافقة أغلبية الدول الأعضاء، ليحل مؤقتاً المسائل </w:t>
      </w:r>
      <w:r w:rsidRPr="008B5CCA">
        <w:rPr>
          <w:b/>
          <w:bCs/>
          <w:rtl/>
          <w:lang w:val="en-GB"/>
        </w:rPr>
        <w:t>غير المنصوص عليها</w:t>
      </w:r>
      <w:r w:rsidRPr="008B5CCA">
        <w:rPr>
          <w:rtl/>
          <w:lang w:val="en-GB"/>
        </w:rPr>
        <w:t xml:space="preserve"> في الدستور وفي الاتفاقية وفي اللوائح الإدارية، والتي لا يمكنها انتظار انعقاد المؤتمر المختص القادم لحلها.</w:t>
      </w:r>
    </w:p>
    <w:p w14:paraId="38BA7DD8" w14:textId="548631C2" w:rsidR="008B5CCA" w:rsidRPr="008B5CCA" w:rsidRDefault="008B5CCA" w:rsidP="008B5CCA">
      <w:pPr>
        <w:pStyle w:val="enumlev1"/>
        <w:rPr>
          <w:lang w:val="ar-SA" w:bidi="ar-EG"/>
        </w:rPr>
      </w:pPr>
      <w:r>
        <w:rPr>
          <w:lang w:val="en-GB"/>
        </w:rPr>
        <w:t>(4</w:t>
      </w:r>
      <w:r>
        <w:rPr>
          <w:lang w:val="en-GB"/>
        </w:rPr>
        <w:tab/>
      </w:r>
      <w:r w:rsidRPr="008B5CCA">
        <w:rPr>
          <w:b/>
          <w:bCs/>
          <w:rtl/>
          <w:lang w:val="en-GB"/>
        </w:rPr>
        <w:t xml:space="preserve">ينص </w:t>
      </w:r>
      <w:r w:rsidRPr="008B5CCA">
        <w:rPr>
          <w:rtl/>
          <w:lang w:val="en-GB"/>
        </w:rPr>
        <w:t xml:space="preserve">الدستور على </w:t>
      </w:r>
      <w:r w:rsidRPr="005A44B0">
        <w:rPr>
          <w:b/>
          <w:bCs/>
          <w:rtl/>
          <w:lang w:val="en-GB"/>
        </w:rPr>
        <w:t>تواتر</w:t>
      </w:r>
      <w:r w:rsidRPr="008B5CCA">
        <w:rPr>
          <w:rtl/>
          <w:lang w:val="en-GB"/>
        </w:rPr>
        <w:t xml:space="preserve"> عقد مؤتمرات المندوبين المفوضين </w:t>
      </w:r>
      <w:r w:rsidRPr="008B5CCA">
        <w:rPr>
          <w:b/>
          <w:bCs/>
          <w:rtl/>
          <w:lang w:val="en-GB"/>
        </w:rPr>
        <w:t>ويحددها بوضوح</w:t>
      </w:r>
      <w:r w:rsidRPr="008B5CCA">
        <w:rPr>
          <w:rtl/>
          <w:lang w:val="en-GB"/>
        </w:rPr>
        <w:t xml:space="preserve">، ووفقاً للرقم 47 من الدستور (الفقرة 1 من المادة </w:t>
      </w:r>
      <w:proofErr w:type="gramStart"/>
      <w:r w:rsidRPr="008B5CCA">
        <w:rPr>
          <w:rtl/>
          <w:lang w:val="en-GB"/>
        </w:rPr>
        <w:t>8)،</w:t>
      </w:r>
      <w:proofErr w:type="gramEnd"/>
      <w:r w:rsidRPr="008B5CCA">
        <w:rPr>
          <w:rtl/>
          <w:lang w:val="en-GB"/>
        </w:rPr>
        <w:t xml:space="preserve"> يُعقد مؤتمر المندوبين المفوضين مرة كل أربع سنوات لمعالجة قضايا محددة </w:t>
      </w:r>
      <w:r w:rsidRPr="008B5CCA">
        <w:rPr>
          <w:b/>
          <w:bCs/>
          <w:rtl/>
          <w:lang w:val="en-GB"/>
        </w:rPr>
        <w:t>منصوص عليها بوضوح</w:t>
      </w:r>
      <w:r w:rsidRPr="008B5CCA">
        <w:rPr>
          <w:rtl/>
          <w:lang w:val="en-GB"/>
        </w:rPr>
        <w:t xml:space="preserve"> أيضاً في الأرقام من 49 إلى 59 من الدستور (الفقرات الفرعية من</w:t>
      </w:r>
      <w:r w:rsidRPr="008B5CCA">
        <w:rPr>
          <w:i/>
          <w:iCs/>
          <w:rtl/>
          <w:lang w:val="en-GB"/>
        </w:rPr>
        <w:t xml:space="preserve"> </w:t>
      </w:r>
      <w:proofErr w:type="gramStart"/>
      <w:r w:rsidRPr="008B5CCA">
        <w:rPr>
          <w:i/>
          <w:iCs/>
          <w:rtl/>
          <w:lang w:val="en-GB"/>
        </w:rPr>
        <w:t>أ</w:t>
      </w:r>
      <w:r w:rsidR="005A44B0">
        <w:rPr>
          <w:rFonts w:hint="cs"/>
          <w:i/>
          <w:iCs/>
          <w:rtl/>
          <w:lang w:val="en-GB"/>
        </w:rPr>
        <w:t> </w:t>
      </w:r>
      <w:r w:rsidRPr="008B5CCA">
        <w:rPr>
          <w:i/>
          <w:iCs/>
          <w:rtl/>
          <w:lang w:val="en-GB"/>
        </w:rPr>
        <w:t>)</w:t>
      </w:r>
      <w:proofErr w:type="gramEnd"/>
      <w:r w:rsidRPr="008B5CCA">
        <w:rPr>
          <w:rtl/>
          <w:lang w:val="en-GB"/>
        </w:rPr>
        <w:t xml:space="preserve"> إلى </w:t>
      </w:r>
      <w:r w:rsidRPr="008B5CCA">
        <w:rPr>
          <w:i/>
          <w:iCs/>
          <w:rtl/>
          <w:lang w:val="en-GB"/>
        </w:rPr>
        <w:t>ك)</w:t>
      </w:r>
      <w:r w:rsidRPr="008B5CCA">
        <w:rPr>
          <w:rtl/>
          <w:lang w:val="en-GB"/>
        </w:rPr>
        <w:t xml:space="preserve"> من الفقرة</w:t>
      </w:r>
      <w:r w:rsidR="004B62A3">
        <w:rPr>
          <w:rFonts w:hint="cs"/>
          <w:rtl/>
          <w:lang w:val="en-GB"/>
        </w:rPr>
        <w:t> </w:t>
      </w:r>
      <w:r w:rsidRPr="008B5CCA">
        <w:rPr>
          <w:rtl/>
          <w:lang w:val="en-GB"/>
        </w:rPr>
        <w:t>2 من المادة 8).</w:t>
      </w:r>
    </w:p>
    <w:p w14:paraId="657AA3EE" w14:textId="124B05D4" w:rsidR="008B5CCA" w:rsidRPr="005A44B0" w:rsidRDefault="008B5CCA" w:rsidP="008B5CCA">
      <w:pPr>
        <w:pStyle w:val="enumlev1"/>
        <w:rPr>
          <w:spacing w:val="-2"/>
          <w:lang w:val="ar-SA" w:bidi="ar-EG"/>
        </w:rPr>
      </w:pPr>
      <w:r w:rsidRPr="005A44B0">
        <w:rPr>
          <w:spacing w:val="-2"/>
          <w:lang w:val="en-GB"/>
        </w:rPr>
        <w:t>(5</w:t>
      </w:r>
      <w:r w:rsidRPr="005A44B0">
        <w:rPr>
          <w:spacing w:val="-2"/>
          <w:lang w:val="en-GB"/>
        </w:rPr>
        <w:tab/>
      </w:r>
      <w:r w:rsidRPr="005A44B0">
        <w:rPr>
          <w:spacing w:val="-2"/>
          <w:rtl/>
          <w:lang w:val="en-GB"/>
        </w:rPr>
        <w:t xml:space="preserve">قرر مؤتمر المندوبين المفوضين لعام 2022، في القرار 77 (المراجَع في بوخارست، 2022) بشأن "تحديد مواعيد وفترات مؤتمرات الاتحاد ومنتدياته وجمعياته ودورات مجلسه </w:t>
      </w:r>
      <w:r w:rsidRPr="005A44B0">
        <w:rPr>
          <w:spacing w:val="-2"/>
          <w:lang w:val="en-GB"/>
        </w:rPr>
        <w:t>(</w:t>
      </w:r>
      <w:r w:rsidR="005A44B0" w:rsidRPr="005A44B0">
        <w:rPr>
          <w:spacing w:val="-2"/>
          <w:lang w:val="en-GB"/>
        </w:rPr>
        <w:t>2027</w:t>
      </w:r>
      <w:r w:rsidRPr="005A44B0">
        <w:rPr>
          <w:spacing w:val="-2"/>
          <w:lang w:val="en-GB"/>
        </w:rPr>
        <w:t>-</w:t>
      </w:r>
      <w:r w:rsidR="005A44B0" w:rsidRPr="005A44B0">
        <w:rPr>
          <w:spacing w:val="-2"/>
          <w:lang w:val="en-GB"/>
        </w:rPr>
        <w:t>2023</w:t>
      </w:r>
      <w:r w:rsidRPr="005A44B0">
        <w:rPr>
          <w:spacing w:val="-2"/>
          <w:lang w:val="en-GB"/>
        </w:rPr>
        <w:t>)</w:t>
      </w:r>
      <w:r w:rsidRPr="005A44B0">
        <w:rPr>
          <w:spacing w:val="-2"/>
          <w:rtl/>
          <w:lang w:bidi="ar-EG"/>
        </w:rPr>
        <w:t>"</w:t>
      </w:r>
      <w:r w:rsidRPr="005A44B0">
        <w:rPr>
          <w:spacing w:val="-2"/>
          <w:rtl/>
          <w:lang w:val="en-GB"/>
        </w:rPr>
        <w:t>، أن يُعقد مؤتمر المندوبين المفوضين في الربع الأخير من عام 2026 في الدوحة، قطر. وقرر المجلس، في دورته لعام 2023، في</w:t>
      </w:r>
      <w:r w:rsidR="005A44B0" w:rsidRPr="005A44B0">
        <w:rPr>
          <w:rFonts w:hint="eastAsia"/>
          <w:spacing w:val="-2"/>
          <w:rtl/>
          <w:lang w:val="en-GB" w:bidi="ar-SA"/>
        </w:rPr>
        <w:t> </w:t>
      </w:r>
      <w:r w:rsidRPr="005A44B0">
        <w:rPr>
          <w:spacing w:val="-2"/>
          <w:rtl/>
          <w:lang w:val="en-GB"/>
        </w:rPr>
        <w:t>المقرر 636 (دورة المجلس لعام 2023)، أن يكون موعد انعقاد مؤتمر المندوبين المفوضين من يوم الإثنين</w:t>
      </w:r>
      <w:r w:rsidR="005A44B0" w:rsidRPr="005A44B0">
        <w:rPr>
          <w:rFonts w:hint="cs"/>
          <w:spacing w:val="-2"/>
          <w:rtl/>
          <w:lang w:val="en-GB"/>
        </w:rPr>
        <w:t> </w:t>
      </w:r>
      <w:r w:rsidRPr="005A44B0">
        <w:rPr>
          <w:spacing w:val="-2"/>
          <w:rtl/>
          <w:lang w:val="en-GB"/>
        </w:rPr>
        <w:t xml:space="preserve">9 نوفمبر 2026 إلى يوم الجمعة 27 نوفمبر 2026. وقد أسفرت المشاورة التي أجريت من خلال الرسالة المعممة رقم </w:t>
      </w:r>
      <w:r w:rsidR="005A44B0" w:rsidRPr="005A44B0">
        <w:rPr>
          <w:spacing w:val="-2"/>
          <w:lang w:val="en-GB"/>
        </w:rPr>
        <w:t>23/44</w:t>
      </w:r>
      <w:r w:rsidRPr="005A44B0">
        <w:rPr>
          <w:spacing w:val="-2"/>
          <w:rtl/>
          <w:lang w:val="en-GB"/>
        </w:rPr>
        <w:t xml:space="preserve"> المؤرخة 7 نوفمبر 2023 بشأن المكان المحدد والموعد الدقيق لعقد مؤتمر المندوبين المفوضين لعام 2026 عن موافقة الأغلبية المطلوبة من الدول الأعضاء في الاتحاد، وفقاً للرقم 47 من اتفاقية الاتحاد. وعليه، وافقت الدول الأعضاء في الاتحاد على أن يُعقد مؤتمر المندوبين المفوضين لعام 2026 </w:t>
      </w:r>
      <w:r w:rsidRPr="005A44B0">
        <w:rPr>
          <w:spacing w:val="-2"/>
          <w:lang w:val="en-GB"/>
        </w:rPr>
        <w:t>(</w:t>
      </w:r>
      <w:r w:rsidRPr="005A44B0">
        <w:rPr>
          <w:spacing w:val="-2"/>
          <w:lang w:bidi="ar-EG"/>
        </w:rPr>
        <w:t>PP-26</w:t>
      </w:r>
      <w:r w:rsidRPr="005A44B0">
        <w:rPr>
          <w:spacing w:val="-2"/>
          <w:lang w:val="en-GB"/>
        </w:rPr>
        <w:t>)</w:t>
      </w:r>
      <w:r w:rsidRPr="005A44B0">
        <w:rPr>
          <w:spacing w:val="-2"/>
          <w:rtl/>
          <w:lang w:val="en-GB"/>
        </w:rPr>
        <w:t xml:space="preserve"> في مركز الدوحة للمعارض والمؤتمرات، في الفترة من يوم الإثنين 9 نوفمبر إلى يوم الجمعة 27 نوفمبر 2026 (الرسالة المعممة</w:t>
      </w:r>
      <w:r w:rsidR="005A44B0">
        <w:rPr>
          <w:spacing w:val="-2"/>
          <w:lang w:val="en-GB"/>
        </w:rPr>
        <w:t> </w:t>
      </w:r>
      <w:r w:rsidRPr="005A44B0">
        <w:rPr>
          <w:spacing w:val="-2"/>
          <w:rtl/>
          <w:lang w:val="en-GB"/>
        </w:rPr>
        <w:t>CL-23/53</w:t>
      </w:r>
      <w:r w:rsidR="005A44B0">
        <w:rPr>
          <w:rFonts w:hint="cs"/>
          <w:spacing w:val="-2"/>
          <w:rtl/>
          <w:lang w:val="en-GB"/>
        </w:rPr>
        <w:t xml:space="preserve"> </w:t>
      </w:r>
      <w:r w:rsidRPr="005A44B0">
        <w:rPr>
          <w:spacing w:val="-2"/>
          <w:rtl/>
          <w:lang w:val="en-GB"/>
        </w:rPr>
        <w:t>المؤرخة 21 ديسمبر 2023)، وفقاً للرقم 2 من الاتفاقية (الفقرة الفرعية 2 من الفقرة 1، المادة 1 من القسم 1)،</w:t>
      </w:r>
      <w:r w:rsidR="005A44B0">
        <w:rPr>
          <w:spacing w:val="-2"/>
          <w:rtl/>
          <w:lang w:val="en-GB"/>
        </w:rPr>
        <w:t xml:space="preserve"> </w:t>
      </w:r>
      <w:r w:rsidRPr="005A44B0">
        <w:rPr>
          <w:spacing w:val="-2"/>
          <w:rtl/>
          <w:lang w:val="en-GB"/>
        </w:rPr>
        <w:t>مع مراعاة تنفيذ الإجراءات المنصوص عليها في الأرقام من 4 إلى 6 من القواعد العامة لمؤتمرات الاتحاد وجمعياته واجتماعاته</w:t>
      </w:r>
      <w:r w:rsidR="005A44B0">
        <w:rPr>
          <w:rFonts w:hint="cs"/>
          <w:spacing w:val="-2"/>
          <w:rtl/>
          <w:lang w:val="en-GB"/>
        </w:rPr>
        <w:t xml:space="preserve"> </w:t>
      </w:r>
      <w:r w:rsidR="005A44B0">
        <w:rPr>
          <w:rFonts w:hint="cs"/>
          <w:spacing w:val="-2"/>
          <w:rtl/>
          <w:lang w:bidi="ar-SA"/>
        </w:rPr>
        <w:t>(</w:t>
      </w:r>
      <w:r w:rsidR="005A44B0" w:rsidRPr="005A44B0">
        <w:rPr>
          <w:spacing w:val="-2"/>
          <w:rtl/>
          <w:lang w:val="en-GB"/>
        </w:rPr>
        <w:t>القواعد العامة</w:t>
      </w:r>
      <w:r w:rsidR="005A44B0">
        <w:rPr>
          <w:rFonts w:hint="cs"/>
          <w:spacing w:val="-2"/>
          <w:rtl/>
          <w:lang w:bidi="ar-SA"/>
        </w:rPr>
        <w:t>)</w:t>
      </w:r>
      <w:r w:rsidRPr="005A44B0">
        <w:rPr>
          <w:spacing w:val="-2"/>
          <w:rtl/>
          <w:lang w:val="en-GB"/>
        </w:rPr>
        <w:t xml:space="preserve"> (الفقرتان 1 و2 من القسم 1 من الفصل </w:t>
      </w:r>
      <w:r w:rsidRPr="005A44B0">
        <w:rPr>
          <w:spacing w:val="-2"/>
          <w:lang w:bidi="ar-EG"/>
        </w:rPr>
        <w:t>I</w:t>
      </w:r>
      <w:r w:rsidRPr="005A44B0">
        <w:rPr>
          <w:spacing w:val="-2"/>
          <w:rtl/>
          <w:lang w:val="en-GB"/>
        </w:rPr>
        <w:t>).</w:t>
      </w:r>
    </w:p>
    <w:p w14:paraId="2CEFC0D9" w14:textId="55DA43EF" w:rsidR="008B5CCA" w:rsidRPr="008B5CCA" w:rsidRDefault="008B5CCA" w:rsidP="008B5CCA">
      <w:pPr>
        <w:pStyle w:val="enumlev1"/>
        <w:rPr>
          <w:lang w:val="ar-SA" w:bidi="ar-EG"/>
        </w:rPr>
      </w:pPr>
      <w:r>
        <w:rPr>
          <w:lang w:val="en-GB"/>
        </w:rPr>
        <w:t>(6</w:t>
      </w:r>
      <w:r>
        <w:rPr>
          <w:lang w:val="en-GB"/>
        </w:rPr>
        <w:tab/>
      </w:r>
      <w:r w:rsidRPr="008B5CCA">
        <w:rPr>
          <w:rtl/>
          <w:lang w:val="en-GB"/>
        </w:rPr>
        <w:t>لقد بذلت دولة قطر، بصفتها الحكومة الداعية، جهوداً كبيرة بالفعل لضمان عقد مؤتمر المندوبين المفوضين في البلد.</w:t>
      </w:r>
    </w:p>
    <w:p w14:paraId="04C60114" w14:textId="409D4922" w:rsidR="008B5CCA" w:rsidRPr="005A44B0" w:rsidRDefault="008B5CCA" w:rsidP="008B5CCA">
      <w:pPr>
        <w:pStyle w:val="enumlev1"/>
        <w:rPr>
          <w:spacing w:val="-2"/>
          <w:lang w:val="ar-SA" w:bidi="ar-EG"/>
        </w:rPr>
      </w:pPr>
      <w:r w:rsidRPr="005A44B0">
        <w:rPr>
          <w:spacing w:val="-2"/>
          <w:lang w:val="en-GB"/>
        </w:rPr>
        <w:t>(7</w:t>
      </w:r>
      <w:r w:rsidRPr="005A44B0">
        <w:rPr>
          <w:spacing w:val="-2"/>
          <w:lang w:val="en-GB"/>
        </w:rPr>
        <w:tab/>
      </w:r>
      <w:r w:rsidRPr="005A44B0">
        <w:rPr>
          <w:spacing w:val="-2"/>
          <w:rtl/>
          <w:lang w:val="en-GB"/>
        </w:rPr>
        <w:t>وفي وقت إعداد هذه المساهمة، لم تصدر عن إدارة الأمم المتحدة لشؤون السلامة والأمن أي توصيات مباشرة بشأن إمكانية عقد مؤتمر المندوبين المفوضين وفقاً لقرارات مؤتمر المندوبين المفوضين لعام 2022 وقرارات المجلس في دورته لعام 2023، على الرغم من استمرار حالة عدم اليقين بشأن الأمن في المنطقة ومخاطر التصعيد.</w:t>
      </w:r>
    </w:p>
    <w:p w14:paraId="3B24113E" w14:textId="5F97767A" w:rsidR="008B5CCA" w:rsidRPr="008B5CCA" w:rsidRDefault="008B5CCA" w:rsidP="008B5CCA">
      <w:pPr>
        <w:pStyle w:val="enumlev1"/>
        <w:rPr>
          <w:lang w:val="ar-SA" w:bidi="ar-EG"/>
        </w:rPr>
      </w:pPr>
      <w:r>
        <w:rPr>
          <w:lang w:val="en-GB"/>
        </w:rPr>
        <w:t>(8</w:t>
      </w:r>
      <w:r>
        <w:rPr>
          <w:lang w:val="en-GB"/>
        </w:rPr>
        <w:tab/>
      </w:r>
      <w:r w:rsidRPr="008B5CCA">
        <w:rPr>
          <w:rtl/>
          <w:lang w:val="en-GB"/>
        </w:rPr>
        <w:t xml:space="preserve">يجوز، بصفة استثنائية، في الفترة الواقعة بين مؤتمرين عاديين للمندوبين المفوضين </w:t>
      </w:r>
      <w:r w:rsidR="00234DA8">
        <w:rPr>
          <w:rFonts w:hint="cs"/>
          <w:rtl/>
          <w:lang w:val="en-GB"/>
        </w:rPr>
        <w:t xml:space="preserve">اللذين </w:t>
      </w:r>
      <w:r w:rsidRPr="008B5CCA">
        <w:rPr>
          <w:rtl/>
          <w:lang w:val="en-GB"/>
        </w:rPr>
        <w:t xml:space="preserve">يُعقدان كل أربع سنوات وفقاً للرقم 47 من الدستور (الفقرة 1 من المادة </w:t>
      </w:r>
      <w:proofErr w:type="gramStart"/>
      <w:r w:rsidRPr="008B5CCA">
        <w:rPr>
          <w:rtl/>
          <w:lang w:val="en-GB"/>
        </w:rPr>
        <w:t>8)،</w:t>
      </w:r>
      <w:proofErr w:type="gramEnd"/>
      <w:r w:rsidRPr="008B5CCA">
        <w:rPr>
          <w:rtl/>
          <w:lang w:val="en-GB"/>
        </w:rPr>
        <w:t xml:space="preserve"> عقد مؤتمر استثنائي للمندوبين المفوضين يكون له جدول أعمال موجز لمعالجة أمور معينة وفقاً للأرقام من </w:t>
      </w:r>
      <w:r w:rsidRPr="008B5CCA">
        <w:rPr>
          <w:lang w:val="en-GB"/>
        </w:rPr>
        <w:t>59A</w:t>
      </w:r>
      <w:r w:rsidRPr="008B5CCA">
        <w:rPr>
          <w:rtl/>
          <w:lang w:val="en-GB"/>
        </w:rPr>
        <w:t xml:space="preserve"> إلى </w:t>
      </w:r>
      <w:r w:rsidRPr="008B5CCA">
        <w:rPr>
          <w:lang w:val="en-GB"/>
        </w:rPr>
        <w:t>59D</w:t>
      </w:r>
      <w:r w:rsidRPr="008B5CCA">
        <w:rPr>
          <w:rtl/>
          <w:lang w:val="en-GB"/>
        </w:rPr>
        <w:t xml:space="preserve"> من الدستور (الفقرات الفرعية </w:t>
      </w:r>
      <w:proofErr w:type="gramStart"/>
      <w:r w:rsidRPr="005A44B0">
        <w:rPr>
          <w:i/>
          <w:iCs/>
          <w:rtl/>
          <w:lang w:val="en-GB"/>
        </w:rPr>
        <w:t>أ</w:t>
      </w:r>
      <w:r w:rsidR="005A44B0" w:rsidRPr="005A44B0">
        <w:rPr>
          <w:rFonts w:hint="cs"/>
          <w:i/>
          <w:iCs/>
          <w:rtl/>
          <w:lang w:val="en-GB"/>
        </w:rPr>
        <w:t> </w:t>
      </w:r>
      <w:r w:rsidRPr="005A44B0">
        <w:rPr>
          <w:i/>
          <w:iCs/>
          <w:rtl/>
          <w:lang w:val="en-GB"/>
        </w:rPr>
        <w:t>)</w:t>
      </w:r>
      <w:proofErr w:type="gramEnd"/>
      <w:r w:rsidRPr="008B5CCA">
        <w:rPr>
          <w:rtl/>
          <w:lang w:val="en-GB"/>
        </w:rPr>
        <w:t xml:space="preserve"> و</w:t>
      </w:r>
      <w:r w:rsidRPr="005A44B0">
        <w:rPr>
          <w:i/>
          <w:iCs/>
          <w:rtl/>
          <w:lang w:val="en-GB"/>
        </w:rPr>
        <w:t>ب)</w:t>
      </w:r>
      <w:r w:rsidRPr="008B5CCA">
        <w:rPr>
          <w:rtl/>
          <w:lang w:val="en-GB"/>
        </w:rPr>
        <w:t xml:space="preserve"> و</w:t>
      </w:r>
      <w:r w:rsidRPr="005A44B0">
        <w:rPr>
          <w:i/>
          <w:iCs/>
          <w:rtl/>
          <w:lang w:val="en-GB"/>
        </w:rPr>
        <w:t>ج)</w:t>
      </w:r>
      <w:r w:rsidRPr="008B5CCA">
        <w:rPr>
          <w:rtl/>
          <w:lang w:val="en-GB"/>
        </w:rPr>
        <w:t xml:space="preserve"> من الفقرة 3 من المادة 8).</w:t>
      </w:r>
    </w:p>
    <w:p w14:paraId="71B63B1B" w14:textId="52512135" w:rsidR="008B5CCA" w:rsidRPr="008B5CCA" w:rsidRDefault="008B5CCA" w:rsidP="008B5CCA">
      <w:pPr>
        <w:pStyle w:val="enumlev1"/>
        <w:rPr>
          <w:lang w:val="ar-SA" w:bidi="ar-EG"/>
        </w:rPr>
      </w:pPr>
      <w:r>
        <w:rPr>
          <w:lang w:val="en-GB"/>
        </w:rPr>
        <w:t>(9</w:t>
      </w:r>
      <w:r>
        <w:rPr>
          <w:lang w:val="en-GB"/>
        </w:rPr>
        <w:tab/>
      </w:r>
      <w:r w:rsidRPr="008B5CCA">
        <w:rPr>
          <w:rtl/>
          <w:lang w:val="en-GB"/>
        </w:rPr>
        <w:t>إذا تقرر عقد مؤتمر للمندوبين المفوضين في حالة عدم وجود حكومة داعية، يتخذ الأمين العام الترتيبات اللازمة لعقد وتنظيم المؤتمر أو الجمعية في مقر الاتحاد بعد الاتفاق مع حكومة الاتحاد السويسري (الرقم 35 من القواعد العامة).</w:t>
      </w:r>
    </w:p>
    <w:p w14:paraId="770674DD" w14:textId="72F15C68" w:rsidR="008B5CCA" w:rsidRPr="008B5CCA" w:rsidRDefault="008B5CCA" w:rsidP="008B5CCA">
      <w:pPr>
        <w:pStyle w:val="Heading1"/>
        <w:rPr>
          <w:lang w:val="ar-SA" w:bidi="ar-EG"/>
        </w:rPr>
      </w:pPr>
      <w:r>
        <w:rPr>
          <w:lang w:val="en-GB"/>
        </w:rPr>
        <w:lastRenderedPageBreak/>
        <w:t>2</w:t>
      </w:r>
      <w:r>
        <w:rPr>
          <w:lang w:val="en-GB"/>
        </w:rPr>
        <w:tab/>
      </w:r>
      <w:r w:rsidRPr="008B5CCA">
        <w:rPr>
          <w:rtl/>
          <w:lang w:val="en-GB"/>
        </w:rPr>
        <w:t>الاستنتاجات</w:t>
      </w:r>
    </w:p>
    <w:p w14:paraId="4DBE3E71" w14:textId="0D2C3EF2" w:rsidR="008B5CCA" w:rsidRPr="008B5CCA" w:rsidRDefault="008B5CCA" w:rsidP="008B5CCA">
      <w:pPr>
        <w:pStyle w:val="enumlev1"/>
        <w:rPr>
          <w:lang w:val="ar-SA" w:bidi="ar-EG"/>
        </w:rPr>
      </w:pPr>
      <w:r>
        <w:rPr>
          <w:lang w:val="en-GB"/>
        </w:rPr>
        <w:t>(1</w:t>
      </w:r>
      <w:r>
        <w:rPr>
          <w:lang w:val="en-GB"/>
        </w:rPr>
        <w:tab/>
      </w:r>
      <w:r w:rsidRPr="008B5CCA">
        <w:rPr>
          <w:rtl/>
          <w:lang w:val="en-GB"/>
        </w:rPr>
        <w:t>وفقاً للدستور، يُعقد مؤتمر المندوبين المفوضين على وجه التدقيق مرة واحدة كل أربع سنوات، ولا يمكن تغيير تواتر عقد مؤتمر المندوبين المفوضين العادي دون مراجعة أحكام الدستور ذات الصلة.</w:t>
      </w:r>
    </w:p>
    <w:p w14:paraId="166E4E25" w14:textId="75778B8C" w:rsidR="008B5CCA" w:rsidRPr="005A44B0" w:rsidRDefault="008B5CCA" w:rsidP="008B5CCA">
      <w:pPr>
        <w:pStyle w:val="enumlev1"/>
        <w:rPr>
          <w:spacing w:val="-4"/>
          <w:lang w:val="ar-SA" w:bidi="ar-EG"/>
        </w:rPr>
      </w:pPr>
      <w:r w:rsidRPr="005A44B0">
        <w:rPr>
          <w:spacing w:val="-4"/>
          <w:lang w:val="en-GB"/>
        </w:rPr>
        <w:t>(2</w:t>
      </w:r>
      <w:r w:rsidRPr="005A44B0">
        <w:rPr>
          <w:spacing w:val="-4"/>
          <w:lang w:val="en-GB"/>
        </w:rPr>
        <w:tab/>
      </w:r>
      <w:r w:rsidRPr="005A44B0">
        <w:rPr>
          <w:spacing w:val="-4"/>
          <w:rtl/>
          <w:lang w:val="en-GB"/>
        </w:rPr>
        <w:t xml:space="preserve">وفقاً للدستور والاتفاقية والقواعد العامة، يجب أن يُعقد مؤتمر المندوبين المفوضين العادي المقبل في عام 2026 </w:t>
      </w:r>
      <w:r w:rsidRPr="005A44B0">
        <w:rPr>
          <w:rtl/>
          <w:lang w:val="en-GB"/>
        </w:rPr>
        <w:t>إما في دولة قطر أو في الاتحاد السويسري، البلد المضيف للاتحاد الدولي للاتصالات.</w:t>
      </w:r>
    </w:p>
    <w:p w14:paraId="20B893CC" w14:textId="06317E90" w:rsidR="008B5CCA" w:rsidRPr="008B5CCA" w:rsidRDefault="008B5CCA" w:rsidP="008B5CCA">
      <w:pPr>
        <w:pStyle w:val="enumlev1"/>
        <w:rPr>
          <w:lang w:val="ar-SA" w:bidi="ar-EG"/>
        </w:rPr>
      </w:pPr>
      <w:r>
        <w:rPr>
          <w:lang w:val="en-GB"/>
        </w:rPr>
        <w:t>(3</w:t>
      </w:r>
      <w:r>
        <w:rPr>
          <w:lang w:val="en-GB"/>
        </w:rPr>
        <w:tab/>
      </w:r>
      <w:r w:rsidRPr="008B5CCA">
        <w:rPr>
          <w:rtl/>
          <w:lang w:val="en-GB"/>
        </w:rPr>
        <w:t xml:space="preserve">يُعقد مؤتمر المندوبين المفوضين العادي المقبل لعام 2026، سواء كان ذلك في دولة قطر أو في الاتحاد السويسري، لمدة زمنية كافية للنظر في جميع بنود جدول الأعمال، ولا يجوز تقسيم مدته بين هاتين الدولتين العضوين في الاتحاد أو غيرهما من الدول الأعضاء فيه، استناداً إلى أحكام المادة 1 من الاتفاقية، والرقم 5 من القواعد العامة (الفقرة الفرعية 1 من الفقرة 2، القسم 1، الفصل </w:t>
      </w:r>
      <w:r w:rsidRPr="008B5CCA">
        <w:rPr>
          <w:lang w:bidi="ar-EG"/>
        </w:rPr>
        <w:t>I</w:t>
      </w:r>
      <w:r w:rsidRPr="008B5CCA">
        <w:rPr>
          <w:rtl/>
          <w:lang w:val="en-GB"/>
        </w:rPr>
        <w:t xml:space="preserve">) وإلى الرسالة المعممة </w:t>
      </w:r>
      <w:r w:rsidRPr="008B5CCA">
        <w:rPr>
          <w:lang w:val="en-GB"/>
        </w:rPr>
        <w:t>CL-23/53</w:t>
      </w:r>
      <w:r w:rsidRPr="008B5CCA">
        <w:rPr>
          <w:rtl/>
          <w:lang w:val="en-GB"/>
        </w:rPr>
        <w:t xml:space="preserve"> المؤرخة 21 ديسمبر 2023.</w:t>
      </w:r>
    </w:p>
    <w:p w14:paraId="640AAEFB" w14:textId="74095ACD" w:rsidR="008B5CCA" w:rsidRPr="006130A3" w:rsidRDefault="008B5CCA" w:rsidP="008B5CCA">
      <w:pPr>
        <w:pStyle w:val="enumlev1"/>
        <w:rPr>
          <w:spacing w:val="-4"/>
          <w:lang w:val="ar-SA" w:bidi="ar-EG"/>
        </w:rPr>
      </w:pPr>
      <w:r w:rsidRPr="006130A3">
        <w:rPr>
          <w:spacing w:val="-4"/>
          <w:lang w:val="en-GB"/>
        </w:rPr>
        <w:t>(4</w:t>
      </w:r>
      <w:r w:rsidRPr="006130A3">
        <w:rPr>
          <w:spacing w:val="-4"/>
          <w:lang w:val="en-GB"/>
        </w:rPr>
        <w:tab/>
      </w:r>
      <w:r w:rsidRPr="006130A3">
        <w:rPr>
          <w:spacing w:val="-4"/>
          <w:rtl/>
          <w:lang w:val="en-GB"/>
        </w:rPr>
        <w:t xml:space="preserve">هناك مخاطر قانونية مرتبطة بتفسير الحكم المتعلق بتواتر عقد مؤتمر المندوبين المفوضين، الذي يُعقد مرة كل أربع سنوات (الصيغة الفرنسية للرقم </w:t>
      </w:r>
      <w:r w:rsidR="005A44B0" w:rsidRPr="006130A3">
        <w:rPr>
          <w:rFonts w:hint="cs"/>
          <w:spacing w:val="-4"/>
          <w:rtl/>
          <w:lang w:val="en-GB"/>
        </w:rPr>
        <w:t>1.47</w:t>
      </w:r>
      <w:r w:rsidRPr="006130A3">
        <w:rPr>
          <w:spacing w:val="-4"/>
          <w:rtl/>
          <w:lang w:val="en-GB"/>
        </w:rPr>
        <w:t xml:space="preserve"> من الدستور</w:t>
      </w:r>
      <w:r w:rsidR="006130A3" w:rsidRPr="006130A3">
        <w:rPr>
          <w:rFonts w:hint="cs"/>
          <w:spacing w:val="-4"/>
          <w:rtl/>
          <w:lang w:val="en-GB"/>
        </w:rPr>
        <w:t xml:space="preserve">: </w:t>
      </w:r>
      <w:r w:rsidR="006130A3" w:rsidRPr="006130A3">
        <w:rPr>
          <w:spacing w:val="-4"/>
        </w:rPr>
        <w:t>"</w:t>
      </w:r>
      <w:r w:rsidRPr="006130A3">
        <w:rPr>
          <w:i/>
          <w:iCs/>
          <w:spacing w:val="-4"/>
          <w:lang w:val="fr-CH"/>
        </w:rPr>
        <w:t>La Conférence de plénipotentiaires est composée de délégations représentant les Membres.</w:t>
      </w:r>
      <w:r w:rsidRPr="006130A3">
        <w:rPr>
          <w:spacing w:val="-4"/>
          <w:lang w:val="fr-CH"/>
        </w:rPr>
        <w:t xml:space="preserve"> Elle est convoquée tous les quatre ans.</w:t>
      </w:r>
      <w:r w:rsidR="006130A3" w:rsidRPr="006130A3">
        <w:rPr>
          <w:spacing w:val="-4"/>
          <w:lang w:val="fr-CH"/>
        </w:rPr>
        <w:t>"</w:t>
      </w:r>
      <w:r w:rsidR="005A44B0" w:rsidRPr="006130A3">
        <w:rPr>
          <w:rFonts w:hint="cs"/>
          <w:spacing w:val="-4"/>
          <w:rtl/>
          <w:lang w:bidi="ar-EG"/>
        </w:rPr>
        <w:t xml:space="preserve">). </w:t>
      </w:r>
      <w:r w:rsidRPr="006130A3">
        <w:rPr>
          <w:spacing w:val="-4"/>
          <w:rtl/>
          <w:lang w:val="en-GB"/>
        </w:rPr>
        <w:t>ويمكن أن يفسَّر ذلك على أنه شرط يقضي بعقد مؤتمر المندوبين المفوضين بعد أربع سنوات بالضبط من تاريخ انتهاء مؤتمر المندوبين المفوضين السابق، ما قد يعني أن مؤتمر المندوبين المفوضين لعام 2026 يجب أن يبدأ في موعد لا يتجاوز 14 أكتوبر 2026.</w:t>
      </w:r>
    </w:p>
    <w:p w14:paraId="08E7C407" w14:textId="6C4E2E32" w:rsidR="008B5CCA" w:rsidRPr="008B5CCA" w:rsidRDefault="008B5CCA" w:rsidP="008B5CCA">
      <w:pPr>
        <w:pStyle w:val="enumlev1"/>
        <w:rPr>
          <w:lang w:val="ar-SA" w:bidi="ar-EG"/>
        </w:rPr>
      </w:pPr>
      <w:r>
        <w:rPr>
          <w:lang w:val="en-GB"/>
        </w:rPr>
        <w:t>(5</w:t>
      </w:r>
      <w:r>
        <w:rPr>
          <w:lang w:val="en-GB"/>
        </w:rPr>
        <w:tab/>
      </w:r>
      <w:r w:rsidRPr="008B5CCA">
        <w:rPr>
          <w:rtl/>
          <w:lang w:val="en-GB"/>
        </w:rPr>
        <w:t xml:space="preserve">وفي حالة تطبيق تفسير أكثر تساهلاً لأحكام </w:t>
      </w:r>
      <w:r w:rsidR="005A44B0">
        <w:rPr>
          <w:rFonts w:hint="cs"/>
          <w:rtl/>
          <w:lang w:val="en-GB"/>
        </w:rPr>
        <w:t>الرقم</w:t>
      </w:r>
      <w:r w:rsidRPr="008B5CCA">
        <w:rPr>
          <w:rtl/>
          <w:lang w:val="en-GB"/>
        </w:rPr>
        <w:t xml:space="preserve"> 47 من الدستور (الفقرة 1 من المادة </w:t>
      </w:r>
      <w:proofErr w:type="gramStart"/>
      <w:r w:rsidRPr="008B5CCA">
        <w:rPr>
          <w:rtl/>
          <w:lang w:val="en-GB"/>
        </w:rPr>
        <w:t>8)،</w:t>
      </w:r>
      <w:proofErr w:type="gramEnd"/>
      <w:r w:rsidRPr="008B5CCA">
        <w:rPr>
          <w:rtl/>
          <w:lang w:val="en-GB"/>
        </w:rPr>
        <w:t xml:space="preserve"> يجب عقد مؤتمر المندوبين المفوضين لعام 2026 بحلول نهاية عام 2026 كحد أقصى.</w:t>
      </w:r>
    </w:p>
    <w:p w14:paraId="3E580926" w14:textId="0F484F85" w:rsidR="008B5CCA" w:rsidRPr="008B5CCA" w:rsidRDefault="008B5CCA" w:rsidP="008B5CCA">
      <w:pPr>
        <w:pStyle w:val="enumlev1"/>
        <w:rPr>
          <w:lang w:val="ar-SA" w:bidi="ar-EG"/>
        </w:rPr>
      </w:pPr>
      <w:r>
        <w:rPr>
          <w:lang w:val="en-GB"/>
        </w:rPr>
        <w:t>(6</w:t>
      </w:r>
      <w:r>
        <w:rPr>
          <w:lang w:val="en-GB"/>
        </w:rPr>
        <w:tab/>
      </w:r>
      <w:r w:rsidRPr="008B5CCA">
        <w:rPr>
          <w:rtl/>
          <w:lang w:val="en-GB"/>
        </w:rPr>
        <w:t xml:space="preserve">يكون عقد مؤتمر استثنائي للمندوبين المفوضين مناسباً في الحالات التي يلزم فيها معالجة مسائل محددة تعذر حلها في مؤتمر عادي للمندوبين المفوضين أو نشأت بعد عقد مؤتمر عادي للمندوبين المفوضين، وتتطلب حلاًّ فورياً ولا يمكن إرجاء تسويها إلى حين </w:t>
      </w:r>
      <w:r w:rsidR="005A44B0" w:rsidRPr="008B5CCA">
        <w:rPr>
          <w:rFonts w:hint="cs"/>
          <w:rtl/>
          <w:lang w:val="en-GB"/>
        </w:rPr>
        <w:t>انعقاد</w:t>
      </w:r>
      <w:r w:rsidRPr="008B5CCA">
        <w:rPr>
          <w:rtl/>
          <w:lang w:val="en-GB"/>
        </w:rPr>
        <w:t xml:space="preserve"> مؤتمر المندوبين المفوضين العادي التالي.</w:t>
      </w:r>
    </w:p>
    <w:p w14:paraId="5263D104" w14:textId="641F5B9C" w:rsidR="008B5CCA" w:rsidRPr="008B5CCA" w:rsidRDefault="008B5CCA" w:rsidP="008B5CCA">
      <w:pPr>
        <w:pStyle w:val="enumlev1"/>
        <w:rPr>
          <w:lang w:val="ar-SA" w:bidi="ar-EG"/>
        </w:rPr>
      </w:pPr>
      <w:r>
        <w:rPr>
          <w:lang w:val="en-GB"/>
        </w:rPr>
        <w:t>(7</w:t>
      </w:r>
      <w:r>
        <w:rPr>
          <w:lang w:val="en-GB"/>
        </w:rPr>
        <w:tab/>
      </w:r>
      <w:r w:rsidRPr="008B5CCA">
        <w:rPr>
          <w:rtl/>
          <w:lang w:val="en-GB"/>
        </w:rPr>
        <w:t xml:space="preserve">بموجب تفسير أحكام المادة 8 من الدستور بمجملها، ولا سيما الأرقام من 59A إلى 59D من الدستور (الفقرات الفرعية </w:t>
      </w:r>
      <w:proofErr w:type="gramStart"/>
      <w:r w:rsidRPr="005A44B0">
        <w:rPr>
          <w:i/>
          <w:iCs/>
          <w:rtl/>
          <w:lang w:val="en-GB"/>
        </w:rPr>
        <w:t>أ</w:t>
      </w:r>
      <w:r w:rsidR="005A44B0" w:rsidRPr="005A44B0">
        <w:rPr>
          <w:rFonts w:hint="cs"/>
          <w:i/>
          <w:iCs/>
          <w:rtl/>
          <w:lang w:val="en-GB"/>
        </w:rPr>
        <w:t> </w:t>
      </w:r>
      <w:r w:rsidRPr="005A44B0">
        <w:rPr>
          <w:i/>
          <w:iCs/>
          <w:rtl/>
          <w:lang w:val="en-GB"/>
        </w:rPr>
        <w:t>)</w:t>
      </w:r>
      <w:proofErr w:type="gramEnd"/>
      <w:r w:rsidRPr="008B5CCA">
        <w:rPr>
          <w:rtl/>
          <w:lang w:val="en-GB"/>
        </w:rPr>
        <w:t xml:space="preserve"> و</w:t>
      </w:r>
      <w:r w:rsidRPr="005A44B0">
        <w:rPr>
          <w:i/>
          <w:iCs/>
          <w:rtl/>
          <w:lang w:val="en-GB"/>
        </w:rPr>
        <w:t>ب)</w:t>
      </w:r>
      <w:r w:rsidRPr="008B5CCA">
        <w:rPr>
          <w:rtl/>
          <w:lang w:val="en-GB"/>
        </w:rPr>
        <w:t xml:space="preserve"> و</w:t>
      </w:r>
      <w:r w:rsidRPr="005A44B0">
        <w:rPr>
          <w:i/>
          <w:iCs/>
          <w:rtl/>
          <w:lang w:val="en-GB"/>
        </w:rPr>
        <w:t>ج)</w:t>
      </w:r>
      <w:r w:rsidRPr="008B5CCA">
        <w:rPr>
          <w:rtl/>
          <w:lang w:val="en-GB"/>
        </w:rPr>
        <w:t xml:space="preserve"> من الفقرة 3 من المادة 8) وما ورد أعلاه، لا يمكن للمجلس في دورته لعام 2026 أن يتخذ، قبل انعقاد مؤتمر المندوبين المفوضين العادي المقبل في عام 2026، قراراً بعقد مؤتمر استثنائي للمندوبين المفوضين في عام 2027 أو في السنوات اللاحقة التي تلي مباشرة مؤتمر المندوبين المفوضين العادي المقبل في عام 2026، وذلك للأسباب التالية:</w:t>
      </w:r>
    </w:p>
    <w:p w14:paraId="5A567AF7" w14:textId="4C4E174B" w:rsidR="008B5CCA" w:rsidRPr="008B5CCA" w:rsidRDefault="008B5CCA" w:rsidP="008B5CCA">
      <w:pPr>
        <w:pStyle w:val="enumlev2"/>
        <w:rPr>
          <w:lang w:val="ar-SA" w:bidi="ar-EG"/>
        </w:rPr>
      </w:pPr>
      <w:r>
        <w:rPr>
          <w:rtl/>
          <w:lang w:val="en-GB"/>
        </w:rPr>
        <w:t>‒</w:t>
      </w:r>
      <w:r>
        <w:rPr>
          <w:lang w:val="en-GB"/>
        </w:rPr>
        <w:tab/>
      </w:r>
      <w:r w:rsidRPr="008B5CCA">
        <w:rPr>
          <w:rtl/>
          <w:lang w:val="en-GB"/>
        </w:rPr>
        <w:t>لا يمكن عقد مؤتمر عادي للمندوبين المفوضين يكون له جدول أعمال موجز، بل يجب أن يشمل جميع المسائل المنصوص عليها في الأرقام من 49 إلى 59 من الدستور (الفقرات الفرعية من</w:t>
      </w:r>
      <w:r w:rsidR="005A44B0">
        <w:rPr>
          <w:rtl/>
          <w:lang w:val="en-GB"/>
        </w:rPr>
        <w:t xml:space="preserve"> </w:t>
      </w:r>
      <w:r w:rsidRPr="005A44B0">
        <w:rPr>
          <w:i/>
          <w:iCs/>
          <w:rtl/>
          <w:lang w:val="en-GB"/>
        </w:rPr>
        <w:t>أ</w:t>
      </w:r>
      <w:r w:rsidR="005A44B0" w:rsidRPr="005A44B0">
        <w:rPr>
          <w:rFonts w:hint="cs"/>
          <w:i/>
          <w:iCs/>
          <w:rtl/>
          <w:lang w:val="en-GB"/>
        </w:rPr>
        <w:t> </w:t>
      </w:r>
      <w:r w:rsidRPr="005A44B0">
        <w:rPr>
          <w:i/>
          <w:iCs/>
          <w:rtl/>
          <w:lang w:val="en-GB"/>
        </w:rPr>
        <w:t>)</w:t>
      </w:r>
      <w:r w:rsidRPr="008B5CCA">
        <w:rPr>
          <w:rtl/>
          <w:lang w:val="en-GB"/>
        </w:rPr>
        <w:t xml:space="preserve"> إلى</w:t>
      </w:r>
      <w:r w:rsidR="006130A3">
        <w:rPr>
          <w:rFonts w:hint="eastAsia"/>
          <w:rtl/>
          <w:lang w:val="en-GB"/>
        </w:rPr>
        <w:t> </w:t>
      </w:r>
      <w:r w:rsidRPr="005A44B0">
        <w:rPr>
          <w:i/>
          <w:iCs/>
          <w:rtl/>
          <w:lang w:val="en-GB"/>
        </w:rPr>
        <w:t>ك)</w:t>
      </w:r>
      <w:r w:rsidRPr="008B5CCA">
        <w:rPr>
          <w:rtl/>
          <w:lang w:val="en-GB"/>
        </w:rPr>
        <w:t xml:space="preserve"> من الفقرة 2 من المادة 8)؛</w:t>
      </w:r>
    </w:p>
    <w:p w14:paraId="42B840E1" w14:textId="7FCFFFE5" w:rsidR="008B5CCA" w:rsidRPr="008B5CCA" w:rsidRDefault="008B5CCA" w:rsidP="008B5CCA">
      <w:pPr>
        <w:pStyle w:val="enumlev2"/>
        <w:rPr>
          <w:lang w:val="ar-SA" w:bidi="ar-EG"/>
        </w:rPr>
      </w:pPr>
      <w:r>
        <w:rPr>
          <w:rtl/>
          <w:lang w:val="en-GB"/>
        </w:rPr>
        <w:t>‒</w:t>
      </w:r>
      <w:r>
        <w:rPr>
          <w:lang w:val="en-GB"/>
        </w:rPr>
        <w:tab/>
      </w:r>
      <w:r w:rsidRPr="008B5CCA">
        <w:rPr>
          <w:rtl/>
          <w:lang w:val="en-GB"/>
        </w:rPr>
        <w:t>يجوز لمؤتمر عادي للمندوبين المفوضين، في حالات استثنائية، أن يقرر عقد مؤتمر استثنائي للمندوبين المفوضين يكون له جدول أعمال موجز في الفترة التي تسبق انعقاد مؤتمر المندوبين المفوضين العادي التالي للنظر في مسائل محددة لم يحسمها مؤتمر المندوبين المفوضين العادي ولكنها تتطلب قراراً من الهيئة العليا للاتحاد؛</w:t>
      </w:r>
    </w:p>
    <w:p w14:paraId="319DC7D6" w14:textId="136C195A" w:rsidR="008B5CCA" w:rsidRPr="008B5CCA" w:rsidRDefault="008B5CCA" w:rsidP="008B5CCA">
      <w:pPr>
        <w:pStyle w:val="enumlev2"/>
        <w:rPr>
          <w:lang w:val="ar-SA" w:bidi="ar-EG"/>
        </w:rPr>
      </w:pPr>
      <w:r>
        <w:rPr>
          <w:rtl/>
          <w:lang w:val="en-GB"/>
        </w:rPr>
        <w:t>‒</w:t>
      </w:r>
      <w:r>
        <w:rPr>
          <w:lang w:val="en-GB"/>
        </w:rPr>
        <w:tab/>
      </w:r>
      <w:r w:rsidRPr="008B5CCA">
        <w:rPr>
          <w:rtl/>
          <w:lang w:val="en-GB"/>
        </w:rPr>
        <w:t>يجوز للدول الأعضاء، إذا طلب ثلثا الدول الأعضاء في الاتحاد ذلك بصورة فردية إلى الأمين العام أو</w:t>
      </w:r>
      <w:r w:rsidR="006130A3">
        <w:rPr>
          <w:rFonts w:hint="cs"/>
          <w:rtl/>
          <w:lang w:val="en-GB"/>
        </w:rPr>
        <w:t> </w:t>
      </w:r>
      <w:r w:rsidRPr="008B5CCA">
        <w:rPr>
          <w:rtl/>
          <w:lang w:val="en-GB"/>
        </w:rPr>
        <w:t>بناءً على اقتراح من المجلس، أن تدعو إلى عقد مؤتمر استثنائي للمندوبين المفوضين يكون له جدول أعمال موجز في الفترة الفاصلة بين مؤتمرين عاديين للمندوبين المفوضين، من أجل النظر في مسائل محددة نشأت وتتطلب قراراً من الهيئة العليا للاتحاد.</w:t>
      </w:r>
    </w:p>
    <w:p w14:paraId="0D083D41" w14:textId="275A0D8A" w:rsidR="008B5CCA" w:rsidRPr="008B5CCA" w:rsidRDefault="008B5CCA" w:rsidP="008B5CCA">
      <w:pPr>
        <w:pStyle w:val="enumlev1"/>
        <w:rPr>
          <w:lang w:val="ar-SA" w:bidi="ar-EG"/>
        </w:rPr>
      </w:pPr>
      <w:r>
        <w:rPr>
          <w:lang w:val="en-GB"/>
        </w:rPr>
        <w:t>(8</w:t>
      </w:r>
      <w:r>
        <w:rPr>
          <w:lang w:val="en-GB"/>
        </w:rPr>
        <w:tab/>
      </w:r>
      <w:r w:rsidRPr="008B5CCA">
        <w:rPr>
          <w:rtl/>
          <w:lang w:val="en-GB"/>
        </w:rPr>
        <w:t>سدد الكثير من الدول الأعضاء وأعضاء القطاعات بالفعل تكاليف إقامة وفودهم في فنادق الدوحة، واستئجار أماكن للمناسبات الاجتماعية، وإنتاج الهدايا التذكارية، وما إلى ذلك.</w:t>
      </w:r>
    </w:p>
    <w:p w14:paraId="1022984B" w14:textId="4AF6A1F6" w:rsidR="008B5CCA" w:rsidRPr="008B5CCA" w:rsidRDefault="008B5CCA" w:rsidP="008B5CCA">
      <w:pPr>
        <w:pStyle w:val="enumlev1"/>
        <w:rPr>
          <w:lang w:val="ar-SA" w:bidi="ar-EG"/>
        </w:rPr>
      </w:pPr>
      <w:r>
        <w:rPr>
          <w:lang w:val="en-GB"/>
        </w:rPr>
        <w:t>(9</w:t>
      </w:r>
      <w:r>
        <w:rPr>
          <w:lang w:val="en-GB"/>
        </w:rPr>
        <w:tab/>
      </w:r>
      <w:r w:rsidRPr="008B5CCA">
        <w:rPr>
          <w:rtl/>
          <w:lang w:val="en-GB"/>
        </w:rPr>
        <w:t>علاوة على ذلك، إذا أُجِّل</w:t>
      </w:r>
      <w:r w:rsidR="005A44B0">
        <w:rPr>
          <w:rtl/>
          <w:lang w:val="en-GB"/>
        </w:rPr>
        <w:t xml:space="preserve"> </w:t>
      </w:r>
      <w:r w:rsidRPr="008B5CCA">
        <w:rPr>
          <w:rtl/>
          <w:lang w:val="en-GB"/>
        </w:rPr>
        <w:t>مؤتمر المندوبين المفوضين إلى يناير 2027، فقد تواجه العديد من الدول الأعضاء صعوبات في تمويل التكاليف المخصصة لعام 2027 من ميزانية عام 2026،</w:t>
      </w:r>
      <w:r w:rsidR="005A44B0">
        <w:rPr>
          <w:rtl/>
          <w:lang w:val="en-GB"/>
        </w:rPr>
        <w:t xml:space="preserve"> </w:t>
      </w:r>
      <w:r w:rsidRPr="008B5CCA">
        <w:rPr>
          <w:rtl/>
          <w:lang w:val="en-GB"/>
        </w:rPr>
        <w:t>لا سيما إذا كانت المدفوعات المتعلقة بمشاركة الوفود في مؤتمر المندوبين المفوضين لعام 2026 قد سُددت بالفعل.</w:t>
      </w:r>
    </w:p>
    <w:p w14:paraId="1A393922" w14:textId="56908706" w:rsidR="008B5CCA" w:rsidRPr="008B5CCA" w:rsidRDefault="008B5CCA" w:rsidP="008B5CCA">
      <w:pPr>
        <w:pStyle w:val="enumlev1"/>
        <w:rPr>
          <w:lang w:val="ar-SA" w:bidi="ar-EG"/>
        </w:rPr>
      </w:pPr>
      <w:r>
        <w:rPr>
          <w:lang w:val="en-GB"/>
        </w:rPr>
        <w:lastRenderedPageBreak/>
        <w:t>(10</w:t>
      </w:r>
      <w:r>
        <w:rPr>
          <w:lang w:val="en-GB"/>
        </w:rPr>
        <w:tab/>
      </w:r>
      <w:r w:rsidRPr="008B5CCA">
        <w:rPr>
          <w:rtl/>
          <w:lang w:val="en-GB"/>
        </w:rPr>
        <w:t xml:space="preserve">إضافة على ذلك، تُتاح اعتمادات الميزانية للمنظمات في بعض الدول الأعضاء في منتصف شهر يناير، وفي بعض الدول الأعضاء تمتد عطلة عيد الميلاد من 31 ديسمبر 2026 إلى 10 يناير 2027 (ويكون 11 يناير 2027 أول يوم </w:t>
      </w:r>
      <w:proofErr w:type="gramStart"/>
      <w:r w:rsidRPr="008B5CCA">
        <w:rPr>
          <w:rtl/>
          <w:lang w:val="en-GB"/>
        </w:rPr>
        <w:t>عمل)،</w:t>
      </w:r>
      <w:proofErr w:type="gramEnd"/>
      <w:r w:rsidRPr="008B5CCA">
        <w:rPr>
          <w:rtl/>
          <w:lang w:val="en-GB"/>
        </w:rPr>
        <w:t xml:space="preserve"> ما يزيد من تعقيد الوضع فيما يتعلق بالتمويل وإيفاد الوفود للمشاركة في مؤتمر المندوبين المفوضين في التواريخ التي اقترحتها الأمينة العامة للاتحاد، أي من 11 إلى 29 يناير 2027، على النحو المبين في الوثيقة </w:t>
      </w:r>
      <w:hyperlink r:id="rId8" w:history="1">
        <w:r w:rsidRPr="008B5CCA">
          <w:rPr>
            <w:rStyle w:val="Hyperlink"/>
            <w:rFonts w:ascii="Dubai" w:eastAsiaTheme="minorEastAsia" w:hAnsi="Dubai" w:cs="Dubai"/>
            <w:noProof w:val="0"/>
            <w:sz w:val="22"/>
            <w:lang w:eastAsia="zh-CN"/>
          </w:rPr>
          <w:t>C26-EXT/2</w:t>
        </w:r>
      </w:hyperlink>
      <w:r w:rsidRPr="008B5CCA">
        <w:rPr>
          <w:rtl/>
          <w:lang w:val="en-GB"/>
        </w:rPr>
        <w:t>.</w:t>
      </w:r>
    </w:p>
    <w:p w14:paraId="0FDF2B9F" w14:textId="2ADBB87D" w:rsidR="008B5CCA" w:rsidRPr="008B5CCA" w:rsidRDefault="008B5CCA" w:rsidP="008B5CCA">
      <w:pPr>
        <w:pStyle w:val="Heading1"/>
        <w:rPr>
          <w:lang w:val="ar-SA" w:bidi="ar-EG"/>
        </w:rPr>
      </w:pPr>
      <w:r>
        <w:rPr>
          <w:lang w:val="en-GB"/>
        </w:rPr>
        <w:t>3</w:t>
      </w:r>
      <w:r>
        <w:rPr>
          <w:lang w:val="en-GB"/>
        </w:rPr>
        <w:tab/>
      </w:r>
      <w:r w:rsidRPr="008B5CCA">
        <w:rPr>
          <w:rtl/>
          <w:lang w:val="en-GB"/>
        </w:rPr>
        <w:t>المقترح</w:t>
      </w:r>
    </w:p>
    <w:p w14:paraId="7F993A9D" w14:textId="2A1364C2" w:rsidR="008B5CCA" w:rsidRPr="008B5CCA" w:rsidRDefault="008B5CCA" w:rsidP="008B5CCA">
      <w:pPr>
        <w:rPr>
          <w:lang w:val="ar-SA" w:bidi="ar-EG"/>
        </w:rPr>
      </w:pPr>
      <w:r w:rsidRPr="008B5CCA">
        <w:rPr>
          <w:rtl/>
          <w:lang w:val="en-GB"/>
        </w:rPr>
        <w:t xml:space="preserve">بالنظر إلى ما تقدم، ومع الإحاطة علماً بأن تواتر انعقاد مؤتمرات المندوبين المفوضين محدد بوضوح في الدستور وأنه، وفقاً لأحكام </w:t>
      </w:r>
      <w:r w:rsidR="005A44B0">
        <w:rPr>
          <w:rFonts w:hint="cs"/>
          <w:rtl/>
          <w:lang w:val="en-GB"/>
        </w:rPr>
        <w:t>الرقم</w:t>
      </w:r>
      <w:r w:rsidRPr="008B5CCA">
        <w:rPr>
          <w:rtl/>
          <w:lang w:val="en-GB"/>
        </w:rPr>
        <w:t xml:space="preserve"> 47 من الدستور (الفقرة 1 من المادة 8) يجري كل أربع سنوات، يقترح مقدمو المساهمة على المجلس ما يلي:</w:t>
      </w:r>
    </w:p>
    <w:p w14:paraId="346AA0A8" w14:textId="33D13E13" w:rsidR="008B5CCA" w:rsidRPr="008B5CCA" w:rsidRDefault="008B5CCA" w:rsidP="008B5CCA">
      <w:pPr>
        <w:pStyle w:val="enumlev1"/>
        <w:rPr>
          <w:lang w:val="ar-SA" w:bidi="ar-EG"/>
        </w:rPr>
      </w:pPr>
      <w:r>
        <w:rPr>
          <w:lang w:val="en-GB"/>
        </w:rPr>
        <w:t>(1</w:t>
      </w:r>
      <w:r>
        <w:rPr>
          <w:lang w:val="en-GB"/>
        </w:rPr>
        <w:tab/>
      </w:r>
      <w:r w:rsidRPr="008B5CCA">
        <w:rPr>
          <w:rtl/>
          <w:lang w:val="en-GB"/>
        </w:rPr>
        <w:t>توجيه الشكر إلى دولة قطر على جهودها في التحضير لمؤتمر المندوبين المفوضين لعام 2026؛</w:t>
      </w:r>
    </w:p>
    <w:p w14:paraId="79A21E2D" w14:textId="62F949D5" w:rsidR="008B5CCA" w:rsidRPr="008B5CCA" w:rsidRDefault="008B5CCA" w:rsidP="008B5CCA">
      <w:pPr>
        <w:pStyle w:val="enumlev1"/>
        <w:rPr>
          <w:lang w:val="ar-SA" w:bidi="ar-EG"/>
        </w:rPr>
      </w:pPr>
      <w:r>
        <w:rPr>
          <w:lang w:val="en-GB"/>
        </w:rPr>
        <w:t>(2</w:t>
      </w:r>
      <w:r>
        <w:rPr>
          <w:lang w:val="en-GB"/>
        </w:rPr>
        <w:tab/>
      </w:r>
      <w:r w:rsidRPr="008B5CCA">
        <w:rPr>
          <w:rtl/>
          <w:lang w:val="en-GB"/>
        </w:rPr>
        <w:t>دعم عقد مؤتمر المندوبين المفوضين على وجه التدقيق في عام 2026، ضمن إطار زمني يسمح بالنظر في</w:t>
      </w:r>
      <w:r w:rsidR="005A44B0">
        <w:rPr>
          <w:rFonts w:hint="cs"/>
          <w:rtl/>
          <w:lang w:val="en-GB"/>
        </w:rPr>
        <w:t> </w:t>
      </w:r>
      <w:r w:rsidRPr="008B5CCA">
        <w:rPr>
          <w:rtl/>
          <w:lang w:val="en-GB"/>
        </w:rPr>
        <w:t>جدول الأعمال بأكمله، وفقا</w:t>
      </w:r>
      <w:r w:rsidR="005A44B0">
        <w:rPr>
          <w:rFonts w:hint="cs"/>
          <w:rtl/>
          <w:lang w:val="en-GB"/>
        </w:rPr>
        <w:t>ً</w:t>
      </w:r>
      <w:r w:rsidRPr="008B5CCA">
        <w:rPr>
          <w:rtl/>
          <w:lang w:val="en-GB"/>
        </w:rPr>
        <w:t xml:space="preserve"> للأرقام من 49 إلى 59 من الدستور (الفقرات الفرعية من </w:t>
      </w:r>
      <w:proofErr w:type="gramStart"/>
      <w:r w:rsidRPr="005A44B0">
        <w:rPr>
          <w:i/>
          <w:iCs/>
          <w:rtl/>
          <w:lang w:val="en-GB"/>
        </w:rPr>
        <w:t>أ</w:t>
      </w:r>
      <w:r w:rsidR="005A44B0" w:rsidRPr="005A44B0">
        <w:rPr>
          <w:rFonts w:hint="cs"/>
          <w:i/>
          <w:iCs/>
          <w:rtl/>
          <w:lang w:val="en-GB"/>
        </w:rPr>
        <w:t> </w:t>
      </w:r>
      <w:r w:rsidRPr="005A44B0">
        <w:rPr>
          <w:i/>
          <w:iCs/>
          <w:rtl/>
          <w:lang w:val="en-GB"/>
        </w:rPr>
        <w:t>)</w:t>
      </w:r>
      <w:proofErr w:type="gramEnd"/>
      <w:r w:rsidRPr="008B5CCA">
        <w:rPr>
          <w:rtl/>
          <w:lang w:val="en-GB"/>
        </w:rPr>
        <w:t xml:space="preserve"> إلى </w:t>
      </w:r>
      <w:r w:rsidRPr="005A44B0">
        <w:rPr>
          <w:i/>
          <w:iCs/>
          <w:rtl/>
          <w:lang w:val="en-GB"/>
        </w:rPr>
        <w:t>ك)</w:t>
      </w:r>
      <w:r w:rsidRPr="008B5CCA">
        <w:rPr>
          <w:rtl/>
          <w:lang w:val="en-GB"/>
        </w:rPr>
        <w:t xml:space="preserve"> من الفقرة 2 من المادة </w:t>
      </w:r>
      <w:proofErr w:type="gramStart"/>
      <w:r w:rsidRPr="008B5CCA">
        <w:rPr>
          <w:rtl/>
          <w:lang w:val="en-GB"/>
        </w:rPr>
        <w:t>8)؛</w:t>
      </w:r>
      <w:proofErr w:type="gramEnd"/>
    </w:p>
    <w:p w14:paraId="5B6C99AF" w14:textId="43EF1B84" w:rsidR="008B5CCA" w:rsidRPr="008B5CCA" w:rsidRDefault="008B5CCA" w:rsidP="008B5CCA">
      <w:pPr>
        <w:pStyle w:val="enumlev1"/>
        <w:rPr>
          <w:lang w:val="ar-SA" w:bidi="ar-EG"/>
        </w:rPr>
      </w:pPr>
      <w:r>
        <w:rPr>
          <w:lang w:val="en-GB"/>
        </w:rPr>
        <w:t>(3</w:t>
      </w:r>
      <w:r>
        <w:rPr>
          <w:lang w:val="en-GB"/>
        </w:rPr>
        <w:tab/>
      </w:r>
      <w:r w:rsidRPr="008B5CCA">
        <w:rPr>
          <w:rtl/>
          <w:lang w:val="en-GB"/>
        </w:rPr>
        <w:t>أخذ الآثار المالية في الاعتبار عند النظر في مقترحات تغيير مكان انعقاد مؤتمر المندوبين المفوضين وموعده ومدته، وهي آثار لا تمس تكاليف الاتحاد والدولة الداعية والدولة المضيفة للاتحاد فحسب، بل تشمل أيضاً التكاليف التي تتكبدها جميع الدول الأعضاء وأعضاء قطاعات الاتحاد فيما يتعلق بإرسال وفودهم لحضور مؤتمر المندوبين المفوضين،</w:t>
      </w:r>
      <w:r w:rsidR="005A44B0">
        <w:rPr>
          <w:rtl/>
          <w:lang w:val="en-GB"/>
        </w:rPr>
        <w:t xml:space="preserve"> </w:t>
      </w:r>
      <w:r w:rsidRPr="008B5CCA">
        <w:rPr>
          <w:rtl/>
          <w:lang w:val="en-GB"/>
        </w:rPr>
        <w:t>سواء التكاليف المتكبدة بالفعل (حجز الفنادق والقاعات وتذاكر السفر الجوي ووسائل النقل الأخرى، وما إلى ذلك) أو التكاليف المقبلة، بما في ذلك الغرامات والجزاءات المالية المحتملة، فضلا ًعن قيود الميزانية الحالية المتصلة بعدم القدرة على نقل التكاليف المالية المتكبدة و/أو المخطط لها من ميزانية 2026 إلى ميزانية 2027.</w:t>
      </w:r>
    </w:p>
    <w:p w14:paraId="051D7215" w14:textId="77777777" w:rsidR="00F50E3F" w:rsidRDefault="00D63735" w:rsidP="00D63735">
      <w:pPr>
        <w:spacing w:before="600"/>
        <w:jc w:val="center"/>
        <w:rPr>
          <w:rtl/>
          <w:lang w:bidi="ar-EG"/>
        </w:rPr>
      </w:pPr>
      <w:r>
        <w:rPr>
          <w:rFonts w:hint="cs"/>
          <w:rtl/>
          <w:lang w:bidi="ar-EG"/>
        </w:rPr>
        <w:t>ــــــــــــــــــــــــــــــــــــــــــــــــــــــــــــــــــــــــــــــــــــــــــــــــ</w:t>
      </w:r>
    </w:p>
    <w:sectPr w:rsidR="00F50E3F" w:rsidSect="006F363C">
      <w:footerReference w:type="default" r:id="rId9"/>
      <w:headerReference w:type="first" r:id="rId10"/>
      <w:footerReference w:type="first" r:id="rId11"/>
      <w:type w:val="oddPage"/>
      <w:pgSz w:w="11907" w:h="16840"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04139" w14:textId="77777777" w:rsidR="001405DB" w:rsidRDefault="001405DB" w:rsidP="006C3242">
      <w:pPr>
        <w:spacing w:before="0" w:line="240" w:lineRule="auto"/>
      </w:pPr>
      <w:r>
        <w:separator/>
      </w:r>
    </w:p>
  </w:endnote>
  <w:endnote w:type="continuationSeparator" w:id="0">
    <w:p w14:paraId="2ACBC2E1" w14:textId="77777777" w:rsidR="001405DB" w:rsidRDefault="001405DB"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raditional Arabic">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bidiVisual/>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7"/>
      <w:gridCol w:w="7874"/>
      <w:gridCol w:w="443"/>
    </w:tblGrid>
    <w:tr w:rsidR="00F50E3F" w:rsidRPr="007B0AA0" w14:paraId="198BB30B" w14:textId="77777777" w:rsidTr="00A67F05">
      <w:trPr>
        <w:jc w:val="center"/>
      </w:trPr>
      <w:tc>
        <w:tcPr>
          <w:tcW w:w="868" w:type="pct"/>
          <w:vAlign w:val="center"/>
        </w:tcPr>
        <w:p w14:paraId="675C6C28" w14:textId="3FF57127" w:rsidR="00F50E3F" w:rsidRPr="007B0AA0" w:rsidRDefault="008B5CCA" w:rsidP="006F363C">
          <w:pPr>
            <w:tabs>
              <w:tab w:val="clear" w:pos="794"/>
            </w:tabs>
            <w:overflowPunct w:val="0"/>
            <w:autoSpaceDE w:val="0"/>
            <w:autoSpaceDN w:val="0"/>
            <w:bidi w:val="0"/>
            <w:adjustRightInd w:val="0"/>
            <w:spacing w:before="0" w:line="240" w:lineRule="auto"/>
            <w:jc w:val="right"/>
            <w:textAlignment w:val="baseline"/>
            <w:rPr>
              <w:rFonts w:ascii="Calibri" w:hAnsi="Calibri" w:cs="Arial"/>
              <w:noProof/>
              <w:sz w:val="18"/>
            </w:rPr>
          </w:pPr>
          <w:r w:rsidRPr="008B5CCA">
            <w:rPr>
              <w:rFonts w:ascii="Calibri" w:hAnsi="Calibri" w:cs="Arial"/>
              <w:sz w:val="18"/>
              <w:szCs w:val="14"/>
            </w:rPr>
            <w:t>2602168</w:t>
          </w:r>
        </w:p>
      </w:tc>
      <w:tc>
        <w:tcPr>
          <w:tcW w:w="3912" w:type="pct"/>
        </w:tcPr>
        <w:p w14:paraId="5FAE2CA5" w14:textId="417B8A4F" w:rsidR="00F50E3F" w:rsidRPr="007B0AA0" w:rsidRDefault="00F50E3F" w:rsidP="006F363C">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Arial" w:hAnsi="Arial" w:cs="Arial"/>
              <w:b/>
              <w:bCs/>
              <w:color w:val="7F7F7F"/>
              <w:sz w:val="18"/>
              <w:szCs w:val="18"/>
            </w:rPr>
          </w:pPr>
          <w:r w:rsidRPr="007B0AA0">
            <w:rPr>
              <w:rFonts w:ascii="Calibri" w:hAnsi="Calibri" w:cs="Arial"/>
              <w:bCs/>
              <w:color w:val="7F7F7F"/>
              <w:sz w:val="18"/>
            </w:rPr>
            <w:t>C2</w:t>
          </w:r>
          <w:r w:rsidR="00EB6356">
            <w:rPr>
              <w:rFonts w:ascii="Calibri" w:hAnsi="Calibri" w:cs="Arial"/>
              <w:bCs/>
              <w:color w:val="7F7F7F"/>
              <w:sz w:val="18"/>
            </w:rPr>
            <w:t>6</w:t>
          </w:r>
          <w:r w:rsidR="00E7321B">
            <w:rPr>
              <w:rFonts w:ascii="Calibri" w:hAnsi="Calibri" w:cs="Arial"/>
              <w:bCs/>
              <w:color w:val="7F7F7F"/>
              <w:sz w:val="18"/>
            </w:rPr>
            <w:t>-EXT</w:t>
          </w:r>
          <w:r w:rsidRPr="007B0AA0">
            <w:rPr>
              <w:rFonts w:ascii="Calibri" w:hAnsi="Calibri" w:cs="Arial"/>
              <w:bCs/>
              <w:color w:val="7F7F7F"/>
              <w:sz w:val="18"/>
            </w:rPr>
            <w:t>/</w:t>
          </w:r>
          <w:r w:rsidR="008B5CCA">
            <w:rPr>
              <w:rFonts w:ascii="Calibri" w:hAnsi="Calibri" w:cs="Arial"/>
              <w:bCs/>
              <w:color w:val="7F7F7F"/>
              <w:sz w:val="18"/>
            </w:rPr>
            <w:t>4</w:t>
          </w:r>
          <w:r w:rsidRPr="007B0AA0">
            <w:rPr>
              <w:rFonts w:ascii="Calibri" w:hAnsi="Calibri" w:cs="Arial"/>
              <w:bCs/>
              <w:color w:val="7F7F7F"/>
              <w:sz w:val="18"/>
            </w:rPr>
            <w:t>-</w:t>
          </w:r>
          <w:r>
            <w:rPr>
              <w:rFonts w:ascii="Calibri" w:hAnsi="Calibri" w:cs="Arial"/>
              <w:bCs/>
              <w:color w:val="7F7F7F"/>
              <w:sz w:val="18"/>
            </w:rPr>
            <w:t>A</w:t>
          </w:r>
        </w:p>
      </w:tc>
      <w:tc>
        <w:tcPr>
          <w:tcW w:w="220" w:type="pct"/>
        </w:tcPr>
        <w:p w14:paraId="37F3A848" w14:textId="77777777" w:rsidR="00F50E3F" w:rsidRPr="007B0AA0" w:rsidRDefault="00F50E3F" w:rsidP="006F363C">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Calibri" w:hAnsi="Calibri" w:cs="Arial"/>
              <w:bCs/>
              <w:color w:val="7F7F7F"/>
              <w:sz w:val="18"/>
            </w:rPr>
          </w:pPr>
          <w:r w:rsidRPr="007B0AA0">
            <w:rPr>
              <w:rFonts w:ascii="Calibri" w:hAnsi="Calibri" w:cs="Arial"/>
              <w:color w:val="7F7F7F"/>
              <w:sz w:val="18"/>
            </w:rPr>
            <w:fldChar w:fldCharType="begin"/>
          </w:r>
          <w:r w:rsidRPr="007B0AA0">
            <w:rPr>
              <w:rFonts w:ascii="Calibri" w:hAnsi="Calibri" w:cs="Arial"/>
              <w:color w:val="7F7F7F"/>
              <w:sz w:val="18"/>
            </w:rPr>
            <w:instrText>PAGE</w:instrText>
          </w:r>
          <w:r w:rsidRPr="007B0AA0">
            <w:rPr>
              <w:rFonts w:ascii="Calibri" w:hAnsi="Calibri" w:cs="Arial"/>
              <w:color w:val="7F7F7F"/>
              <w:sz w:val="18"/>
            </w:rPr>
            <w:fldChar w:fldCharType="separate"/>
          </w:r>
          <w:r>
            <w:rPr>
              <w:rFonts w:cs="Arial"/>
              <w:color w:val="7F7F7F"/>
              <w:sz w:val="18"/>
            </w:rPr>
            <w:t>1</w:t>
          </w:r>
          <w:r w:rsidRPr="007B0AA0">
            <w:rPr>
              <w:rFonts w:ascii="Calibri" w:hAnsi="Calibri" w:cs="Arial"/>
              <w:noProof/>
              <w:color w:val="7F7F7F"/>
              <w:sz w:val="18"/>
            </w:rPr>
            <w:fldChar w:fldCharType="end"/>
          </w:r>
        </w:p>
      </w:tc>
    </w:tr>
  </w:tbl>
  <w:p w14:paraId="1F605B27" w14:textId="77777777" w:rsidR="006C3242" w:rsidRPr="008842AF" w:rsidRDefault="006C3242" w:rsidP="00BA04B2">
    <w:pPr>
      <w:pStyle w:val="Footer"/>
      <w:tabs>
        <w:tab w:val="clear" w:pos="4153"/>
        <w:tab w:val="clear" w:pos="8306"/>
        <w:tab w:val="center" w:pos="5103"/>
        <w:tab w:val="right" w:pos="9639"/>
      </w:tabs>
      <w:rPr>
        <w:sz w:val="2"/>
        <w:szCs w:val="2"/>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bidiVisual/>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39"/>
      <w:gridCol w:w="7584"/>
      <w:gridCol w:w="441"/>
    </w:tblGrid>
    <w:tr w:rsidR="007B0AA0" w:rsidRPr="007B0AA0" w14:paraId="76C478CA" w14:textId="77777777" w:rsidTr="00A67F05">
      <w:trPr>
        <w:jc w:val="center"/>
      </w:trPr>
      <w:tc>
        <w:tcPr>
          <w:tcW w:w="1013" w:type="pct"/>
          <w:vAlign w:val="center"/>
        </w:tcPr>
        <w:p w14:paraId="51D80549" w14:textId="77777777" w:rsidR="007B0AA0" w:rsidRPr="00370D5F" w:rsidRDefault="00EB6356" w:rsidP="00A67F05">
          <w:pPr>
            <w:tabs>
              <w:tab w:val="clear" w:pos="794"/>
            </w:tabs>
            <w:overflowPunct w:val="0"/>
            <w:autoSpaceDE w:val="0"/>
            <w:autoSpaceDN w:val="0"/>
            <w:bidi w:val="0"/>
            <w:adjustRightInd w:val="0"/>
            <w:spacing w:before="0" w:line="240" w:lineRule="auto"/>
            <w:jc w:val="right"/>
            <w:textAlignment w:val="baseline"/>
            <w:rPr>
              <w:rFonts w:ascii="Calibri" w:hAnsi="Calibri" w:cs="Arial"/>
              <w:noProof/>
              <w:color w:val="7F7F7F"/>
              <w:sz w:val="18"/>
            </w:rPr>
          </w:pPr>
          <w:hyperlink r:id="rId1" w:anchor="/ar" w:history="1">
            <w:r w:rsidRPr="00370D5F">
              <w:rPr>
                <w:rStyle w:val="Hyperlink"/>
                <w:u w:val="none"/>
              </w:rPr>
              <w:t>council.itu.int/2026</w:t>
            </w:r>
          </w:hyperlink>
        </w:p>
      </w:tc>
      <w:tc>
        <w:tcPr>
          <w:tcW w:w="3768" w:type="pct"/>
        </w:tcPr>
        <w:p w14:paraId="674F92AA" w14:textId="4CBA03E3" w:rsidR="007B0AA0" w:rsidRPr="007B0AA0" w:rsidRDefault="007B0AA0" w:rsidP="006F363C">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Arial" w:hAnsi="Arial" w:cs="Arial"/>
              <w:b/>
              <w:bCs/>
              <w:color w:val="7F7F7F"/>
              <w:sz w:val="18"/>
              <w:szCs w:val="18"/>
            </w:rPr>
          </w:pPr>
          <w:r w:rsidRPr="007B0AA0">
            <w:rPr>
              <w:rFonts w:ascii="Calibri" w:hAnsi="Calibri" w:cs="Arial"/>
              <w:bCs/>
              <w:color w:val="7F7F7F"/>
              <w:sz w:val="18"/>
            </w:rPr>
            <w:t>C2</w:t>
          </w:r>
          <w:r w:rsidR="00EB6356">
            <w:rPr>
              <w:rFonts w:ascii="Calibri" w:hAnsi="Calibri" w:cs="Arial"/>
              <w:bCs/>
              <w:color w:val="7F7F7F"/>
              <w:sz w:val="18"/>
            </w:rPr>
            <w:t>6</w:t>
          </w:r>
          <w:r w:rsidR="00E7321B">
            <w:rPr>
              <w:rFonts w:ascii="Calibri" w:hAnsi="Calibri" w:cs="Arial"/>
              <w:bCs/>
              <w:color w:val="7F7F7F"/>
              <w:sz w:val="18"/>
            </w:rPr>
            <w:t>-EXT</w:t>
          </w:r>
          <w:r w:rsidRPr="007B0AA0">
            <w:rPr>
              <w:rFonts w:ascii="Calibri" w:hAnsi="Calibri" w:cs="Arial"/>
              <w:bCs/>
              <w:color w:val="7F7F7F"/>
              <w:sz w:val="18"/>
            </w:rPr>
            <w:t>/</w:t>
          </w:r>
          <w:r w:rsidR="008B5CCA">
            <w:rPr>
              <w:rFonts w:ascii="Calibri" w:hAnsi="Calibri" w:cs="Arial"/>
              <w:bCs/>
              <w:color w:val="7F7F7F"/>
              <w:sz w:val="18"/>
            </w:rPr>
            <w:t>4</w:t>
          </w:r>
          <w:r w:rsidRPr="007B0AA0">
            <w:rPr>
              <w:rFonts w:ascii="Calibri" w:hAnsi="Calibri" w:cs="Arial"/>
              <w:bCs/>
              <w:color w:val="7F7F7F"/>
              <w:sz w:val="18"/>
            </w:rPr>
            <w:t>-</w:t>
          </w:r>
          <w:r>
            <w:rPr>
              <w:rFonts w:ascii="Calibri" w:hAnsi="Calibri" w:cs="Arial"/>
              <w:bCs/>
              <w:color w:val="7F7F7F"/>
              <w:sz w:val="18"/>
            </w:rPr>
            <w:t>A</w:t>
          </w:r>
        </w:p>
      </w:tc>
      <w:tc>
        <w:tcPr>
          <w:tcW w:w="220" w:type="pct"/>
        </w:tcPr>
        <w:p w14:paraId="72BA7918" w14:textId="77777777" w:rsidR="007B0AA0" w:rsidRPr="007B0AA0" w:rsidRDefault="00F50E3F" w:rsidP="006F363C">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Calibri" w:hAnsi="Calibri" w:cs="Arial"/>
              <w:bCs/>
              <w:color w:val="7F7F7F"/>
              <w:sz w:val="18"/>
            </w:rPr>
          </w:pPr>
          <w:r w:rsidRPr="007B0AA0">
            <w:rPr>
              <w:rFonts w:ascii="Calibri" w:hAnsi="Calibri" w:cs="Arial"/>
              <w:color w:val="7F7F7F"/>
              <w:sz w:val="18"/>
            </w:rPr>
            <w:fldChar w:fldCharType="begin"/>
          </w:r>
          <w:r w:rsidRPr="007B0AA0">
            <w:rPr>
              <w:rFonts w:ascii="Calibri" w:hAnsi="Calibri" w:cs="Arial"/>
              <w:color w:val="7F7F7F"/>
              <w:sz w:val="18"/>
            </w:rPr>
            <w:instrText>PAGE</w:instrText>
          </w:r>
          <w:r w:rsidRPr="007B0AA0">
            <w:rPr>
              <w:rFonts w:ascii="Calibri" w:hAnsi="Calibri" w:cs="Arial"/>
              <w:color w:val="7F7F7F"/>
              <w:sz w:val="18"/>
            </w:rPr>
            <w:fldChar w:fldCharType="separate"/>
          </w:r>
          <w:r>
            <w:rPr>
              <w:rFonts w:cs="Arial"/>
              <w:color w:val="7F7F7F"/>
              <w:sz w:val="18"/>
            </w:rPr>
            <w:t>1</w:t>
          </w:r>
          <w:r w:rsidRPr="007B0AA0">
            <w:rPr>
              <w:rFonts w:ascii="Calibri" w:hAnsi="Calibri" w:cs="Arial"/>
              <w:noProof/>
              <w:color w:val="7F7F7F"/>
              <w:sz w:val="18"/>
            </w:rPr>
            <w:fldChar w:fldCharType="end"/>
          </w:r>
        </w:p>
      </w:tc>
    </w:tr>
  </w:tbl>
  <w:p w14:paraId="6A5ACCF3" w14:textId="77777777" w:rsidR="0006468A" w:rsidRPr="008842AF" w:rsidRDefault="0006468A" w:rsidP="00BA04B2">
    <w:pPr>
      <w:pStyle w:val="Footer"/>
      <w:tabs>
        <w:tab w:val="clear" w:pos="4153"/>
        <w:tab w:val="clear" w:pos="8306"/>
        <w:tab w:val="center" w:pos="5103"/>
        <w:tab w:val="right" w:pos="9639"/>
      </w:tabs>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23F67" w14:textId="77777777" w:rsidR="001405DB" w:rsidRDefault="001405DB" w:rsidP="006C3242">
      <w:pPr>
        <w:spacing w:before="0" w:line="240" w:lineRule="auto"/>
      </w:pPr>
      <w:r>
        <w:separator/>
      </w:r>
    </w:p>
  </w:footnote>
  <w:footnote w:type="continuationSeparator" w:id="0">
    <w:p w14:paraId="1312A222" w14:textId="77777777" w:rsidR="001405DB" w:rsidRDefault="001405DB" w:rsidP="006C324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942A4" w14:textId="77777777" w:rsidR="007B0AA0" w:rsidRPr="00E7321B" w:rsidRDefault="00E7321B" w:rsidP="00E7321B">
    <w:pPr>
      <w:pStyle w:val="Header"/>
      <w:jc w:val="right"/>
    </w:pPr>
    <w:r>
      <w:rPr>
        <w:noProof/>
      </w:rPr>
      <w:drawing>
        <wp:inline distT="0" distB="0" distL="0" distR="0" wp14:anchorId="23CB9C69" wp14:editId="553C1C72">
          <wp:extent cx="3107781" cy="936000"/>
          <wp:effectExtent l="0" t="0" r="0" b="0"/>
          <wp:docPr id="19685073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507370" name="Picture 1968507370"/>
                  <pic:cNvPicPr/>
                </pic:nvPicPr>
                <pic:blipFill>
                  <a:blip r:embed="rId1">
                    <a:extLst>
                      <a:ext uri="{28A0092B-C50C-407E-A947-70E740481C1C}">
                        <a14:useLocalDpi xmlns:a14="http://schemas.microsoft.com/office/drawing/2010/main" val="0"/>
                      </a:ext>
                    </a:extLst>
                  </a:blip>
                  <a:stretch>
                    <a:fillRect/>
                  </a:stretch>
                </pic:blipFill>
                <pic:spPr>
                  <a:xfrm>
                    <a:off x="0" y="0"/>
                    <a:ext cx="3107781" cy="936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6A895C5E"/>
    <w:multiLevelType w:val="hybridMultilevel"/>
    <w:tmpl w:val="EC0C0F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451154F"/>
    <w:multiLevelType w:val="hybridMultilevel"/>
    <w:tmpl w:val="9B28DF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D44CDE"/>
    <w:multiLevelType w:val="hybridMultilevel"/>
    <w:tmpl w:val="CB3C656E"/>
    <w:lvl w:ilvl="0" w:tplc="1C6E31FA">
      <w:start w:val="1"/>
      <w:numFmt w:val="decimal"/>
      <w:lvlText w:val="%1."/>
      <w:lvlJc w:val="left"/>
      <w:pPr>
        <w:ind w:left="730" w:hanging="3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8345589">
    <w:abstractNumId w:val="9"/>
  </w:num>
  <w:num w:numId="2" w16cid:durableId="1774472849">
    <w:abstractNumId w:val="7"/>
  </w:num>
  <w:num w:numId="3" w16cid:durableId="923494626">
    <w:abstractNumId w:val="6"/>
  </w:num>
  <w:num w:numId="4" w16cid:durableId="442574474">
    <w:abstractNumId w:val="5"/>
  </w:num>
  <w:num w:numId="5" w16cid:durableId="1628318554">
    <w:abstractNumId w:val="4"/>
  </w:num>
  <w:num w:numId="6" w16cid:durableId="2075542342">
    <w:abstractNumId w:val="8"/>
  </w:num>
  <w:num w:numId="7" w16cid:durableId="1174762821">
    <w:abstractNumId w:val="3"/>
  </w:num>
  <w:num w:numId="8" w16cid:durableId="201795547">
    <w:abstractNumId w:val="2"/>
  </w:num>
  <w:num w:numId="9" w16cid:durableId="355010693">
    <w:abstractNumId w:val="1"/>
  </w:num>
  <w:num w:numId="10" w16cid:durableId="844200481">
    <w:abstractNumId w:val="0"/>
  </w:num>
  <w:num w:numId="11" w16cid:durableId="1104838316">
    <w:abstractNumId w:val="10"/>
  </w:num>
  <w:num w:numId="12" w16cid:durableId="49236661">
    <w:abstractNumId w:val="13"/>
  </w:num>
  <w:num w:numId="13" w16cid:durableId="1305623469">
    <w:abstractNumId w:val="11"/>
  </w:num>
  <w:num w:numId="14" w16cid:durableId="7570983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EEB"/>
    <w:rsid w:val="0001696F"/>
    <w:rsid w:val="00040ED1"/>
    <w:rsid w:val="00057769"/>
    <w:rsid w:val="0006468A"/>
    <w:rsid w:val="00090574"/>
    <w:rsid w:val="000C129A"/>
    <w:rsid w:val="000C1C0E"/>
    <w:rsid w:val="000C548A"/>
    <w:rsid w:val="000C6030"/>
    <w:rsid w:val="000F3BB6"/>
    <w:rsid w:val="001405DB"/>
    <w:rsid w:val="00191059"/>
    <w:rsid w:val="001B6E2B"/>
    <w:rsid w:val="001C0169"/>
    <w:rsid w:val="001C0C21"/>
    <w:rsid w:val="001D1D50"/>
    <w:rsid w:val="001D27AD"/>
    <w:rsid w:val="001D64C7"/>
    <w:rsid w:val="001D6745"/>
    <w:rsid w:val="001E446E"/>
    <w:rsid w:val="002154EE"/>
    <w:rsid w:val="002276D2"/>
    <w:rsid w:val="0023283D"/>
    <w:rsid w:val="00234DA8"/>
    <w:rsid w:val="00254393"/>
    <w:rsid w:val="0026373E"/>
    <w:rsid w:val="00271C43"/>
    <w:rsid w:val="00277DEA"/>
    <w:rsid w:val="00290728"/>
    <w:rsid w:val="002978F4"/>
    <w:rsid w:val="002B028D"/>
    <w:rsid w:val="002B6339"/>
    <w:rsid w:val="002C0104"/>
    <w:rsid w:val="002C3F32"/>
    <w:rsid w:val="002C5E91"/>
    <w:rsid w:val="002E6541"/>
    <w:rsid w:val="002F3446"/>
    <w:rsid w:val="00322475"/>
    <w:rsid w:val="003340FF"/>
    <w:rsid w:val="00334924"/>
    <w:rsid w:val="003409BC"/>
    <w:rsid w:val="00357185"/>
    <w:rsid w:val="00370D5F"/>
    <w:rsid w:val="00383829"/>
    <w:rsid w:val="003B3362"/>
    <w:rsid w:val="003F4B29"/>
    <w:rsid w:val="00412320"/>
    <w:rsid w:val="00420F8A"/>
    <w:rsid w:val="0042686F"/>
    <w:rsid w:val="004317D8"/>
    <w:rsid w:val="0043260A"/>
    <w:rsid w:val="00434183"/>
    <w:rsid w:val="00441052"/>
    <w:rsid w:val="00443869"/>
    <w:rsid w:val="00447F32"/>
    <w:rsid w:val="004641F8"/>
    <w:rsid w:val="00465C35"/>
    <w:rsid w:val="00491BA9"/>
    <w:rsid w:val="004A4701"/>
    <w:rsid w:val="004B62A3"/>
    <w:rsid w:val="004B7334"/>
    <w:rsid w:val="004E11DC"/>
    <w:rsid w:val="00513157"/>
    <w:rsid w:val="00525DDD"/>
    <w:rsid w:val="005409AC"/>
    <w:rsid w:val="005434E0"/>
    <w:rsid w:val="005546CF"/>
    <w:rsid w:val="0055516A"/>
    <w:rsid w:val="0058491B"/>
    <w:rsid w:val="00590A16"/>
    <w:rsid w:val="00592EA5"/>
    <w:rsid w:val="005A3170"/>
    <w:rsid w:val="005A44B0"/>
    <w:rsid w:val="006130A3"/>
    <w:rsid w:val="00660DEA"/>
    <w:rsid w:val="00667BB5"/>
    <w:rsid w:val="00674614"/>
    <w:rsid w:val="00677396"/>
    <w:rsid w:val="00690B6C"/>
    <w:rsid w:val="0069200F"/>
    <w:rsid w:val="006A65CB"/>
    <w:rsid w:val="006B12E5"/>
    <w:rsid w:val="006C3242"/>
    <w:rsid w:val="006C7CC0"/>
    <w:rsid w:val="006F363C"/>
    <w:rsid w:val="006F63F7"/>
    <w:rsid w:val="007025C7"/>
    <w:rsid w:val="00706D7A"/>
    <w:rsid w:val="00722F0D"/>
    <w:rsid w:val="0074420E"/>
    <w:rsid w:val="007648A6"/>
    <w:rsid w:val="0077110E"/>
    <w:rsid w:val="007813BB"/>
    <w:rsid w:val="00783E26"/>
    <w:rsid w:val="007A6684"/>
    <w:rsid w:val="007B0AA0"/>
    <w:rsid w:val="007C3BC7"/>
    <w:rsid w:val="007C3BCD"/>
    <w:rsid w:val="007D4ACF"/>
    <w:rsid w:val="007D4C7D"/>
    <w:rsid w:val="007F0787"/>
    <w:rsid w:val="00810B7B"/>
    <w:rsid w:val="0082358A"/>
    <w:rsid w:val="008235CD"/>
    <w:rsid w:val="008247DE"/>
    <w:rsid w:val="008339C0"/>
    <w:rsid w:val="008359F5"/>
    <w:rsid w:val="00840B10"/>
    <w:rsid w:val="0084546D"/>
    <w:rsid w:val="008513CB"/>
    <w:rsid w:val="0087292E"/>
    <w:rsid w:val="00874E9F"/>
    <w:rsid w:val="008842AF"/>
    <w:rsid w:val="008A7F84"/>
    <w:rsid w:val="008B5CCA"/>
    <w:rsid w:val="00900BC6"/>
    <w:rsid w:val="0091702E"/>
    <w:rsid w:val="00923B0C"/>
    <w:rsid w:val="00924F46"/>
    <w:rsid w:val="00935AAC"/>
    <w:rsid w:val="0094021C"/>
    <w:rsid w:val="00952F86"/>
    <w:rsid w:val="00982B28"/>
    <w:rsid w:val="009A76A8"/>
    <w:rsid w:val="009D313F"/>
    <w:rsid w:val="00A01F4F"/>
    <w:rsid w:val="00A109AF"/>
    <w:rsid w:val="00A33981"/>
    <w:rsid w:val="00A47A5A"/>
    <w:rsid w:val="00A52EEB"/>
    <w:rsid w:val="00A63AE6"/>
    <w:rsid w:val="00A6683B"/>
    <w:rsid w:val="00A67F05"/>
    <w:rsid w:val="00A97F94"/>
    <w:rsid w:val="00AA7EA2"/>
    <w:rsid w:val="00B03099"/>
    <w:rsid w:val="00B05BC8"/>
    <w:rsid w:val="00B06AD5"/>
    <w:rsid w:val="00B30F5E"/>
    <w:rsid w:val="00B64B47"/>
    <w:rsid w:val="00B7682F"/>
    <w:rsid w:val="00B95654"/>
    <w:rsid w:val="00B97F32"/>
    <w:rsid w:val="00BA04B2"/>
    <w:rsid w:val="00C002DE"/>
    <w:rsid w:val="00C0602B"/>
    <w:rsid w:val="00C224DA"/>
    <w:rsid w:val="00C53BF8"/>
    <w:rsid w:val="00C66157"/>
    <w:rsid w:val="00C674FE"/>
    <w:rsid w:val="00C67501"/>
    <w:rsid w:val="00C75633"/>
    <w:rsid w:val="00CD73C2"/>
    <w:rsid w:val="00CE2EE1"/>
    <w:rsid w:val="00CE3349"/>
    <w:rsid w:val="00CE36E5"/>
    <w:rsid w:val="00CE4360"/>
    <w:rsid w:val="00CF27F5"/>
    <w:rsid w:val="00CF3FFD"/>
    <w:rsid w:val="00D10CCF"/>
    <w:rsid w:val="00D13941"/>
    <w:rsid w:val="00D21610"/>
    <w:rsid w:val="00D23F5F"/>
    <w:rsid w:val="00D43F7D"/>
    <w:rsid w:val="00D50E45"/>
    <w:rsid w:val="00D63735"/>
    <w:rsid w:val="00D77D0F"/>
    <w:rsid w:val="00DA1CF0"/>
    <w:rsid w:val="00DC1E02"/>
    <w:rsid w:val="00DC24B4"/>
    <w:rsid w:val="00DC45E9"/>
    <w:rsid w:val="00DC5FB0"/>
    <w:rsid w:val="00DE526F"/>
    <w:rsid w:val="00DF16DC"/>
    <w:rsid w:val="00E06288"/>
    <w:rsid w:val="00E327CC"/>
    <w:rsid w:val="00E45211"/>
    <w:rsid w:val="00E456D4"/>
    <w:rsid w:val="00E473C5"/>
    <w:rsid w:val="00E61BE8"/>
    <w:rsid w:val="00E7321B"/>
    <w:rsid w:val="00E83FF1"/>
    <w:rsid w:val="00E92863"/>
    <w:rsid w:val="00E979B2"/>
    <w:rsid w:val="00EB6356"/>
    <w:rsid w:val="00EB796D"/>
    <w:rsid w:val="00ED2554"/>
    <w:rsid w:val="00F058DC"/>
    <w:rsid w:val="00F24FC4"/>
    <w:rsid w:val="00F2676C"/>
    <w:rsid w:val="00F363FE"/>
    <w:rsid w:val="00F50E3F"/>
    <w:rsid w:val="00F84366"/>
    <w:rsid w:val="00F85089"/>
    <w:rsid w:val="00F974C5"/>
    <w:rsid w:val="00FA3763"/>
    <w:rsid w:val="00FA6F46"/>
    <w:rsid w:val="00FC0E94"/>
    <w:rsid w:val="00FC4592"/>
    <w:rsid w:val="00FD527F"/>
    <w:rsid w:val="00FE5872"/>
    <w:rsid w:val="00FE7FCA"/>
    <w:rsid w:val="00FF2D7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122C84"/>
  <w15:chartTrackingRefBased/>
  <w15:docId w15:val="{4F54184A-D455-4915-BFFA-057EDC81E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4C5"/>
    <w:pPr>
      <w:tabs>
        <w:tab w:val="left" w:pos="794"/>
      </w:tabs>
      <w:bidi/>
      <w:spacing w:before="120" w:after="0" w:line="192" w:lineRule="auto"/>
      <w:jc w:val="both"/>
    </w:pPr>
    <w:rPr>
      <w:rFonts w:ascii="Dubai" w:hAnsi="Dubai" w:cs="Dubai"/>
    </w:rPr>
  </w:style>
  <w:style w:type="paragraph" w:styleId="Heading1">
    <w:name w:val="heading 1"/>
    <w:basedOn w:val="Normal"/>
    <w:next w:val="Normal"/>
    <w:link w:val="Heading1Char"/>
    <w:uiPriority w:val="9"/>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iPriority w:val="9"/>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iPriority w:val="9"/>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iPriority w:val="9"/>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iPriority w:val="9"/>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iPriority w:val="9"/>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iPriority w:val="9"/>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iPriority w:val="9"/>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_i"/>
    <w:basedOn w:val="Normal"/>
    <w:qFormat/>
    <w:rsid w:val="00F974C5"/>
    <w:pPr>
      <w:keepNext/>
      <w:keepLines/>
      <w:spacing w:before="160"/>
    </w:pPr>
    <w:rPr>
      <w:i/>
      <w:iCs/>
    </w:rPr>
  </w:style>
  <w:style w:type="paragraph" w:customStyle="1" w:styleId="AgendaItem">
    <w:name w:val="Agenda Item"/>
    <w:basedOn w:val="Normal"/>
    <w:qFormat/>
    <w:rsid w:val="00F974C5"/>
    <w:pPr>
      <w:spacing w:before="360" w:after="120"/>
      <w:jc w:val="center"/>
    </w:pPr>
    <w:rPr>
      <w:sz w:val="26"/>
      <w:szCs w:val="26"/>
      <w:lang w:bidi="ar-SY"/>
    </w:rPr>
  </w:style>
  <w:style w:type="paragraph" w:customStyle="1" w:styleId="AnnexNo">
    <w:name w:val="Annex_No"/>
    <w:basedOn w:val="AgendaItem"/>
    <w:qFormat/>
    <w:rsid w:val="00F974C5"/>
  </w:style>
  <w:style w:type="paragraph" w:customStyle="1" w:styleId="Annextitle">
    <w:name w:val="Annex_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_No"/>
    <w:basedOn w:val="Normal"/>
    <w:qFormat/>
    <w:rsid w:val="00F974C5"/>
    <w:pPr>
      <w:keepNext/>
      <w:keepLines/>
      <w:spacing w:before="360" w:after="120"/>
      <w:jc w:val="center"/>
    </w:pPr>
    <w:rPr>
      <w:sz w:val="26"/>
      <w:szCs w:val="26"/>
      <w:lang w:bidi="ar-SY"/>
    </w:rPr>
  </w:style>
  <w:style w:type="paragraph" w:customStyle="1" w:styleId="Appendixtitle">
    <w:name w:val="Appendix_title"/>
    <w:basedOn w:val="Normal"/>
    <w:qFormat/>
    <w:rsid w:val="00F974C5"/>
    <w:pPr>
      <w:keepNext/>
      <w:keepLines/>
      <w:spacing w:after="360"/>
      <w:jc w:val="center"/>
    </w:pPr>
    <w:rPr>
      <w:b/>
      <w:bCs/>
      <w:sz w:val="28"/>
      <w:szCs w:val="28"/>
    </w:rPr>
  </w:style>
  <w:style w:type="paragraph" w:customStyle="1" w:styleId="ArticleNo">
    <w:name w:val="Article_No"/>
    <w:basedOn w:val="Normal"/>
    <w:qFormat/>
    <w:rsid w:val="00F974C5"/>
    <w:pPr>
      <w:keepNext/>
      <w:keepLines/>
      <w:spacing w:after="360"/>
      <w:jc w:val="center"/>
    </w:pPr>
    <w:rPr>
      <w:sz w:val="26"/>
      <w:szCs w:val="26"/>
      <w:lang w:bidi="ar-SY"/>
    </w:rPr>
  </w:style>
  <w:style w:type="paragraph" w:customStyle="1" w:styleId="Articletitle">
    <w:name w:val="Article_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_No"/>
    <w:basedOn w:val="Normal"/>
    <w:qFormat/>
    <w:rsid w:val="00F974C5"/>
    <w:pPr>
      <w:keepNext/>
      <w:keepLines/>
      <w:spacing w:before="600" w:after="120"/>
      <w:jc w:val="center"/>
    </w:pPr>
    <w:rPr>
      <w:sz w:val="28"/>
      <w:szCs w:val="28"/>
      <w:lang w:bidi="ar-SY"/>
    </w:rPr>
  </w:style>
  <w:style w:type="paragraph" w:customStyle="1" w:styleId="Chaptertitle">
    <w:name w:val="Chapter_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spacing w:after="120"/>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1"/>
    <w:basedOn w:val="Normal"/>
    <w:qFormat/>
    <w:rsid w:val="00F974C5"/>
    <w:pPr>
      <w:spacing w:before="80"/>
      <w:ind w:left="794" w:hanging="794"/>
      <w:outlineLvl w:val="0"/>
    </w:pPr>
    <w:rPr>
      <w:lang w:bidi="ar-SY"/>
    </w:rPr>
  </w:style>
  <w:style w:type="paragraph" w:customStyle="1" w:styleId="enumlev2">
    <w:name w:val="enumlev2"/>
    <w:basedOn w:val="Normal"/>
    <w:next w:val="enumlev1"/>
    <w:qFormat/>
    <w:rsid w:val="00F974C5"/>
    <w:pPr>
      <w:spacing w:before="80"/>
      <w:ind w:left="1588" w:hanging="794"/>
      <w:outlineLvl w:val="1"/>
    </w:pPr>
  </w:style>
  <w:style w:type="paragraph" w:customStyle="1" w:styleId="enumlev3">
    <w:name w:val="enumlev3"/>
    <w:basedOn w:val="Normal"/>
    <w:qFormat/>
    <w:rsid w:val="008A7F84"/>
    <w:pPr>
      <w:spacing w:before="80"/>
      <w:ind w:left="2382" w:hanging="794"/>
      <w:outlineLvl w:val="2"/>
    </w:pPr>
    <w:rPr>
      <w:lang w:bidi="ar-SY"/>
    </w:rPr>
  </w:style>
  <w:style w:type="paragraph" w:customStyle="1" w:styleId="Figurelegend">
    <w:name w:val="Figure_legend"/>
    <w:basedOn w:val="Normal"/>
    <w:next w:val="Normal"/>
    <w:qFormat/>
    <w:rsid w:val="002C0104"/>
    <w:pPr>
      <w:spacing w:before="60" w:after="240"/>
    </w:pPr>
    <w:rPr>
      <w:lang w:bidi="ar-SY"/>
    </w:rPr>
  </w:style>
  <w:style w:type="paragraph" w:styleId="FootnoteText">
    <w:name w:val="footnote text"/>
    <w:basedOn w:val="Normal"/>
    <w:link w:val="FootnoteTextChar"/>
    <w:uiPriority w:val="99"/>
    <w:semiHidden/>
    <w:unhideWhenUsed/>
    <w:qFormat/>
    <w:rsid w:val="002E6541"/>
    <w:pPr>
      <w:spacing w:before="60" w:line="168" w:lineRule="auto"/>
    </w:pPr>
    <w:rPr>
      <w:sz w:val="20"/>
      <w:szCs w:val="26"/>
    </w:rPr>
  </w:style>
  <w:style w:type="character" w:styleId="FootnoteReference">
    <w:name w:val="footnote reference"/>
    <w:basedOn w:val="DefaultParagraphFont"/>
    <w:uiPriority w:val="99"/>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basedOn w:val="DefaultParagraphFont"/>
    <w:link w:val="FootnoteText"/>
    <w:uiPriority w:val="99"/>
    <w:semiHidden/>
    <w:rsid w:val="002E6541"/>
    <w:rPr>
      <w:rFonts w:ascii="Calibri" w:hAnsi="Calibri" w:cs="Traditional Arabic"/>
      <w:sz w:val="20"/>
      <w:szCs w:val="26"/>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after="12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
    <w:name w:val="Reference text"/>
    <w:basedOn w:val="Normal"/>
    <w:qFormat/>
    <w:rsid w:val="00F974C5"/>
  </w:style>
  <w:style w:type="paragraph" w:customStyle="1" w:styleId="PartNo">
    <w:name w:val="Part_No"/>
    <w:basedOn w:val="Normal"/>
    <w:qFormat/>
    <w:rsid w:val="00F974C5"/>
    <w:pPr>
      <w:keepNext/>
      <w:keepLines/>
      <w:spacing w:before="360" w:after="120"/>
      <w:jc w:val="center"/>
    </w:pPr>
    <w:rPr>
      <w:sz w:val="26"/>
      <w:szCs w:val="26"/>
    </w:rPr>
  </w:style>
  <w:style w:type="paragraph" w:customStyle="1" w:styleId="Parttitle">
    <w:name w:val="Part_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_1"/>
    <w:basedOn w:val="Normal"/>
    <w:qFormat/>
    <w:rsid w:val="00F974C5"/>
    <w:pPr>
      <w:keepNext/>
      <w:spacing w:before="360" w:after="240"/>
      <w:jc w:val="center"/>
    </w:pPr>
    <w:rPr>
      <w:b/>
      <w:bCs/>
      <w:sz w:val="26"/>
      <w:szCs w:val="26"/>
      <w:lang w:bidi="ar-SY"/>
    </w:rPr>
  </w:style>
  <w:style w:type="paragraph" w:customStyle="1" w:styleId="Section2">
    <w:name w:val="Section_2"/>
    <w:basedOn w:val="Section1"/>
    <w:qFormat/>
    <w:rsid w:val="00F974C5"/>
    <w:pPr>
      <w:spacing w:before="240"/>
    </w:pPr>
    <w:rPr>
      <w:b w:val="0"/>
      <w:bCs w:val="0"/>
    </w:rPr>
  </w:style>
  <w:style w:type="paragraph" w:customStyle="1" w:styleId="SectionNo">
    <w:name w:val="Section_No"/>
    <w:basedOn w:val="Normal"/>
    <w:qFormat/>
    <w:rsid w:val="00F974C5"/>
    <w:pPr>
      <w:keepNext/>
      <w:keepLines/>
      <w:spacing w:before="360" w:after="12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after="120"/>
      <w:jc w:val="center"/>
    </w:pPr>
    <w:rPr>
      <w:b/>
      <w:bCs/>
      <w:sz w:val="32"/>
      <w:szCs w:val="32"/>
    </w:rPr>
  </w:style>
  <w:style w:type="paragraph" w:customStyle="1" w:styleId="FigureNo">
    <w:name w:val="Figure_No"/>
    <w:basedOn w:val="Normal"/>
    <w:next w:val="Figuretitle"/>
    <w:qFormat/>
    <w:rsid w:val="002C0104"/>
    <w:pPr>
      <w:keepNext/>
      <w:keepLines/>
      <w:spacing w:before="480" w:after="120"/>
      <w:jc w:val="center"/>
    </w:pPr>
    <w:rPr>
      <w:lang w:bidi="ar-SY"/>
    </w:rPr>
  </w:style>
  <w:style w:type="paragraph" w:customStyle="1" w:styleId="Figuretitle">
    <w:name w:val="Figure_title"/>
    <w:basedOn w:val="Normal"/>
    <w:qFormat/>
    <w:rsid w:val="00F974C5"/>
    <w:pPr>
      <w:keepNext/>
      <w:spacing w:after="240"/>
      <w:jc w:val="center"/>
    </w:pPr>
    <w:rPr>
      <w:b/>
      <w:bCs/>
    </w:rPr>
  </w:style>
  <w:style w:type="paragraph" w:customStyle="1" w:styleId="TableNo">
    <w:name w:val="Table_No"/>
    <w:basedOn w:val="Normal"/>
    <w:next w:val="Tabletitle"/>
    <w:qFormat/>
    <w:rsid w:val="00DC45E9"/>
    <w:pPr>
      <w:keepNext/>
      <w:spacing w:before="480" w:after="120"/>
      <w:jc w:val="center"/>
    </w:pPr>
    <w:rPr>
      <w:lang w:bidi="ar-SY"/>
    </w:rPr>
  </w:style>
  <w:style w:type="paragraph" w:customStyle="1" w:styleId="Tabletitle">
    <w:name w:val="Table_title"/>
    <w:basedOn w:val="TableNo"/>
    <w:qFormat/>
    <w:rsid w:val="00F974C5"/>
    <w:pPr>
      <w:spacing w:before="120" w:after="240"/>
    </w:pPr>
    <w:rPr>
      <w:b/>
      <w:bCs/>
    </w:rPr>
  </w:style>
  <w:style w:type="paragraph" w:customStyle="1" w:styleId="Tablehead">
    <w:name w:val="Table_head"/>
    <w:basedOn w:val="Normal"/>
    <w:qFormat/>
    <w:rsid w:val="00DC45E9"/>
    <w:pPr>
      <w:keepNext/>
      <w:keepLines/>
      <w:spacing w:before="60" w:after="60" w:line="260" w:lineRule="exact"/>
      <w:jc w:val="center"/>
    </w:pPr>
    <w:rPr>
      <w:b/>
      <w:bCs/>
      <w:sz w:val="20"/>
      <w:szCs w:val="20"/>
    </w:rPr>
  </w:style>
  <w:style w:type="paragraph" w:customStyle="1" w:styleId="Tabletext">
    <w:name w:val="Table_text"/>
    <w:basedOn w:val="Normal"/>
    <w:qFormat/>
    <w:rsid w:val="00DC45E9"/>
    <w:pPr>
      <w:tabs>
        <w:tab w:val="clear" w:pos="794"/>
        <w:tab w:val="left" w:pos="284"/>
        <w:tab w:val="left" w:pos="567"/>
        <w:tab w:val="left" w:pos="851"/>
      </w:tabs>
      <w:spacing w:before="40" w:after="40" w:line="260" w:lineRule="exact"/>
    </w:pPr>
    <w:rPr>
      <w:sz w:val="20"/>
      <w:szCs w:val="20"/>
      <w:lang w:bidi="ar-SY"/>
    </w:rPr>
  </w:style>
  <w:style w:type="paragraph" w:customStyle="1" w:styleId="Title1">
    <w:name w:val="Title 1"/>
    <w:basedOn w:val="Normal"/>
    <w:qFormat/>
    <w:rsid w:val="007C3BCD"/>
    <w:pPr>
      <w:keepNext/>
      <w:spacing w:before="360" w:after="12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rsid w:val="00DC45E9"/>
    <w:pPr>
      <w:tabs>
        <w:tab w:val="clear" w:pos="794"/>
        <w:tab w:val="left" w:pos="964"/>
        <w:tab w:val="left" w:leader="dot" w:pos="7938"/>
        <w:tab w:val="right" w:pos="9072"/>
      </w:tabs>
      <w:overflowPunct w:val="0"/>
      <w:autoSpaceDE w:val="0"/>
      <w:autoSpaceDN w:val="0"/>
      <w:bidi w:val="0"/>
      <w:adjustRightInd w:val="0"/>
      <w:spacing w:before="200" w:line="240" w:lineRule="auto"/>
      <w:ind w:left="964" w:hanging="964"/>
      <w:jc w:val="left"/>
      <w:textAlignment w:val="baseline"/>
    </w:pPr>
    <w:rPr>
      <w:rFonts w:ascii="Calibri" w:eastAsia="Times New Roman" w:hAnsi="Calibri" w:cs="Times New Roman"/>
      <w:sz w:val="24"/>
      <w:szCs w:val="20"/>
      <w:lang w:val="fr-FR" w:eastAsia="en-US"/>
    </w:rPr>
  </w:style>
  <w:style w:type="paragraph" w:styleId="TOC2">
    <w:name w:val="toc 2"/>
    <w:basedOn w:val="TOC1"/>
    <w:next w:val="Normal"/>
    <w:rsid w:val="00DC45E9"/>
    <w:pPr>
      <w:spacing w:before="160"/>
    </w:pPr>
  </w:style>
  <w:style w:type="paragraph" w:styleId="TOC3">
    <w:name w:val="toc 3"/>
    <w:basedOn w:val="TOC1"/>
    <w:next w:val="Normal"/>
    <w:rsid w:val="00DC45E9"/>
  </w:style>
  <w:style w:type="paragraph" w:styleId="TOC4">
    <w:name w:val="toc 4"/>
    <w:basedOn w:val="TOC1"/>
    <w:next w:val="Normal"/>
    <w:rsid w:val="00DC45E9"/>
  </w:style>
  <w:style w:type="paragraph" w:styleId="TOC5">
    <w:name w:val="toc 5"/>
    <w:basedOn w:val="TOC4"/>
    <w:next w:val="Normal"/>
    <w:rsid w:val="00DC45E9"/>
    <w:rPr>
      <w:lang w:val="fr-CH"/>
    </w:rPr>
  </w:style>
  <w:style w:type="paragraph" w:styleId="TOC6">
    <w:name w:val="toc 6"/>
    <w:basedOn w:val="TOC5"/>
    <w:next w:val="Normal"/>
    <w:rsid w:val="00DC45E9"/>
  </w:style>
  <w:style w:type="paragraph" w:styleId="TOC7">
    <w:name w:val="toc 7"/>
    <w:basedOn w:val="TOC6"/>
    <w:next w:val="Normal"/>
    <w:rsid w:val="00DC45E9"/>
  </w:style>
  <w:style w:type="paragraph" w:styleId="TOC8">
    <w:name w:val="toc 8"/>
    <w:basedOn w:val="TOC7"/>
    <w:next w:val="Normal"/>
    <w:rsid w:val="00DC45E9"/>
  </w:style>
  <w:style w:type="paragraph" w:styleId="TOC9">
    <w:name w:val="toc 9"/>
    <w:basedOn w:val="Normal"/>
    <w:next w:val="Normal"/>
    <w:rsid w:val="00DC45E9"/>
    <w:pPr>
      <w:tabs>
        <w:tab w:val="clear" w:pos="794"/>
        <w:tab w:val="right" w:leader="dot" w:pos="9645"/>
      </w:tabs>
      <w:overflowPunct w:val="0"/>
      <w:autoSpaceDE w:val="0"/>
      <w:autoSpaceDN w:val="0"/>
      <w:bidi w:val="0"/>
      <w:adjustRightInd w:val="0"/>
      <w:spacing w:line="240" w:lineRule="auto"/>
      <w:ind w:left="1920"/>
      <w:jc w:val="left"/>
      <w:textAlignment w:val="baseline"/>
    </w:pPr>
    <w:rPr>
      <w:rFonts w:ascii="Calibri" w:eastAsia="Times New Roman" w:hAnsi="Calibri" w:cs="Times New Roman"/>
      <w:sz w:val="24"/>
      <w:szCs w:val="20"/>
      <w:lang w:val="fr-FR" w:eastAsia="en-US"/>
    </w:rPr>
  </w:style>
  <w:style w:type="paragraph" w:customStyle="1" w:styleId="VolumeNo">
    <w:name w:val="Volume_No"/>
    <w:basedOn w:val="Normal"/>
    <w:qFormat/>
    <w:rsid w:val="00F974C5"/>
    <w:pPr>
      <w:keepNext/>
      <w:spacing w:before="360" w:after="120"/>
      <w:jc w:val="center"/>
    </w:pPr>
    <w:rPr>
      <w:sz w:val="26"/>
      <w:szCs w:val="26"/>
      <w:lang w:bidi="ar-SY"/>
    </w:rPr>
  </w:style>
  <w:style w:type="paragraph" w:customStyle="1" w:styleId="Volumetitle">
    <w:name w:val="Volume_title"/>
    <w:basedOn w:val="VolumeNo"/>
    <w:qFormat/>
    <w:rsid w:val="00F974C5"/>
    <w:pPr>
      <w:spacing w:before="120" w:after="360"/>
    </w:pPr>
    <w:rPr>
      <w:b/>
      <w:bCs/>
      <w:sz w:val="28"/>
      <w:szCs w:val="28"/>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_No"/>
    <w:basedOn w:val="Normal"/>
    <w:qFormat/>
    <w:rsid w:val="00F974C5"/>
    <w:pPr>
      <w:keepNext/>
      <w:keepLines/>
      <w:spacing w:before="360" w:after="120"/>
      <w:jc w:val="center"/>
    </w:pPr>
    <w:rPr>
      <w:sz w:val="26"/>
      <w:szCs w:val="26"/>
    </w:rPr>
  </w:style>
  <w:style w:type="paragraph" w:customStyle="1" w:styleId="Opiniontitle">
    <w:name w:val="Opinion_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uiPriority w:val="39"/>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basedOn w:val="DefaultParagraphFont"/>
    <w:uiPriority w:val="99"/>
    <w:unhideWhenUsed/>
    <w:rsid w:val="00370D5F"/>
    <w:rPr>
      <w:rFonts w:ascii="Calibri" w:eastAsia="Calibri" w:hAnsi="Calibri" w:cs="Arial"/>
      <w:noProof/>
      <w:color w:val="5B9BD5" w:themeColor="accent1"/>
      <w:sz w:val="18"/>
      <w:u w:val="single"/>
      <w:lang w:val="en-GB" w:eastAsia="en-US"/>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0">
    <w:name w:val="Footnote_text"/>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uiPriority w:val="34"/>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paragraph" w:customStyle="1" w:styleId="Figure">
    <w:name w:val="Figure"/>
    <w:basedOn w:val="Normal"/>
    <w:next w:val="Normal"/>
    <w:rsid w:val="00674614"/>
    <w:pPr>
      <w:tabs>
        <w:tab w:val="clear" w:pos="794"/>
        <w:tab w:val="left" w:pos="567"/>
        <w:tab w:val="left" w:pos="1134"/>
        <w:tab w:val="left" w:pos="1701"/>
        <w:tab w:val="left" w:pos="2268"/>
        <w:tab w:val="left" w:pos="2835"/>
      </w:tabs>
      <w:overflowPunct w:val="0"/>
      <w:autoSpaceDE w:val="0"/>
      <w:autoSpaceDN w:val="0"/>
      <w:bidi w:val="0"/>
      <w:adjustRightInd w:val="0"/>
      <w:spacing w:after="240" w:line="240" w:lineRule="auto"/>
      <w:jc w:val="center"/>
      <w:textAlignment w:val="baseline"/>
    </w:pPr>
    <w:rPr>
      <w:rFonts w:ascii="Calibri" w:eastAsia="Times New Roman" w:hAnsi="Calibri" w:cs="Times New Roman"/>
      <w:sz w:val="24"/>
      <w:szCs w:val="20"/>
      <w:lang w:val="fr-FR" w:eastAsia="en-US"/>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_legend"/>
    <w:basedOn w:val="Normal"/>
    <w:qFormat/>
    <w:rsid w:val="00DC45E9"/>
    <w:pPr>
      <w:tabs>
        <w:tab w:val="clear" w:pos="794"/>
        <w:tab w:val="left" w:pos="284"/>
        <w:tab w:val="left" w:pos="567"/>
        <w:tab w:val="left" w:pos="851"/>
      </w:tabs>
      <w:spacing w:before="40" w:after="40"/>
      <w:jc w:val="left"/>
    </w:pPr>
    <w:rPr>
      <w:lang w:bidi="ar-SY"/>
    </w:rPr>
  </w:style>
  <w:style w:type="paragraph" w:customStyle="1" w:styleId="Headingb">
    <w:name w:val="Heading_b"/>
    <w:basedOn w:val="Normal"/>
    <w:qFormat/>
    <w:rsid w:val="008339C0"/>
    <w:pPr>
      <w:keepNext/>
      <w:spacing w:before="240"/>
      <w:ind w:left="1134" w:hanging="1134"/>
    </w:pPr>
    <w:rPr>
      <w:b/>
      <w:bCs/>
      <w:sz w:val="24"/>
      <w:szCs w:val="24"/>
    </w:rPr>
  </w:style>
  <w:style w:type="table" w:styleId="GridTable5Dark-Accent1">
    <w:name w:val="Grid Table 5 Dark Accent 1"/>
    <w:basedOn w:val="TableNormal"/>
    <w:uiPriority w:val="50"/>
    <w:rsid w:val="00E61BE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Subtitle0">
    <w:name w:val="Sub_title"/>
    <w:basedOn w:val="Normal"/>
    <w:qFormat/>
    <w:rsid w:val="007B0AA0"/>
    <w:pPr>
      <w:spacing w:after="120"/>
    </w:pPr>
    <w:rPr>
      <w:sz w:val="30"/>
      <w:szCs w:val="30"/>
      <w:lang w:bidi="ar-EG"/>
    </w:rPr>
  </w:style>
  <w:style w:type="table" w:customStyle="1" w:styleId="TableGrid1">
    <w:name w:val="Table Grid1"/>
    <w:basedOn w:val="TableNormal"/>
    <w:next w:val="TableGrid"/>
    <w:uiPriority w:val="39"/>
    <w:rsid w:val="007B0AA0"/>
    <w:pPr>
      <w:spacing w:after="0" w:line="240" w:lineRule="auto"/>
    </w:pPr>
    <w:rPr>
      <w:rFonts w:eastAsia="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60DEA"/>
    <w:rPr>
      <w:color w:val="605E5C"/>
      <w:shd w:val="clear" w:color="auto" w:fill="E1DFDD"/>
    </w:rPr>
  </w:style>
  <w:style w:type="paragraph" w:customStyle="1" w:styleId="toc0">
    <w:name w:val="toc 0"/>
    <w:basedOn w:val="Normal"/>
    <w:next w:val="TOC1"/>
    <w:rsid w:val="00DC45E9"/>
    <w:pPr>
      <w:tabs>
        <w:tab w:val="clear" w:pos="794"/>
        <w:tab w:val="right" w:pos="9781"/>
      </w:tabs>
      <w:overflowPunct w:val="0"/>
      <w:autoSpaceDE w:val="0"/>
      <w:autoSpaceDN w:val="0"/>
      <w:bidi w:val="0"/>
      <w:adjustRightInd w:val="0"/>
      <w:spacing w:line="240" w:lineRule="auto"/>
      <w:jc w:val="left"/>
      <w:textAlignment w:val="baseline"/>
    </w:pPr>
    <w:rPr>
      <w:rFonts w:ascii="Calibri" w:eastAsia="Times New Roman" w:hAnsi="Calibri" w:cs="Times New Roman"/>
      <w:b/>
      <w:sz w:val="24"/>
      <w:szCs w:val="20"/>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41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tu.int/md/S26-C26EXT-C-0002/e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000%20ITU\00%20Template\Arabic%20Templates%202026\SG\Council26EXTdotx.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28108-4966-4581-8805-B68FC0355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Council26EXTdotx.dotx</Template>
  <TotalTime>1</TotalTime>
  <Pages>4</Pages>
  <Words>1328</Words>
  <Characters>7575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International Telecommunication Union</Company>
  <LinksUpToDate>false</LinksUpToDate>
  <CharactersWithSpaces>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Multicountry contribution on the precise place and exact dates of the 2026 ITU Plenipotentiary Conference</dc:title>
  <dc:subject>Extraordinary session of the ITU Council 2026</dc:subject>
  <dc:creator>Arabic_AK</dc:creator>
  <cp:keywords>C26-EXT; C26; C2026; Council 2026; PP26</cp:keywords>
  <dc:description/>
  <cp:lastModifiedBy>ITUGBS</cp:lastModifiedBy>
  <cp:revision>2</cp:revision>
  <dcterms:created xsi:type="dcterms:W3CDTF">2026-08-25T11:17:00Z</dcterms:created>
  <dcterms:modified xsi:type="dcterms:W3CDTF">2026-08-25T11:17:00Z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4764bc0ed8aab6cc3f228418da0bf4d692034987165b3c327d8e9737cd820415</vt:lpwstr>
  </property>
</Properties>
</file>