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FE57F6" w:rsidRPr="00F679A7" w14:paraId="444526A4" w14:textId="77777777" w:rsidTr="00C4421B">
        <w:trPr>
          <w:cantSplit/>
          <w:trHeight w:val="23"/>
        </w:trPr>
        <w:tc>
          <w:tcPr>
            <w:tcW w:w="3969" w:type="dxa"/>
            <w:vMerge w:val="restart"/>
            <w:tcMar>
              <w:left w:w="0" w:type="dxa"/>
            </w:tcMar>
          </w:tcPr>
          <w:p w14:paraId="777E0C73" w14:textId="0E3C7A67" w:rsidR="00FE57F6" w:rsidRPr="009274D6" w:rsidRDefault="00FE57F6" w:rsidP="00761AE2">
            <w:pPr>
              <w:spacing w:before="0"/>
              <w:rPr>
                <w:b/>
                <w:bCs/>
                <w:lang w:val="es-ES_tradnl"/>
              </w:rPr>
            </w:pPr>
            <w:bookmarkStart w:id="0" w:name="_Hlk133421839"/>
          </w:p>
        </w:tc>
        <w:tc>
          <w:tcPr>
            <w:tcW w:w="5245" w:type="dxa"/>
          </w:tcPr>
          <w:p w14:paraId="39B08759" w14:textId="5C435B69" w:rsidR="00FE57F6" w:rsidRPr="00761AE2" w:rsidRDefault="00FE57F6" w:rsidP="00761AE2">
            <w:pPr>
              <w:spacing w:before="0"/>
              <w:jc w:val="right"/>
              <w:rPr>
                <w:b/>
                <w:bCs/>
                <w:lang w:val="es-ES_tradnl"/>
              </w:rPr>
            </w:pPr>
            <w:r w:rsidRPr="00761AE2">
              <w:rPr>
                <w:b/>
                <w:bCs/>
                <w:lang w:val="es-ES_tradnl"/>
              </w:rPr>
              <w:t>Document</w:t>
            </w:r>
            <w:r w:rsidR="00F24B71" w:rsidRPr="00761AE2">
              <w:rPr>
                <w:b/>
                <w:bCs/>
                <w:lang w:val="es-ES_tradnl"/>
              </w:rPr>
              <w:t>o</w:t>
            </w:r>
            <w:r w:rsidRPr="00761AE2">
              <w:rPr>
                <w:b/>
                <w:bCs/>
                <w:lang w:val="es-ES_tradnl"/>
              </w:rPr>
              <w:t xml:space="preserve"> C2</w:t>
            </w:r>
            <w:r w:rsidR="00F85E5C" w:rsidRPr="00761AE2">
              <w:rPr>
                <w:b/>
                <w:bCs/>
                <w:lang w:val="es-ES_tradnl"/>
              </w:rPr>
              <w:t>6</w:t>
            </w:r>
            <w:r w:rsidR="00F679A7" w:rsidRPr="00761AE2">
              <w:rPr>
                <w:b/>
                <w:bCs/>
                <w:lang w:val="es-ES_tradnl"/>
              </w:rPr>
              <w:t>-EXT</w:t>
            </w:r>
            <w:r w:rsidRPr="00761AE2">
              <w:rPr>
                <w:b/>
                <w:bCs/>
                <w:lang w:val="es-ES_tradnl"/>
              </w:rPr>
              <w:t>/</w:t>
            </w:r>
            <w:r w:rsidR="00761AE2" w:rsidRPr="00761AE2">
              <w:rPr>
                <w:b/>
                <w:bCs/>
                <w:lang w:val="es-ES_tradnl"/>
              </w:rPr>
              <w:t>2</w:t>
            </w:r>
            <w:r w:rsidRPr="00761AE2">
              <w:rPr>
                <w:b/>
                <w:bCs/>
                <w:lang w:val="es-ES_tradnl"/>
              </w:rPr>
              <w:t>-</w:t>
            </w:r>
            <w:r w:rsidR="00F24B71" w:rsidRPr="00761AE2">
              <w:rPr>
                <w:b/>
                <w:bCs/>
                <w:lang w:val="es-ES_tradnl"/>
              </w:rPr>
              <w:t>S</w:t>
            </w:r>
          </w:p>
        </w:tc>
      </w:tr>
      <w:tr w:rsidR="00FE57F6" w:rsidRPr="00F679A7" w14:paraId="0F57EBE8" w14:textId="77777777" w:rsidTr="00C4421B">
        <w:trPr>
          <w:cantSplit/>
        </w:trPr>
        <w:tc>
          <w:tcPr>
            <w:tcW w:w="3969" w:type="dxa"/>
            <w:vMerge/>
          </w:tcPr>
          <w:p w14:paraId="2BE83C18" w14:textId="77777777" w:rsidR="00FE57F6" w:rsidRPr="009274D6" w:rsidRDefault="00FE57F6" w:rsidP="009274D6">
            <w:pPr>
              <w:spacing w:before="0"/>
              <w:rPr>
                <w:b/>
                <w:bCs/>
                <w:lang w:val="es-ES_tradnl"/>
              </w:rPr>
            </w:pPr>
          </w:p>
        </w:tc>
        <w:tc>
          <w:tcPr>
            <w:tcW w:w="5245" w:type="dxa"/>
          </w:tcPr>
          <w:p w14:paraId="07562862" w14:textId="50ED41FE" w:rsidR="00FE57F6" w:rsidRPr="00761AE2" w:rsidRDefault="00761AE2" w:rsidP="00761AE2">
            <w:pPr>
              <w:spacing w:before="0"/>
              <w:jc w:val="right"/>
              <w:rPr>
                <w:b/>
                <w:bCs/>
                <w:lang w:val="es-ES_tradnl"/>
              </w:rPr>
            </w:pPr>
            <w:r w:rsidRPr="00761AE2">
              <w:rPr>
                <w:b/>
                <w:bCs/>
                <w:lang w:val="es-ES_tradnl"/>
              </w:rPr>
              <w:t>14 de agosto de 2026</w:t>
            </w:r>
          </w:p>
        </w:tc>
      </w:tr>
      <w:tr w:rsidR="00FE57F6" w:rsidRPr="00F679A7" w14:paraId="284FE539" w14:textId="77777777" w:rsidTr="00C4421B">
        <w:trPr>
          <w:cantSplit/>
          <w:trHeight w:val="23"/>
        </w:trPr>
        <w:tc>
          <w:tcPr>
            <w:tcW w:w="3969" w:type="dxa"/>
            <w:vMerge/>
          </w:tcPr>
          <w:p w14:paraId="3B01CE84" w14:textId="77777777" w:rsidR="00FE57F6" w:rsidRPr="009274D6" w:rsidRDefault="00FE57F6" w:rsidP="009274D6">
            <w:pPr>
              <w:spacing w:before="0"/>
              <w:rPr>
                <w:b/>
                <w:bCs/>
                <w:lang w:val="es-ES_tradnl"/>
              </w:rPr>
            </w:pPr>
          </w:p>
        </w:tc>
        <w:tc>
          <w:tcPr>
            <w:tcW w:w="5245" w:type="dxa"/>
          </w:tcPr>
          <w:p w14:paraId="4F5C7060" w14:textId="77777777" w:rsidR="00FE57F6" w:rsidRPr="00F679A7" w:rsidRDefault="00F24B71" w:rsidP="00761AE2">
            <w:pPr>
              <w:spacing w:before="0"/>
              <w:jc w:val="right"/>
              <w:rPr>
                <w:b/>
                <w:bCs/>
                <w:lang w:val="es-ES_tradnl"/>
              </w:rPr>
            </w:pPr>
            <w:r w:rsidRPr="00761AE2">
              <w:rPr>
                <w:b/>
                <w:bCs/>
                <w:lang w:val="es-ES_tradnl"/>
              </w:rPr>
              <w:t>Original: inglés</w:t>
            </w:r>
          </w:p>
        </w:tc>
      </w:tr>
      <w:tr w:rsidR="00FE57F6" w:rsidRPr="00F679A7" w14:paraId="75B17EE5" w14:textId="77777777" w:rsidTr="00C4421B">
        <w:trPr>
          <w:cantSplit/>
          <w:trHeight w:val="23"/>
        </w:trPr>
        <w:tc>
          <w:tcPr>
            <w:tcW w:w="3969" w:type="dxa"/>
          </w:tcPr>
          <w:p w14:paraId="1C198716" w14:textId="77777777" w:rsidR="00FE57F6" w:rsidRPr="009274D6" w:rsidRDefault="00FE57F6" w:rsidP="009274D6">
            <w:pPr>
              <w:spacing w:before="0"/>
              <w:rPr>
                <w:b/>
                <w:bCs/>
                <w:lang w:val="es-ES_tradnl"/>
              </w:rPr>
            </w:pPr>
          </w:p>
        </w:tc>
        <w:tc>
          <w:tcPr>
            <w:tcW w:w="5245" w:type="dxa"/>
          </w:tcPr>
          <w:p w14:paraId="1A60267E" w14:textId="77777777" w:rsidR="00FE57F6" w:rsidRPr="009274D6" w:rsidRDefault="00FE57F6" w:rsidP="009274D6">
            <w:pPr>
              <w:spacing w:before="0"/>
              <w:jc w:val="right"/>
              <w:rPr>
                <w:b/>
                <w:bCs/>
                <w:lang w:val="es-ES_tradnl"/>
              </w:rPr>
            </w:pPr>
          </w:p>
        </w:tc>
      </w:tr>
      <w:tr w:rsidR="00FE57F6" w:rsidRPr="000F6D86" w14:paraId="74A05BDA" w14:textId="77777777" w:rsidTr="00C4421B">
        <w:trPr>
          <w:cantSplit/>
        </w:trPr>
        <w:tc>
          <w:tcPr>
            <w:tcW w:w="9214" w:type="dxa"/>
            <w:gridSpan w:val="2"/>
            <w:tcMar>
              <w:left w:w="0" w:type="dxa"/>
            </w:tcMar>
          </w:tcPr>
          <w:p w14:paraId="355E1034" w14:textId="77777777" w:rsidR="00FE57F6" w:rsidRPr="00DA4FB9" w:rsidRDefault="00157AC4" w:rsidP="00DA4FB9">
            <w:pPr>
              <w:pStyle w:val="Source"/>
              <w:framePr w:hSpace="0" w:wrap="auto" w:vAnchor="margin" w:hAnchor="text" w:xAlign="left" w:yAlign="inline"/>
            </w:pPr>
            <w:r w:rsidRPr="00DA4FB9">
              <w:t>Informe de la Secretaria General</w:t>
            </w:r>
          </w:p>
        </w:tc>
      </w:tr>
      <w:tr w:rsidR="00FE57F6" w:rsidRPr="000F6D86" w14:paraId="1931EF27" w14:textId="77777777" w:rsidTr="00C4421B">
        <w:trPr>
          <w:cantSplit/>
        </w:trPr>
        <w:tc>
          <w:tcPr>
            <w:tcW w:w="9214" w:type="dxa"/>
            <w:gridSpan w:val="2"/>
            <w:tcMar>
              <w:left w:w="0" w:type="dxa"/>
            </w:tcMar>
          </w:tcPr>
          <w:p w14:paraId="46F0A68B" w14:textId="73095DCA" w:rsidR="00FE57F6" w:rsidRPr="00DA4FB9" w:rsidRDefault="00DA4FB9" w:rsidP="00C4421B">
            <w:pPr>
              <w:pStyle w:val="Subtitle"/>
              <w:framePr w:hSpace="0" w:wrap="auto" w:hAnchor="text" w:xAlign="left" w:yAlign="inline"/>
              <w:rPr>
                <w:szCs w:val="34"/>
                <w:lang w:val="es-ES_tradnl"/>
              </w:rPr>
            </w:pPr>
            <w:r w:rsidRPr="00DA4FB9">
              <w:rPr>
                <w:szCs w:val="34"/>
                <w:lang w:val="es-ES_tradnl"/>
              </w:rPr>
              <w:t xml:space="preserve">PREPARATIVOS DE LA CONFERENCIA DE PLENIPOTENCIARIOS </w:t>
            </w:r>
            <w:r>
              <w:rPr>
                <w:szCs w:val="34"/>
                <w:lang w:val="es-ES_tradnl"/>
              </w:rPr>
              <w:br/>
            </w:r>
            <w:r w:rsidRPr="00DA4FB9">
              <w:rPr>
                <w:szCs w:val="34"/>
                <w:lang w:val="es-ES_tradnl"/>
              </w:rPr>
              <w:t>DE 2026</w:t>
            </w:r>
          </w:p>
        </w:tc>
      </w:tr>
      <w:tr w:rsidR="00FE57F6" w:rsidRPr="000F6D86" w14:paraId="79B6E899" w14:textId="77777777" w:rsidTr="00C4421B">
        <w:trPr>
          <w:cantSplit/>
        </w:trPr>
        <w:tc>
          <w:tcPr>
            <w:tcW w:w="9214" w:type="dxa"/>
            <w:gridSpan w:val="2"/>
            <w:tcBorders>
              <w:top w:val="single" w:sz="4" w:space="0" w:color="auto"/>
              <w:bottom w:val="single" w:sz="4" w:space="0" w:color="auto"/>
            </w:tcBorders>
            <w:tcMar>
              <w:left w:w="0" w:type="dxa"/>
            </w:tcMar>
          </w:tcPr>
          <w:p w14:paraId="2BB057AD" w14:textId="77777777" w:rsidR="00FE57F6" w:rsidRPr="00F679A7" w:rsidRDefault="00F24B71" w:rsidP="00C4421B">
            <w:pPr>
              <w:spacing w:before="160"/>
              <w:rPr>
                <w:b/>
                <w:bCs/>
                <w:sz w:val="26"/>
                <w:szCs w:val="26"/>
                <w:lang w:val="es-ES_tradnl"/>
              </w:rPr>
            </w:pPr>
            <w:r w:rsidRPr="00F679A7">
              <w:rPr>
                <w:b/>
                <w:bCs/>
                <w:sz w:val="26"/>
                <w:szCs w:val="26"/>
                <w:lang w:val="es-ES_tradnl"/>
              </w:rPr>
              <w:t>Finalidad</w:t>
            </w:r>
          </w:p>
          <w:p w14:paraId="2EFCC93D" w14:textId="257F9867" w:rsidR="00761AE2" w:rsidRPr="00761AE2" w:rsidRDefault="00761AE2" w:rsidP="006B3E2D">
            <w:pPr>
              <w:jc w:val="both"/>
              <w:rPr>
                <w:lang w:val="es-ES"/>
              </w:rPr>
            </w:pPr>
            <w:r w:rsidRPr="00761AE2">
              <w:rPr>
                <w:lang w:val="es-ES"/>
              </w:rPr>
              <w:t>Tras los debates sobre los preparativos de la</w:t>
            </w:r>
            <w:r w:rsidR="009A3919">
              <w:rPr>
                <w:lang w:val="es-ES"/>
              </w:rPr>
              <w:t> </w:t>
            </w:r>
            <w:r w:rsidRPr="00761AE2">
              <w:rPr>
                <w:lang w:val="es-ES"/>
              </w:rPr>
              <w:t>PP-26 mantenidos en el Consejo de la</w:t>
            </w:r>
            <w:r w:rsidR="00B72D72">
              <w:rPr>
                <w:lang w:val="es-ES"/>
              </w:rPr>
              <w:t> </w:t>
            </w:r>
            <w:r w:rsidRPr="00761AE2">
              <w:rPr>
                <w:lang w:val="es-ES"/>
              </w:rPr>
              <w:t>UIT en abril de</w:t>
            </w:r>
            <w:r w:rsidR="00B72D72">
              <w:rPr>
                <w:lang w:val="es-ES"/>
              </w:rPr>
              <w:t> </w:t>
            </w:r>
            <w:r w:rsidRPr="00761AE2">
              <w:rPr>
                <w:lang w:val="es-ES"/>
              </w:rPr>
              <w:t>2026, la Secretaría ha seguido de cerca y evaluado la evolución de la situación de seguridad en la región, en estrecha cooperación con el país anfitrión y el Departamento de Seguridad de las Naciones Unidas (UNDSS).</w:t>
            </w:r>
          </w:p>
          <w:p w14:paraId="32C10313" w14:textId="2F04C76A" w:rsidR="00761AE2" w:rsidRPr="00761AE2" w:rsidRDefault="00761AE2" w:rsidP="006B3E2D">
            <w:pPr>
              <w:jc w:val="both"/>
              <w:rPr>
                <w:b/>
                <w:bCs/>
                <w:lang w:val="es-ES"/>
              </w:rPr>
            </w:pPr>
            <w:r w:rsidRPr="00761AE2">
              <w:rPr>
                <w:lang w:val="es-ES"/>
              </w:rPr>
              <w:t xml:space="preserve">La Secretaría se comprometió a realizar un examen de la situación cuatro meses antes de la Conferencia. Habida cuenta de lo anterior y </w:t>
            </w:r>
            <w:proofErr w:type="gramStart"/>
            <w:r w:rsidRPr="00761AE2">
              <w:rPr>
                <w:lang w:val="es-ES"/>
              </w:rPr>
              <w:t>en razón de</w:t>
            </w:r>
            <w:proofErr w:type="gramEnd"/>
            <w:r w:rsidRPr="00761AE2">
              <w:rPr>
                <w:lang w:val="es-ES"/>
              </w:rPr>
              <w:t xml:space="preserve"> las preguntas planteadas a la Secretaría por varios Estados Miembros, el Presidente ha decidido convocar una </w:t>
            </w:r>
            <w:r w:rsidRPr="00761AE2">
              <w:rPr>
                <w:b/>
                <w:bCs/>
                <w:lang w:val="es-ES"/>
              </w:rPr>
              <w:t>reunión extraordinaria del</w:t>
            </w:r>
            <w:r w:rsidRPr="00761AE2">
              <w:rPr>
                <w:lang w:val="es-ES"/>
              </w:rPr>
              <w:t xml:space="preserve"> </w:t>
            </w:r>
            <w:r w:rsidRPr="00761AE2">
              <w:rPr>
                <w:b/>
                <w:bCs/>
                <w:lang w:val="es-ES"/>
              </w:rPr>
              <w:t>Consejo el martes 25 de agosto de</w:t>
            </w:r>
            <w:r w:rsidR="00B72D72">
              <w:rPr>
                <w:b/>
                <w:bCs/>
                <w:lang w:val="es-ES"/>
              </w:rPr>
              <w:t> </w:t>
            </w:r>
            <w:r w:rsidRPr="00761AE2">
              <w:rPr>
                <w:b/>
                <w:bCs/>
                <w:lang w:val="es-ES"/>
              </w:rPr>
              <w:t>2026</w:t>
            </w:r>
            <w:r w:rsidRPr="006B3E2D">
              <w:rPr>
                <w:lang w:val="es-ES"/>
              </w:rPr>
              <w:t>.</w:t>
            </w:r>
          </w:p>
          <w:p w14:paraId="27205DA4" w14:textId="319FC88B" w:rsidR="00FE57F6" w:rsidRPr="00F679A7" w:rsidRDefault="00761AE2" w:rsidP="006B3E2D">
            <w:pPr>
              <w:jc w:val="both"/>
              <w:rPr>
                <w:lang w:val="es-ES_tradnl"/>
              </w:rPr>
            </w:pPr>
            <w:r w:rsidRPr="00761AE2">
              <w:rPr>
                <w:lang w:val="es-ES"/>
              </w:rPr>
              <w:t>En el presente Informe se presenta una evaluación de la situación y se exponen las opciones para la próxima PP-26.</w:t>
            </w:r>
          </w:p>
          <w:p w14:paraId="1FB53598" w14:textId="77777777" w:rsidR="00FE57F6" w:rsidRPr="00F679A7" w:rsidRDefault="00F24B71" w:rsidP="00C4421B">
            <w:pPr>
              <w:spacing w:before="160"/>
              <w:rPr>
                <w:b/>
                <w:bCs/>
                <w:sz w:val="26"/>
                <w:szCs w:val="26"/>
                <w:lang w:val="es-ES_tradnl"/>
              </w:rPr>
            </w:pPr>
            <w:r w:rsidRPr="00F679A7">
              <w:rPr>
                <w:b/>
                <w:bCs/>
                <w:sz w:val="26"/>
                <w:szCs w:val="26"/>
                <w:lang w:val="es-ES_tradnl"/>
              </w:rPr>
              <w:t xml:space="preserve">Acción solicitada </w:t>
            </w:r>
            <w:r w:rsidR="00677A97" w:rsidRPr="00F679A7">
              <w:rPr>
                <w:b/>
                <w:bCs/>
                <w:sz w:val="26"/>
                <w:szCs w:val="26"/>
                <w:lang w:val="es-ES_tradnl"/>
              </w:rPr>
              <w:t>al</w:t>
            </w:r>
            <w:r w:rsidRPr="00F679A7">
              <w:rPr>
                <w:b/>
                <w:bCs/>
                <w:sz w:val="26"/>
                <w:szCs w:val="26"/>
                <w:lang w:val="es-ES_tradnl"/>
              </w:rPr>
              <w:t xml:space="preserve"> Consejo</w:t>
            </w:r>
          </w:p>
          <w:p w14:paraId="05D5D9F8" w14:textId="18ED9EEE" w:rsidR="00F92BED" w:rsidRPr="00761AE2" w:rsidRDefault="00761AE2" w:rsidP="006B3E2D">
            <w:pPr>
              <w:jc w:val="both"/>
              <w:rPr>
                <w:lang w:val="es-ES"/>
              </w:rPr>
            </w:pPr>
            <w:r w:rsidRPr="00761AE2">
              <w:rPr>
                <w:lang w:val="es-ES"/>
              </w:rPr>
              <w:t xml:space="preserve">Se invita al Consejo a </w:t>
            </w:r>
            <w:r w:rsidRPr="00761AE2">
              <w:rPr>
                <w:b/>
                <w:bCs/>
                <w:lang w:val="es-ES"/>
              </w:rPr>
              <w:t>considerar</w:t>
            </w:r>
            <w:r w:rsidRPr="00761AE2">
              <w:rPr>
                <w:lang w:val="es-ES"/>
              </w:rPr>
              <w:t xml:space="preserve"> las opciones para la preparación de la próxima PP-26, </w:t>
            </w:r>
            <w:r w:rsidRPr="00761AE2">
              <w:rPr>
                <w:b/>
                <w:bCs/>
                <w:lang w:val="es-ES"/>
              </w:rPr>
              <w:t>formular orientaciones</w:t>
            </w:r>
            <w:r w:rsidRPr="00761AE2">
              <w:rPr>
                <w:lang w:val="es-ES"/>
              </w:rPr>
              <w:t xml:space="preserve">, </w:t>
            </w:r>
            <w:r w:rsidRPr="00761AE2">
              <w:rPr>
                <w:b/>
                <w:bCs/>
                <w:lang w:val="es-ES"/>
              </w:rPr>
              <w:t>adoptar las decisiones</w:t>
            </w:r>
            <w:r w:rsidRPr="00761AE2">
              <w:rPr>
                <w:lang w:val="es-ES"/>
              </w:rPr>
              <w:t xml:space="preserve"> que estime oportunas y </w:t>
            </w:r>
            <w:r w:rsidRPr="00761AE2">
              <w:rPr>
                <w:b/>
                <w:bCs/>
                <w:lang w:val="es-ES"/>
              </w:rPr>
              <w:t>encargar</w:t>
            </w:r>
            <w:r w:rsidRPr="00761AE2">
              <w:rPr>
                <w:lang w:val="es-ES"/>
              </w:rPr>
              <w:t xml:space="preserve"> a la Secretaria General que actúe en consecuencia.</w:t>
            </w:r>
          </w:p>
          <w:p w14:paraId="2E218812" w14:textId="77777777" w:rsidR="00F92BED" w:rsidRPr="00F679A7" w:rsidRDefault="00F92BED" w:rsidP="00C4421B">
            <w:pPr>
              <w:spacing w:before="160"/>
              <w:rPr>
                <w:b/>
                <w:bCs/>
                <w:sz w:val="26"/>
                <w:szCs w:val="26"/>
                <w:lang w:val="es-ES_tradnl"/>
              </w:rPr>
            </w:pPr>
            <w:r w:rsidRPr="00F679A7">
              <w:rPr>
                <w:b/>
                <w:bCs/>
                <w:sz w:val="26"/>
                <w:szCs w:val="26"/>
                <w:lang w:val="es-ES_tradnl"/>
              </w:rPr>
              <w:t>Repercusiones financieras</w:t>
            </w:r>
          </w:p>
          <w:p w14:paraId="576DE9F6" w14:textId="225CFA46" w:rsidR="00F92BED" w:rsidRPr="00761AE2" w:rsidRDefault="00761AE2" w:rsidP="006B3E2D">
            <w:pPr>
              <w:jc w:val="both"/>
              <w:rPr>
                <w:lang w:val="es-ES"/>
              </w:rPr>
            </w:pPr>
            <w:r w:rsidRPr="00761AE2">
              <w:rPr>
                <w:lang w:val="es-ES"/>
              </w:rPr>
              <w:t>En caso de que la</w:t>
            </w:r>
            <w:r w:rsidR="00B72D72">
              <w:rPr>
                <w:lang w:val="es-ES"/>
              </w:rPr>
              <w:t> </w:t>
            </w:r>
            <w:r w:rsidRPr="00761AE2">
              <w:rPr>
                <w:lang w:val="es-ES"/>
              </w:rPr>
              <w:t>PP se celebrase en Ginebra en enero de</w:t>
            </w:r>
            <w:r w:rsidR="00B72D72">
              <w:rPr>
                <w:lang w:val="es-ES"/>
              </w:rPr>
              <w:t> </w:t>
            </w:r>
            <w:r w:rsidRPr="00761AE2">
              <w:rPr>
                <w:lang w:val="es-ES"/>
              </w:rPr>
              <w:t>2027, el presupuesto de la</w:t>
            </w:r>
            <w:r w:rsidR="00B72D72">
              <w:rPr>
                <w:lang w:val="es-ES"/>
              </w:rPr>
              <w:t> </w:t>
            </w:r>
            <w:r w:rsidRPr="00761AE2">
              <w:rPr>
                <w:lang w:val="es-ES"/>
              </w:rPr>
              <w:t>PP aprobado en el presupuesto ordinario de</w:t>
            </w:r>
            <w:r w:rsidR="00B72D72">
              <w:rPr>
                <w:lang w:val="es-ES"/>
              </w:rPr>
              <w:t> </w:t>
            </w:r>
            <w:r w:rsidRPr="00761AE2">
              <w:rPr>
                <w:lang w:val="es-ES"/>
              </w:rPr>
              <w:t>2026 podrá prorrogarse a 2027. Si las contribuciones voluntarias resultasen insuficientes para compensar el gasto adicional de 1 510 000 CHF, el Consejo podrá decidir que se autorice la utilización de la Cuenta de Provisión para sufragar la totalidad o parte del importe restante.</w:t>
            </w:r>
          </w:p>
          <w:p w14:paraId="2EB570E3" w14:textId="77777777" w:rsidR="00FE57F6" w:rsidRPr="00F679A7" w:rsidRDefault="00FE57F6" w:rsidP="00761AE2">
            <w:pPr>
              <w:rPr>
                <w:caps/>
                <w:lang w:val="es-ES_tradnl"/>
              </w:rPr>
            </w:pPr>
            <w:r w:rsidRPr="00F679A7">
              <w:rPr>
                <w:lang w:val="es-ES_tradnl"/>
              </w:rPr>
              <w:t>__________________</w:t>
            </w:r>
          </w:p>
          <w:p w14:paraId="01B88B3C" w14:textId="3A28445A" w:rsidR="00FE57F6" w:rsidRPr="00F679A7" w:rsidRDefault="00F24B71" w:rsidP="00C4421B">
            <w:pPr>
              <w:spacing w:before="160"/>
              <w:rPr>
                <w:b/>
                <w:bCs/>
                <w:sz w:val="26"/>
                <w:szCs w:val="26"/>
                <w:lang w:val="es-ES_tradnl"/>
              </w:rPr>
            </w:pPr>
            <w:r w:rsidRPr="00F679A7">
              <w:rPr>
                <w:b/>
                <w:bCs/>
                <w:sz w:val="26"/>
                <w:szCs w:val="26"/>
                <w:lang w:val="es-ES_tradnl"/>
              </w:rPr>
              <w:t>Referencia</w:t>
            </w:r>
            <w:r w:rsidR="00F92BED" w:rsidRPr="00F679A7">
              <w:rPr>
                <w:b/>
                <w:bCs/>
                <w:sz w:val="26"/>
                <w:szCs w:val="26"/>
                <w:lang w:val="es-ES_tradnl"/>
              </w:rPr>
              <w:t>s</w:t>
            </w:r>
          </w:p>
          <w:p w14:paraId="1FC23D50" w14:textId="0263EE91" w:rsidR="00FE57F6" w:rsidRPr="00E93B05" w:rsidRDefault="00761AE2" w:rsidP="006B3E2D">
            <w:pPr>
              <w:spacing w:after="120"/>
              <w:jc w:val="both"/>
              <w:rPr>
                <w:i/>
                <w:iCs/>
                <w:sz w:val="22"/>
                <w:szCs w:val="22"/>
                <w:lang w:val="es-ES"/>
              </w:rPr>
            </w:pPr>
            <w:hyperlink r:id="rId8" w:history="1">
              <w:proofErr w:type="spellStart"/>
              <w:r w:rsidRPr="00DA4FB9">
                <w:rPr>
                  <w:rStyle w:val="Hyperlink"/>
                  <w:rFonts w:eastAsia="Times New Roman" w:cs="Times New Roman"/>
                  <w:i/>
                  <w:iCs/>
                  <w:sz w:val="22"/>
                  <w:lang w:val="es-ES"/>
                </w:rPr>
                <w:t>CV2</w:t>
              </w:r>
              <w:proofErr w:type="spellEnd"/>
            </w:hyperlink>
            <w:r w:rsidRPr="00DA4FB9">
              <w:rPr>
                <w:i/>
                <w:iCs/>
                <w:sz w:val="22"/>
                <w:szCs w:val="22"/>
                <w:lang w:val="es-ES"/>
              </w:rPr>
              <w:t>, Resolución</w:t>
            </w:r>
            <w:r w:rsidR="009274D6" w:rsidRPr="00DA4FB9">
              <w:rPr>
                <w:i/>
                <w:iCs/>
                <w:sz w:val="22"/>
                <w:szCs w:val="22"/>
                <w:lang w:val="es-ES"/>
              </w:rPr>
              <w:t> </w:t>
            </w:r>
            <w:hyperlink r:id="rId9" w:history="1">
              <w:r w:rsidRPr="006B3E2D">
                <w:rPr>
                  <w:rStyle w:val="Hyperlink"/>
                  <w:rFonts w:eastAsia="Times New Roman" w:cs="Times New Roman"/>
                  <w:i/>
                  <w:iCs/>
                  <w:sz w:val="22"/>
                  <w:lang w:val="es-ES"/>
                </w:rPr>
                <w:t>77 (Rev.</w:t>
              </w:r>
              <w:r w:rsidR="00744356" w:rsidRPr="006B3E2D">
                <w:rPr>
                  <w:rStyle w:val="Hyperlink"/>
                  <w:rFonts w:eastAsia="Times New Roman" w:cs="Times New Roman"/>
                  <w:i/>
                  <w:iCs/>
                  <w:sz w:val="22"/>
                  <w:lang w:val="es-ES"/>
                </w:rPr>
                <w:t> </w:t>
              </w:r>
              <w:r w:rsidRPr="006B3E2D">
                <w:rPr>
                  <w:rStyle w:val="Hyperlink"/>
                  <w:rFonts w:eastAsia="Times New Roman" w:cs="Times New Roman"/>
                  <w:i/>
                  <w:iCs/>
                  <w:sz w:val="22"/>
                  <w:lang w:val="es-ES"/>
                </w:rPr>
                <w:t>Bucarest, 2022)</w:t>
              </w:r>
            </w:hyperlink>
            <w:r w:rsidRPr="00DA4FB9">
              <w:rPr>
                <w:i/>
                <w:iCs/>
                <w:sz w:val="22"/>
                <w:szCs w:val="22"/>
                <w:lang w:val="es-ES"/>
              </w:rPr>
              <w:t xml:space="preserve"> de la Conferencia de Plenipotenciarios; Acuerdo</w:t>
            </w:r>
            <w:r w:rsidR="009274D6" w:rsidRPr="00DA4FB9">
              <w:rPr>
                <w:i/>
                <w:iCs/>
                <w:sz w:val="22"/>
                <w:szCs w:val="22"/>
                <w:lang w:val="es-ES"/>
              </w:rPr>
              <w:t> </w:t>
            </w:r>
            <w:hyperlink r:id="rId10" w:history="1">
              <w:r w:rsidR="009274D6" w:rsidRPr="00DA4FB9">
                <w:rPr>
                  <w:rStyle w:val="Hyperlink"/>
                  <w:rFonts w:eastAsia="Times New Roman" w:cs="Times New Roman"/>
                  <w:i/>
                  <w:iCs/>
                  <w:sz w:val="22"/>
                  <w:lang w:val="es-ES"/>
                </w:rPr>
                <w:t>636</w:t>
              </w:r>
            </w:hyperlink>
            <w:r w:rsidR="009274D6" w:rsidRPr="00DA4FB9">
              <w:rPr>
                <w:sz w:val="22"/>
                <w:szCs w:val="22"/>
                <w:lang w:val="es-ES_tradnl"/>
              </w:rPr>
              <w:t xml:space="preserve"> </w:t>
            </w:r>
            <w:r w:rsidRPr="00DA4FB9">
              <w:rPr>
                <w:i/>
                <w:iCs/>
                <w:sz w:val="22"/>
                <w:szCs w:val="22"/>
                <w:lang w:val="es-ES"/>
              </w:rPr>
              <w:t>(</w:t>
            </w:r>
            <w:proofErr w:type="spellStart"/>
            <w:r w:rsidRPr="00DA4FB9">
              <w:rPr>
                <w:i/>
                <w:iCs/>
                <w:sz w:val="22"/>
                <w:szCs w:val="22"/>
                <w:lang w:val="es-ES"/>
              </w:rPr>
              <w:t>C23</w:t>
            </w:r>
            <w:proofErr w:type="spellEnd"/>
            <w:r w:rsidRPr="00DA4FB9">
              <w:rPr>
                <w:i/>
                <w:iCs/>
                <w:sz w:val="22"/>
                <w:szCs w:val="22"/>
                <w:lang w:val="es-ES"/>
              </w:rPr>
              <w:t>)</w:t>
            </w:r>
            <w:r w:rsidR="00E93B05">
              <w:rPr>
                <w:i/>
                <w:iCs/>
                <w:sz w:val="22"/>
                <w:szCs w:val="22"/>
                <w:lang w:val="es-ES"/>
              </w:rPr>
              <w:t xml:space="preserve"> </w:t>
            </w:r>
            <w:r w:rsidR="00E93B05" w:rsidRPr="00DA4FB9">
              <w:rPr>
                <w:i/>
                <w:iCs/>
                <w:sz w:val="22"/>
                <w:szCs w:val="22"/>
                <w:lang w:val="es-ES"/>
              </w:rPr>
              <w:t>del Consejo</w:t>
            </w:r>
            <w:r w:rsidRPr="00DA4FB9">
              <w:rPr>
                <w:i/>
                <w:iCs/>
                <w:sz w:val="22"/>
                <w:szCs w:val="22"/>
                <w:lang w:val="es-ES"/>
              </w:rPr>
              <w:t>; Documentos</w:t>
            </w:r>
            <w:r w:rsidR="00744356" w:rsidRPr="00DA4FB9">
              <w:rPr>
                <w:i/>
                <w:iCs/>
                <w:sz w:val="22"/>
                <w:szCs w:val="22"/>
                <w:lang w:val="es-ES"/>
              </w:rPr>
              <w:t> </w:t>
            </w:r>
            <w:proofErr w:type="spellStart"/>
            <w:r w:rsidRPr="00DA4FB9">
              <w:rPr>
                <w:sz w:val="22"/>
                <w:szCs w:val="22"/>
              </w:rPr>
              <w:fldChar w:fldCharType="begin"/>
            </w:r>
            <w:r w:rsidRPr="00DA4FB9">
              <w:rPr>
                <w:sz w:val="22"/>
                <w:szCs w:val="22"/>
                <w:lang w:val="es-ES"/>
              </w:rPr>
              <w:instrText>HYPERLINK "https://www.itu.int/md/S23-CL-C-0004/es"</w:instrText>
            </w:r>
            <w:r w:rsidRPr="00DA4FB9">
              <w:rPr>
                <w:sz w:val="22"/>
                <w:szCs w:val="22"/>
              </w:rPr>
            </w:r>
            <w:r w:rsidRPr="00DA4FB9">
              <w:rPr>
                <w:sz w:val="22"/>
                <w:szCs w:val="22"/>
              </w:rPr>
              <w:fldChar w:fldCharType="separate"/>
            </w:r>
            <w:r w:rsidRPr="00DA4FB9">
              <w:rPr>
                <w:rStyle w:val="Hyperlink"/>
                <w:rFonts w:eastAsia="Times New Roman" w:cs="Times New Roman"/>
                <w:i/>
                <w:iCs/>
                <w:sz w:val="22"/>
                <w:lang w:val="es-ES"/>
              </w:rPr>
              <w:t>C23</w:t>
            </w:r>
            <w:proofErr w:type="spellEnd"/>
            <w:r w:rsidRPr="00DA4FB9">
              <w:rPr>
                <w:rStyle w:val="Hyperlink"/>
                <w:rFonts w:eastAsia="Times New Roman" w:cs="Times New Roman"/>
                <w:i/>
                <w:iCs/>
                <w:sz w:val="22"/>
                <w:lang w:val="es-ES"/>
              </w:rPr>
              <w:t>/4</w:t>
            </w:r>
            <w:r w:rsidRPr="00DA4FB9">
              <w:rPr>
                <w:sz w:val="22"/>
                <w:szCs w:val="22"/>
              </w:rPr>
              <w:fldChar w:fldCharType="end"/>
            </w:r>
            <w:r w:rsidRPr="00DA4FB9">
              <w:rPr>
                <w:i/>
                <w:iCs/>
                <w:sz w:val="22"/>
                <w:szCs w:val="22"/>
                <w:lang w:val="es-ES"/>
              </w:rPr>
              <w:t xml:space="preserve">, </w:t>
            </w:r>
            <w:hyperlink r:id="rId11" w:history="1">
              <w:proofErr w:type="spellStart"/>
              <w:r w:rsidRPr="00DA4FB9">
                <w:rPr>
                  <w:rStyle w:val="Hyperlink"/>
                  <w:rFonts w:eastAsia="Times New Roman" w:cs="Times New Roman"/>
                  <w:i/>
                  <w:iCs/>
                  <w:sz w:val="22"/>
                  <w:lang w:val="es-ES"/>
                </w:rPr>
                <w:t>C23</w:t>
              </w:r>
              <w:proofErr w:type="spellEnd"/>
              <w:r w:rsidRPr="00DA4FB9">
                <w:rPr>
                  <w:rStyle w:val="Hyperlink"/>
                  <w:rFonts w:eastAsia="Times New Roman" w:cs="Times New Roman"/>
                  <w:i/>
                  <w:iCs/>
                  <w:sz w:val="22"/>
                  <w:lang w:val="es-ES"/>
                </w:rPr>
                <w:t>/84</w:t>
              </w:r>
            </w:hyperlink>
            <w:r w:rsidRPr="00DA4FB9">
              <w:rPr>
                <w:i/>
                <w:iCs/>
                <w:sz w:val="22"/>
                <w:szCs w:val="22"/>
                <w:lang w:val="es-ES"/>
              </w:rPr>
              <w:t xml:space="preserve">, </w:t>
            </w:r>
            <w:hyperlink r:id="rId12" w:history="1">
              <w:proofErr w:type="spellStart"/>
              <w:r w:rsidRPr="00DA4FB9">
                <w:rPr>
                  <w:rStyle w:val="Hyperlink"/>
                  <w:rFonts w:eastAsia="Times New Roman" w:cs="Times New Roman"/>
                  <w:i/>
                  <w:iCs/>
                  <w:sz w:val="22"/>
                  <w:lang w:val="es-ES"/>
                </w:rPr>
                <w:t>C23</w:t>
              </w:r>
              <w:proofErr w:type="spellEnd"/>
              <w:r w:rsidRPr="00DA4FB9">
                <w:rPr>
                  <w:rStyle w:val="Hyperlink"/>
                  <w:rFonts w:eastAsia="Times New Roman" w:cs="Times New Roman"/>
                  <w:i/>
                  <w:iCs/>
                  <w:sz w:val="22"/>
                  <w:lang w:val="es-ES"/>
                </w:rPr>
                <w:t>/107</w:t>
              </w:r>
            </w:hyperlink>
            <w:r w:rsidRPr="00DA4FB9">
              <w:rPr>
                <w:i/>
                <w:iCs/>
                <w:sz w:val="22"/>
                <w:szCs w:val="22"/>
                <w:lang w:val="es-ES"/>
              </w:rPr>
              <w:t xml:space="preserve">, </w:t>
            </w:r>
            <w:hyperlink r:id="rId13" w:history="1">
              <w:proofErr w:type="spellStart"/>
              <w:r w:rsidRPr="00DA4FB9">
                <w:rPr>
                  <w:rStyle w:val="Hyperlink"/>
                  <w:rFonts w:eastAsia="Times New Roman" w:cs="Times New Roman"/>
                  <w:i/>
                  <w:iCs/>
                  <w:sz w:val="22"/>
                  <w:lang w:val="es-ES"/>
                </w:rPr>
                <w:t>C23</w:t>
              </w:r>
              <w:proofErr w:type="spellEnd"/>
              <w:r w:rsidRPr="00DA4FB9">
                <w:rPr>
                  <w:rStyle w:val="Hyperlink"/>
                  <w:rFonts w:eastAsia="Times New Roman" w:cs="Times New Roman"/>
                  <w:i/>
                  <w:iCs/>
                  <w:sz w:val="22"/>
                  <w:lang w:val="es-ES"/>
                </w:rPr>
                <w:t>-ADD/4</w:t>
              </w:r>
            </w:hyperlink>
            <w:r w:rsidRPr="00DA4FB9">
              <w:rPr>
                <w:i/>
                <w:iCs/>
                <w:sz w:val="22"/>
                <w:szCs w:val="22"/>
                <w:lang w:val="es-ES"/>
              </w:rPr>
              <w:t xml:space="preserve">, </w:t>
            </w:r>
            <w:hyperlink r:id="rId14" w:history="1">
              <w:r w:rsidRPr="00DA4FB9">
                <w:rPr>
                  <w:rStyle w:val="Hyperlink"/>
                  <w:rFonts w:eastAsia="Times New Roman" w:cs="Times New Roman"/>
                  <w:i/>
                  <w:iCs/>
                  <w:sz w:val="22"/>
                  <w:lang w:val="es-ES"/>
                </w:rPr>
                <w:t>CL-23/44</w:t>
              </w:r>
            </w:hyperlink>
            <w:r w:rsidRPr="00DA4FB9">
              <w:rPr>
                <w:i/>
                <w:iCs/>
                <w:sz w:val="22"/>
                <w:szCs w:val="22"/>
                <w:lang w:val="es-ES"/>
              </w:rPr>
              <w:t xml:space="preserve">, </w:t>
            </w:r>
            <w:hyperlink r:id="rId15" w:history="1">
              <w:r w:rsidRPr="00DA4FB9">
                <w:rPr>
                  <w:rStyle w:val="Hyperlink"/>
                  <w:rFonts w:eastAsia="Times New Roman" w:cs="Times New Roman"/>
                  <w:i/>
                  <w:iCs/>
                  <w:sz w:val="22"/>
                  <w:lang w:val="es-ES"/>
                </w:rPr>
                <w:t>CL-23/53</w:t>
              </w:r>
            </w:hyperlink>
            <w:r w:rsidRPr="00DA4FB9">
              <w:rPr>
                <w:i/>
                <w:iCs/>
                <w:sz w:val="22"/>
                <w:szCs w:val="22"/>
                <w:lang w:val="es-ES"/>
              </w:rPr>
              <w:t xml:space="preserve">, </w:t>
            </w:r>
            <w:hyperlink r:id="rId16" w:history="1">
              <w:proofErr w:type="spellStart"/>
              <w:r w:rsidRPr="00DA4FB9">
                <w:rPr>
                  <w:rStyle w:val="Hyperlink"/>
                  <w:rFonts w:eastAsia="Times New Roman" w:cs="Times New Roman"/>
                  <w:i/>
                  <w:iCs/>
                  <w:sz w:val="22"/>
                  <w:lang w:val="es-ES"/>
                </w:rPr>
                <w:t>C24</w:t>
              </w:r>
              <w:proofErr w:type="spellEnd"/>
              <w:r w:rsidRPr="00DA4FB9">
                <w:rPr>
                  <w:rStyle w:val="Hyperlink"/>
                  <w:rFonts w:eastAsia="Times New Roman" w:cs="Times New Roman"/>
                  <w:i/>
                  <w:iCs/>
                  <w:sz w:val="22"/>
                  <w:lang w:val="es-ES"/>
                </w:rPr>
                <w:t>/4</w:t>
              </w:r>
            </w:hyperlink>
            <w:r w:rsidRPr="00DA4FB9">
              <w:rPr>
                <w:i/>
                <w:iCs/>
                <w:sz w:val="22"/>
                <w:szCs w:val="22"/>
                <w:lang w:val="es-ES"/>
              </w:rPr>
              <w:t xml:space="preserve">, </w:t>
            </w:r>
            <w:hyperlink r:id="rId17" w:history="1">
              <w:proofErr w:type="spellStart"/>
              <w:r w:rsidRPr="00DA4FB9">
                <w:rPr>
                  <w:rStyle w:val="Hyperlink"/>
                  <w:rFonts w:eastAsia="Times New Roman" w:cs="Times New Roman"/>
                  <w:i/>
                  <w:iCs/>
                  <w:sz w:val="22"/>
                  <w:lang w:val="es-ES"/>
                </w:rPr>
                <w:t>C24</w:t>
              </w:r>
              <w:proofErr w:type="spellEnd"/>
              <w:r w:rsidRPr="00DA4FB9">
                <w:rPr>
                  <w:rStyle w:val="Hyperlink"/>
                  <w:rFonts w:eastAsia="Times New Roman" w:cs="Times New Roman"/>
                  <w:i/>
                  <w:iCs/>
                  <w:sz w:val="22"/>
                  <w:lang w:val="es-ES"/>
                </w:rPr>
                <w:t>/86</w:t>
              </w:r>
            </w:hyperlink>
            <w:r w:rsidRPr="00DA4FB9">
              <w:rPr>
                <w:i/>
                <w:iCs/>
                <w:sz w:val="22"/>
                <w:szCs w:val="22"/>
                <w:lang w:val="es-ES"/>
              </w:rPr>
              <w:t xml:space="preserve">, </w:t>
            </w:r>
            <w:hyperlink r:id="rId18" w:history="1">
              <w:proofErr w:type="spellStart"/>
              <w:r w:rsidRPr="00DA4FB9">
                <w:rPr>
                  <w:rStyle w:val="Hyperlink"/>
                  <w:rFonts w:eastAsia="Times New Roman" w:cs="Times New Roman"/>
                  <w:i/>
                  <w:iCs/>
                  <w:sz w:val="22"/>
                  <w:lang w:val="es-ES"/>
                </w:rPr>
                <w:t>C24</w:t>
              </w:r>
              <w:proofErr w:type="spellEnd"/>
              <w:r w:rsidRPr="00DA4FB9">
                <w:rPr>
                  <w:rStyle w:val="Hyperlink"/>
                  <w:rFonts w:eastAsia="Times New Roman" w:cs="Times New Roman"/>
                  <w:i/>
                  <w:iCs/>
                  <w:sz w:val="22"/>
                  <w:lang w:val="es-ES"/>
                </w:rPr>
                <w:t>/INF/13</w:t>
              </w:r>
            </w:hyperlink>
            <w:r w:rsidRPr="00DA4FB9">
              <w:rPr>
                <w:i/>
                <w:iCs/>
                <w:sz w:val="22"/>
                <w:szCs w:val="22"/>
                <w:lang w:val="es-ES"/>
              </w:rPr>
              <w:t xml:space="preserve">, </w:t>
            </w:r>
            <w:hyperlink r:id="rId19" w:history="1">
              <w:proofErr w:type="spellStart"/>
              <w:r w:rsidRPr="00DA4FB9">
                <w:rPr>
                  <w:rStyle w:val="Hyperlink"/>
                  <w:rFonts w:eastAsia="Times New Roman" w:cs="Times New Roman"/>
                  <w:i/>
                  <w:iCs/>
                  <w:sz w:val="22"/>
                  <w:lang w:val="es-ES"/>
                </w:rPr>
                <w:t>C24</w:t>
              </w:r>
              <w:proofErr w:type="spellEnd"/>
              <w:r w:rsidRPr="00DA4FB9">
                <w:rPr>
                  <w:rStyle w:val="Hyperlink"/>
                  <w:rFonts w:eastAsia="Times New Roman" w:cs="Times New Roman"/>
                  <w:i/>
                  <w:iCs/>
                  <w:sz w:val="22"/>
                  <w:lang w:val="es-ES"/>
                </w:rPr>
                <w:t>/113</w:t>
              </w:r>
            </w:hyperlink>
            <w:r w:rsidRPr="00DA4FB9">
              <w:rPr>
                <w:i/>
                <w:iCs/>
                <w:sz w:val="22"/>
                <w:szCs w:val="22"/>
                <w:lang w:val="es-ES"/>
              </w:rPr>
              <w:t xml:space="preserve">, </w:t>
            </w:r>
            <w:hyperlink r:id="rId20" w:history="1">
              <w:r w:rsidRPr="00DA4FB9">
                <w:rPr>
                  <w:rStyle w:val="Hyperlink"/>
                  <w:rFonts w:eastAsia="Times New Roman" w:cs="Times New Roman"/>
                  <w:i/>
                  <w:iCs/>
                  <w:sz w:val="22"/>
                  <w:lang w:val="es-ES"/>
                </w:rPr>
                <w:t>CL-24/11</w:t>
              </w:r>
            </w:hyperlink>
            <w:r w:rsidRPr="00DA4FB9">
              <w:rPr>
                <w:i/>
                <w:iCs/>
                <w:sz w:val="22"/>
                <w:szCs w:val="22"/>
                <w:lang w:val="es-ES"/>
              </w:rPr>
              <w:t xml:space="preserve">, </w:t>
            </w:r>
            <w:hyperlink r:id="rId21" w:history="1">
              <w:proofErr w:type="spellStart"/>
              <w:r w:rsidRPr="00DA4FB9">
                <w:rPr>
                  <w:rStyle w:val="Hyperlink"/>
                  <w:rFonts w:eastAsia="Times New Roman" w:cs="Times New Roman"/>
                  <w:i/>
                  <w:iCs/>
                  <w:sz w:val="22"/>
                  <w:lang w:val="es-ES"/>
                </w:rPr>
                <w:t>C25</w:t>
              </w:r>
              <w:proofErr w:type="spellEnd"/>
              <w:r w:rsidRPr="00DA4FB9">
                <w:rPr>
                  <w:rStyle w:val="Hyperlink"/>
                  <w:rFonts w:eastAsia="Times New Roman" w:cs="Times New Roman"/>
                  <w:i/>
                  <w:iCs/>
                  <w:sz w:val="22"/>
                  <w:lang w:val="es-ES"/>
                </w:rPr>
                <w:t>/4</w:t>
              </w:r>
            </w:hyperlink>
            <w:r w:rsidRPr="00DA4FB9">
              <w:rPr>
                <w:i/>
                <w:iCs/>
                <w:sz w:val="22"/>
                <w:szCs w:val="22"/>
                <w:lang w:val="es-ES"/>
              </w:rPr>
              <w:t xml:space="preserve">, </w:t>
            </w:r>
            <w:hyperlink r:id="rId22" w:history="1">
              <w:r w:rsidRPr="00DA4FB9">
                <w:rPr>
                  <w:rStyle w:val="Hyperlink"/>
                  <w:rFonts w:eastAsia="Times New Roman" w:cs="Times New Roman"/>
                  <w:i/>
                  <w:iCs/>
                  <w:sz w:val="22"/>
                  <w:lang w:val="es-ES"/>
                </w:rPr>
                <w:t>CL-25/47</w:t>
              </w:r>
            </w:hyperlink>
            <w:r w:rsidRPr="00DA4FB9">
              <w:rPr>
                <w:i/>
                <w:iCs/>
                <w:sz w:val="22"/>
                <w:szCs w:val="22"/>
                <w:lang w:val="es-ES"/>
              </w:rPr>
              <w:t xml:space="preserve">, </w:t>
            </w:r>
            <w:hyperlink r:id="rId23" w:history="1">
              <w:r w:rsidRPr="00DA4FB9">
                <w:rPr>
                  <w:rStyle w:val="Hyperlink"/>
                  <w:rFonts w:eastAsia="Times New Roman" w:cs="Times New Roman"/>
                  <w:i/>
                  <w:iCs/>
                  <w:sz w:val="22"/>
                  <w:lang w:val="es-ES"/>
                </w:rPr>
                <w:t>CL-25/48</w:t>
              </w:r>
            </w:hyperlink>
            <w:r w:rsidRPr="00DA4FB9">
              <w:rPr>
                <w:i/>
                <w:iCs/>
                <w:sz w:val="22"/>
                <w:szCs w:val="22"/>
                <w:lang w:val="es-ES"/>
              </w:rPr>
              <w:t xml:space="preserve">, </w:t>
            </w:r>
            <w:hyperlink r:id="rId24" w:history="1">
              <w:proofErr w:type="spellStart"/>
              <w:r w:rsidRPr="00DA4FB9">
                <w:rPr>
                  <w:rStyle w:val="Hyperlink"/>
                  <w:rFonts w:eastAsia="Times New Roman" w:cs="Times New Roman"/>
                  <w:i/>
                  <w:iCs/>
                  <w:sz w:val="22"/>
                  <w:lang w:val="es-ES"/>
                </w:rPr>
                <w:t>C26</w:t>
              </w:r>
              <w:proofErr w:type="spellEnd"/>
              <w:r w:rsidRPr="00DA4FB9">
                <w:rPr>
                  <w:rStyle w:val="Hyperlink"/>
                  <w:rFonts w:eastAsia="Times New Roman" w:cs="Times New Roman"/>
                  <w:i/>
                  <w:iCs/>
                  <w:sz w:val="22"/>
                  <w:lang w:val="es-ES"/>
                </w:rPr>
                <w:t>/4</w:t>
              </w:r>
            </w:hyperlink>
            <w:r w:rsidRPr="00DA4FB9">
              <w:rPr>
                <w:i/>
                <w:iCs/>
                <w:sz w:val="22"/>
                <w:szCs w:val="22"/>
                <w:lang w:val="es-ES"/>
              </w:rPr>
              <w:t xml:space="preserve">, </w:t>
            </w:r>
            <w:hyperlink r:id="rId25" w:history="1">
              <w:proofErr w:type="spellStart"/>
              <w:r w:rsidRPr="00DA4FB9">
                <w:rPr>
                  <w:rStyle w:val="Hyperlink"/>
                  <w:rFonts w:eastAsia="Times New Roman" w:cs="Times New Roman"/>
                  <w:i/>
                  <w:iCs/>
                  <w:sz w:val="22"/>
                  <w:lang w:val="es-ES"/>
                </w:rPr>
                <w:t>C26</w:t>
              </w:r>
              <w:proofErr w:type="spellEnd"/>
              <w:r w:rsidRPr="00DA4FB9">
                <w:rPr>
                  <w:rStyle w:val="Hyperlink"/>
                  <w:rFonts w:eastAsia="Times New Roman" w:cs="Times New Roman"/>
                  <w:i/>
                  <w:iCs/>
                  <w:sz w:val="22"/>
                  <w:lang w:val="es-ES"/>
                </w:rPr>
                <w:t>/120</w:t>
              </w:r>
            </w:hyperlink>
          </w:p>
        </w:tc>
      </w:tr>
      <w:bookmarkEnd w:id="0"/>
    </w:tbl>
    <w:p w14:paraId="7DB1D8B1" w14:textId="77777777" w:rsidR="001559F5" w:rsidRPr="00F679A7" w:rsidRDefault="001559F5" w:rsidP="009274D6">
      <w:pPr>
        <w:rPr>
          <w:lang w:val="es-ES_tradnl"/>
        </w:rPr>
      </w:pPr>
      <w:r w:rsidRPr="00F679A7">
        <w:rPr>
          <w:lang w:val="es-ES_tradnl"/>
        </w:rPr>
        <w:br w:type="page"/>
      </w:r>
    </w:p>
    <w:p w14:paraId="73D8C66D" w14:textId="61695E07" w:rsidR="00761AE2" w:rsidRPr="00761AE2" w:rsidRDefault="00761AE2" w:rsidP="00761AE2">
      <w:pPr>
        <w:pStyle w:val="Heading1"/>
        <w:rPr>
          <w:lang w:val="es-ES"/>
        </w:rPr>
      </w:pPr>
      <w:r>
        <w:rPr>
          <w:lang w:val="es-ES"/>
        </w:rPr>
        <w:lastRenderedPageBreak/>
        <w:t>1</w:t>
      </w:r>
      <w:r>
        <w:rPr>
          <w:lang w:val="es-ES"/>
        </w:rPr>
        <w:tab/>
      </w:r>
      <w:r w:rsidRPr="00761AE2">
        <w:rPr>
          <w:lang w:val="es-ES"/>
        </w:rPr>
        <w:t>Introducción</w:t>
      </w:r>
    </w:p>
    <w:p w14:paraId="5E414A18" w14:textId="45AC654F" w:rsidR="00761AE2" w:rsidRPr="00761AE2" w:rsidRDefault="00761AE2" w:rsidP="006B3E2D">
      <w:pPr>
        <w:jc w:val="both"/>
        <w:rPr>
          <w:lang w:val="es-ES"/>
        </w:rPr>
      </w:pPr>
      <w:r w:rsidRPr="00761AE2">
        <w:rPr>
          <w:lang w:val="es-ES"/>
        </w:rPr>
        <w:t>Tras los debates sobre los preparativos de la</w:t>
      </w:r>
      <w:r w:rsidR="00B72D72">
        <w:rPr>
          <w:lang w:val="es-ES"/>
        </w:rPr>
        <w:t> </w:t>
      </w:r>
      <w:r w:rsidRPr="00761AE2">
        <w:rPr>
          <w:lang w:val="es-ES"/>
        </w:rPr>
        <w:t>PP-26 mantenidos en el Consejo de la</w:t>
      </w:r>
      <w:r w:rsidR="00B72D72">
        <w:rPr>
          <w:lang w:val="es-ES"/>
        </w:rPr>
        <w:t> </w:t>
      </w:r>
      <w:r w:rsidRPr="00761AE2">
        <w:rPr>
          <w:lang w:val="es-ES"/>
        </w:rPr>
        <w:t>UIT en abril de</w:t>
      </w:r>
      <w:r w:rsidR="00B72D72">
        <w:rPr>
          <w:lang w:val="es-ES"/>
        </w:rPr>
        <w:t> </w:t>
      </w:r>
      <w:r w:rsidRPr="00761AE2">
        <w:rPr>
          <w:lang w:val="es-ES"/>
        </w:rPr>
        <w:t>2026, la Secretaría ha seguido de cerca y evaluado la evolución de la situación de seguridad en la región, en estrecha cooperación con el país anfitrión y el Departamento de Seguridad de las Naciones Unidas (UNDSS).</w:t>
      </w:r>
    </w:p>
    <w:p w14:paraId="09C4565C" w14:textId="0C846AF8" w:rsidR="00761AE2" w:rsidRPr="00761AE2" w:rsidRDefault="00761AE2" w:rsidP="006B3E2D">
      <w:pPr>
        <w:jc w:val="both"/>
        <w:rPr>
          <w:b/>
          <w:bCs/>
          <w:lang w:val="es-ES"/>
        </w:rPr>
      </w:pPr>
      <w:r w:rsidRPr="00761AE2">
        <w:rPr>
          <w:lang w:val="es-ES"/>
        </w:rPr>
        <w:t xml:space="preserve">La Secretaría se comprometió a realizar un examen de la situación cuatro meses antes de la Conferencia. Habida cuenta de lo anterior y a petición de la Secretaria General tras las preguntas planteadas por varios Estados Miembros, el Presidente ha decidido convocar una </w:t>
      </w:r>
      <w:r w:rsidRPr="00761AE2">
        <w:rPr>
          <w:b/>
          <w:bCs/>
          <w:lang w:val="es-ES"/>
        </w:rPr>
        <w:t>reunión extraordinaria del</w:t>
      </w:r>
      <w:r w:rsidRPr="00761AE2">
        <w:rPr>
          <w:lang w:val="es-ES"/>
        </w:rPr>
        <w:t xml:space="preserve"> </w:t>
      </w:r>
      <w:r w:rsidRPr="00761AE2">
        <w:rPr>
          <w:b/>
          <w:bCs/>
          <w:lang w:val="es-ES"/>
        </w:rPr>
        <w:t>Consejo el martes 25 de agosto de</w:t>
      </w:r>
      <w:r w:rsidR="00B72D72">
        <w:rPr>
          <w:b/>
          <w:bCs/>
          <w:lang w:val="es-ES"/>
        </w:rPr>
        <w:t> </w:t>
      </w:r>
      <w:r w:rsidRPr="00761AE2">
        <w:rPr>
          <w:b/>
          <w:bCs/>
          <w:lang w:val="es-ES"/>
        </w:rPr>
        <w:t>2026</w:t>
      </w:r>
      <w:r w:rsidRPr="006B3E2D">
        <w:rPr>
          <w:lang w:val="es-ES"/>
        </w:rPr>
        <w:t>.</w:t>
      </w:r>
    </w:p>
    <w:p w14:paraId="4C31C084" w14:textId="77777777" w:rsidR="00761AE2" w:rsidRPr="00761AE2" w:rsidRDefault="00761AE2" w:rsidP="006B3E2D">
      <w:pPr>
        <w:jc w:val="both"/>
        <w:rPr>
          <w:lang w:val="es-ES"/>
        </w:rPr>
      </w:pPr>
      <w:r w:rsidRPr="00761AE2">
        <w:rPr>
          <w:lang w:val="es-ES"/>
        </w:rPr>
        <w:t>En el presente Informe se presenta una evaluación de la situación basada en la información actualmente disponible y se exponen opciones para la preparación de la próxima PP-26.</w:t>
      </w:r>
    </w:p>
    <w:p w14:paraId="2BB37187" w14:textId="588B2A4B" w:rsidR="00761AE2" w:rsidRPr="00761AE2" w:rsidRDefault="00761AE2" w:rsidP="00761AE2">
      <w:pPr>
        <w:pStyle w:val="Heading1"/>
        <w:rPr>
          <w:lang w:val="es-ES"/>
        </w:rPr>
      </w:pPr>
      <w:r>
        <w:rPr>
          <w:lang w:val="es-ES"/>
        </w:rPr>
        <w:t>2</w:t>
      </w:r>
      <w:r>
        <w:rPr>
          <w:lang w:val="es-ES"/>
        </w:rPr>
        <w:tab/>
      </w:r>
      <w:r w:rsidRPr="00761AE2">
        <w:rPr>
          <w:lang w:val="es-ES"/>
        </w:rPr>
        <w:t>Situación actual</w:t>
      </w:r>
    </w:p>
    <w:p w14:paraId="1E171F43" w14:textId="460A7DBC" w:rsidR="00761AE2" w:rsidRPr="00761AE2" w:rsidRDefault="00761AE2" w:rsidP="006B3E2D">
      <w:pPr>
        <w:jc w:val="both"/>
        <w:rPr>
          <w:lang w:val="es-ES"/>
        </w:rPr>
      </w:pPr>
      <w:r w:rsidRPr="00761AE2">
        <w:rPr>
          <w:lang w:val="es-ES"/>
        </w:rPr>
        <w:t>La Secretaría ha mantenido periódicamente un estrecho contacto con el</w:t>
      </w:r>
      <w:r w:rsidR="00744356">
        <w:rPr>
          <w:lang w:val="es-ES"/>
        </w:rPr>
        <w:t> </w:t>
      </w:r>
      <w:r w:rsidRPr="00761AE2">
        <w:rPr>
          <w:lang w:val="es-ES"/>
        </w:rPr>
        <w:t>UNDSS. La evaluación más reciente del</w:t>
      </w:r>
      <w:r w:rsidR="00744356">
        <w:rPr>
          <w:lang w:val="es-ES"/>
        </w:rPr>
        <w:t> </w:t>
      </w:r>
      <w:r w:rsidRPr="00761AE2">
        <w:rPr>
          <w:lang w:val="es-ES"/>
        </w:rPr>
        <w:t>UNDSS indica que la situación de seguridad en Qatar sigue siendo estable y que las condiciones continúan siendo propicias para la organización de eventos internacionales en condiciones de seguridad.</w:t>
      </w:r>
    </w:p>
    <w:p w14:paraId="7817114C" w14:textId="74AE2D0E" w:rsidR="00761AE2" w:rsidRPr="00761AE2" w:rsidRDefault="00761AE2" w:rsidP="006B3E2D">
      <w:pPr>
        <w:jc w:val="both"/>
        <w:rPr>
          <w:lang w:val="es-ES"/>
        </w:rPr>
      </w:pPr>
      <w:r w:rsidRPr="00761AE2">
        <w:rPr>
          <w:lang w:val="es-ES"/>
        </w:rPr>
        <w:t>En el informe del</w:t>
      </w:r>
      <w:r w:rsidR="000427FD">
        <w:rPr>
          <w:lang w:val="es-ES"/>
        </w:rPr>
        <w:t> </w:t>
      </w:r>
      <w:r w:rsidRPr="00761AE2">
        <w:rPr>
          <w:lang w:val="es-ES"/>
        </w:rPr>
        <w:t>UNDSS también se señalaron los siguientes riesgos:</w:t>
      </w:r>
    </w:p>
    <w:p w14:paraId="27FF8726" w14:textId="620F00F9" w:rsidR="00761AE2" w:rsidRPr="00761AE2" w:rsidRDefault="00761AE2" w:rsidP="006B3E2D">
      <w:pPr>
        <w:pStyle w:val="enumlev1"/>
        <w:jc w:val="both"/>
        <w:rPr>
          <w:lang w:val="es-ES"/>
        </w:rPr>
      </w:pPr>
      <w:r w:rsidRPr="00761AE2">
        <w:rPr>
          <w:lang w:val="es-ES"/>
        </w:rPr>
        <w:t>•</w:t>
      </w:r>
      <w:r>
        <w:rPr>
          <w:lang w:val="es-ES"/>
        </w:rPr>
        <w:tab/>
      </w:r>
      <w:r w:rsidRPr="00761AE2">
        <w:rPr>
          <w:lang w:val="es-ES"/>
        </w:rPr>
        <w:t>Lesiones causadas por misiles, drones o actividad militar de agentes extranjeros.</w:t>
      </w:r>
    </w:p>
    <w:p w14:paraId="10F07E12" w14:textId="0048CC4B" w:rsidR="00761AE2" w:rsidRPr="00761AE2" w:rsidRDefault="00761AE2" w:rsidP="006B3E2D">
      <w:pPr>
        <w:pStyle w:val="enumlev1"/>
        <w:jc w:val="both"/>
        <w:rPr>
          <w:lang w:val="es-ES"/>
        </w:rPr>
      </w:pPr>
      <w:r w:rsidRPr="00761AE2">
        <w:rPr>
          <w:lang w:val="es-ES"/>
        </w:rPr>
        <w:t>•</w:t>
      </w:r>
      <w:r>
        <w:rPr>
          <w:lang w:val="es-ES"/>
        </w:rPr>
        <w:tab/>
      </w:r>
      <w:r w:rsidRPr="00761AE2">
        <w:rPr>
          <w:lang w:val="es-ES"/>
        </w:rPr>
        <w:t>Lesiones causadas por la caída de restos procedentes de misiles interceptados durante el periodo de la Conferencia.</w:t>
      </w:r>
    </w:p>
    <w:p w14:paraId="75213407" w14:textId="03D20755" w:rsidR="00761AE2" w:rsidRPr="00761AE2" w:rsidRDefault="00761AE2" w:rsidP="006B3E2D">
      <w:pPr>
        <w:pStyle w:val="enumlev1"/>
        <w:jc w:val="both"/>
        <w:rPr>
          <w:lang w:val="es-ES"/>
        </w:rPr>
      </w:pPr>
      <w:r w:rsidRPr="00761AE2">
        <w:rPr>
          <w:lang w:val="es-ES"/>
        </w:rPr>
        <w:t>•</w:t>
      </w:r>
      <w:r>
        <w:rPr>
          <w:lang w:val="es-ES"/>
        </w:rPr>
        <w:tab/>
      </w:r>
      <w:r w:rsidRPr="00761AE2">
        <w:rPr>
          <w:lang w:val="es-ES"/>
        </w:rPr>
        <w:t>Imposibilidad de viajar a Doha, desde Doha o dentro de la ciudad a causa de cierres del espacio aéreo, perturbaciones aeroportuarias, restricciones al transporte u otras consecuencias de una escalada militar regional.</w:t>
      </w:r>
    </w:p>
    <w:p w14:paraId="15D5F94A" w14:textId="5290B81C" w:rsidR="00761AE2" w:rsidRPr="00761AE2" w:rsidRDefault="00761AE2" w:rsidP="006B3E2D">
      <w:pPr>
        <w:jc w:val="both"/>
        <w:rPr>
          <w:lang w:val="es-ES"/>
        </w:rPr>
      </w:pPr>
      <w:r w:rsidRPr="00761AE2">
        <w:rPr>
          <w:lang w:val="es-ES"/>
        </w:rPr>
        <w:t>Aunque la calificación actual de todos los riesgos anteriores es baja, no es posible predecir con certeza la probabilidad, el momento en que pudieran producirse ni las posibles consecuencias de tales circunstancias, lo que podría repercutir en la planificación de la seguridad, la continuidad de las operaciones, los viajes y los preparativos logísticos, la capacidad de las delegaciones para participar plenamente y el grado de previsibilidad necesario para organizar y celebrar con éxito una conferencia de esta envergadura.</w:t>
      </w:r>
    </w:p>
    <w:p w14:paraId="4CC95264" w14:textId="77777777" w:rsidR="00761AE2" w:rsidRPr="00761AE2" w:rsidRDefault="00761AE2" w:rsidP="006B3E2D">
      <w:pPr>
        <w:jc w:val="both"/>
        <w:rPr>
          <w:lang w:val="es-ES"/>
        </w:rPr>
      </w:pPr>
      <w:r w:rsidRPr="00761AE2">
        <w:rPr>
          <w:lang w:val="es-ES"/>
        </w:rPr>
        <w:t>Por otra parte, la Secretaría tiene constancia de que varios Estados Miembros tienen restringidos los viajes oficiales no esenciales a la región, incluido Qatar. Por consiguiente, esos Estados están preocupados por su capacidad de participar plenamente en la Conferencia.</w:t>
      </w:r>
    </w:p>
    <w:p w14:paraId="626A9D3E" w14:textId="77777777" w:rsidR="00761AE2" w:rsidRPr="00761AE2" w:rsidRDefault="00761AE2" w:rsidP="006B3E2D">
      <w:pPr>
        <w:jc w:val="both"/>
        <w:rPr>
          <w:lang w:val="es-ES"/>
        </w:rPr>
      </w:pPr>
      <w:r w:rsidRPr="00761AE2">
        <w:rPr>
          <w:lang w:val="es-ES"/>
        </w:rPr>
        <w:t>La Secretaría, en colaboración con el país anfitrión, está avanzando satisfactoriamente en la preparación y ultimación del Acuerdo con el País Anfitrión. El portal de inscripción está listo para su apertura.</w:t>
      </w:r>
    </w:p>
    <w:p w14:paraId="2F1F4857" w14:textId="77777777" w:rsidR="00761AE2" w:rsidRPr="00761AE2" w:rsidRDefault="00761AE2" w:rsidP="006B3E2D">
      <w:pPr>
        <w:jc w:val="both"/>
        <w:rPr>
          <w:lang w:val="es-ES"/>
        </w:rPr>
      </w:pPr>
      <w:r w:rsidRPr="00761AE2">
        <w:rPr>
          <w:lang w:val="es-ES"/>
        </w:rPr>
        <w:t xml:space="preserve">El país anfitrión ha llevado a cabo una evaluación exhaustiva de la seguridad y ha confirmado su capacidad para garantizar la seguridad y la protección de los participantes, los delegados y el personal durante toda la Conferencia. Se han adoptado medidas adecuadas de seguridad, respuesta de emergencia y continuidad de las actividades, con una coordinación permanente entre las autoridades nacionales competentes y las entidades participantes. Se está prestando especial atención a la mitigación de riesgos, las medidas de ciberseguridad, los preparativos </w:t>
      </w:r>
      <w:r w:rsidRPr="00761AE2">
        <w:rPr>
          <w:lang w:val="es-ES"/>
        </w:rPr>
        <w:lastRenderedPageBreak/>
        <w:t>de carácter sanitario y la organización del transporte. Se seguirá supervisando de cerca la situación de seguridad regional y se revisarán y ajustarán, según proceda, las medidas necesarias para garantizar que la Conferencia se desarrolle de forma segura y ordenada.</w:t>
      </w:r>
    </w:p>
    <w:p w14:paraId="5E26EBE6" w14:textId="1E719257" w:rsidR="00761AE2" w:rsidRDefault="00761AE2" w:rsidP="006B3E2D">
      <w:pPr>
        <w:jc w:val="both"/>
        <w:rPr>
          <w:lang w:val="es-ES"/>
        </w:rPr>
      </w:pPr>
      <w:r w:rsidRPr="00761AE2">
        <w:rPr>
          <w:lang w:val="es-ES"/>
        </w:rPr>
        <w:t>Como medida de contingencia, la Secretaría ha estudiado todas las opciones en Ginebra para</w:t>
      </w:r>
      <w:r w:rsidR="00B72D72">
        <w:rPr>
          <w:lang w:val="es-ES"/>
        </w:rPr>
        <w:t> </w:t>
      </w:r>
      <w:r w:rsidRPr="00761AE2">
        <w:rPr>
          <w:lang w:val="es-ES"/>
        </w:rPr>
        <w:t>2026 y comienzos de</w:t>
      </w:r>
      <w:r w:rsidR="00B72D72">
        <w:rPr>
          <w:lang w:val="es-ES"/>
        </w:rPr>
        <w:t> </w:t>
      </w:r>
      <w:r w:rsidRPr="00761AE2">
        <w:rPr>
          <w:lang w:val="es-ES"/>
        </w:rPr>
        <w:t>2027. No hay ningún recinto con capacidad para acoger la</w:t>
      </w:r>
      <w:r w:rsidR="00B72D72">
        <w:rPr>
          <w:lang w:val="es-ES"/>
        </w:rPr>
        <w:t> </w:t>
      </w:r>
      <w:r w:rsidRPr="00761AE2">
        <w:rPr>
          <w:lang w:val="es-ES"/>
        </w:rPr>
        <w:t>PP que esté disponible en 2026 durante tres semanas consecutivas. La primera disponibilidad es la del</w:t>
      </w:r>
      <w:r w:rsidR="00744356">
        <w:rPr>
          <w:lang w:val="es-ES"/>
        </w:rPr>
        <w:t> </w:t>
      </w:r>
      <w:r w:rsidRPr="00761AE2">
        <w:rPr>
          <w:lang w:val="es-ES"/>
        </w:rPr>
        <w:t>CICG en enero de</w:t>
      </w:r>
      <w:r w:rsidR="00B72D72">
        <w:rPr>
          <w:lang w:val="es-ES"/>
        </w:rPr>
        <w:t> </w:t>
      </w:r>
      <w:r w:rsidRPr="00761AE2">
        <w:rPr>
          <w:lang w:val="es-ES"/>
        </w:rPr>
        <w:t>2027. Se ha efectuado una reserva provisional del 4 al 29 de enero de</w:t>
      </w:r>
      <w:r w:rsidR="00B72D72">
        <w:rPr>
          <w:lang w:val="es-ES"/>
        </w:rPr>
        <w:t> </w:t>
      </w:r>
      <w:r w:rsidRPr="00761AE2">
        <w:rPr>
          <w:lang w:val="es-ES"/>
        </w:rPr>
        <w:t>2027. Gracias al apoyo de las autoridades suizas, esta reserva sigue siendo válida sin necesidad de confirmación oficial. No obstante, normalmente este tipo de reserva solo es válida hasta que el</w:t>
      </w:r>
      <w:r w:rsidR="00744356">
        <w:rPr>
          <w:lang w:val="es-ES"/>
        </w:rPr>
        <w:t> </w:t>
      </w:r>
      <w:r w:rsidRPr="00761AE2">
        <w:rPr>
          <w:lang w:val="es-ES"/>
        </w:rPr>
        <w:t>CICG reciba una contraoferta. En caso de recibirse otra solicitud, la</w:t>
      </w:r>
      <w:r w:rsidR="00B72D72">
        <w:rPr>
          <w:lang w:val="es-ES"/>
        </w:rPr>
        <w:t> </w:t>
      </w:r>
      <w:r w:rsidRPr="00761AE2">
        <w:rPr>
          <w:lang w:val="es-ES"/>
        </w:rPr>
        <w:t>UIT dispondría de dos días laborables para formalizar un contrato de alquiler de este centro si deseara conservar la opción de celebrar la Conferencia en el</w:t>
      </w:r>
      <w:r w:rsidR="00744356">
        <w:rPr>
          <w:lang w:val="es-ES"/>
        </w:rPr>
        <w:t> </w:t>
      </w:r>
      <w:r w:rsidRPr="00761AE2">
        <w:rPr>
          <w:lang w:val="es-ES"/>
        </w:rPr>
        <w:t>CICG.</w:t>
      </w:r>
    </w:p>
    <w:p w14:paraId="56FEE285" w14:textId="77777777" w:rsidR="00761AE2" w:rsidRPr="00761AE2" w:rsidRDefault="00761AE2" w:rsidP="00761AE2">
      <w:pPr>
        <w:rPr>
          <w:lang w:val="es-ES"/>
        </w:rPr>
      </w:pPr>
    </w:p>
    <w:p w14:paraId="160FA9CA" w14:textId="77777777" w:rsidR="00761AE2" w:rsidRDefault="00761AE2" w:rsidP="00761AE2">
      <w:pPr>
        <w:rPr>
          <w:lang w:val="es-ES"/>
        </w:rPr>
        <w:sectPr w:rsidR="00761AE2" w:rsidSect="00C538FC">
          <w:footerReference w:type="default" r:id="rId26"/>
          <w:headerReference w:type="first" r:id="rId27"/>
          <w:footerReference w:type="first" r:id="rId28"/>
          <w:pgSz w:w="11907" w:h="16834"/>
          <w:pgMar w:top="1418" w:right="1418" w:bottom="1418" w:left="1418" w:header="720" w:footer="720" w:gutter="0"/>
          <w:paperSrc w:first="286" w:other="286"/>
          <w:cols w:space="720"/>
          <w:titlePg/>
        </w:sectPr>
      </w:pPr>
    </w:p>
    <w:p w14:paraId="6D7E63FD" w14:textId="4CC8976C" w:rsidR="00761AE2" w:rsidRPr="00761AE2" w:rsidRDefault="00761AE2" w:rsidP="00761AE2">
      <w:pPr>
        <w:pStyle w:val="Heading1"/>
        <w:rPr>
          <w:lang w:val="es-ES"/>
        </w:rPr>
      </w:pPr>
      <w:r>
        <w:rPr>
          <w:lang w:val="es-ES"/>
        </w:rPr>
        <w:lastRenderedPageBreak/>
        <w:t>3</w:t>
      </w:r>
      <w:r>
        <w:rPr>
          <w:lang w:val="es-ES"/>
        </w:rPr>
        <w:tab/>
      </w:r>
      <w:r w:rsidRPr="00761AE2">
        <w:rPr>
          <w:lang w:val="es-ES"/>
        </w:rPr>
        <w:t>Opciones que se someten a la consideración del Consejo</w:t>
      </w:r>
    </w:p>
    <w:p w14:paraId="24CECADC" w14:textId="77777777" w:rsidR="00761AE2" w:rsidRPr="00761AE2" w:rsidRDefault="00761AE2" w:rsidP="009274D6">
      <w:pPr>
        <w:spacing w:after="120"/>
        <w:rPr>
          <w:lang w:val="es-ES"/>
        </w:rPr>
      </w:pPr>
      <w:r w:rsidRPr="00761AE2">
        <w:rPr>
          <w:lang w:val="es-ES"/>
        </w:rPr>
        <w:t>Habida cuenta de lo anterior, la Secretaría somete a la consideración del Consejo lo siguiente:</w:t>
      </w:r>
    </w:p>
    <w:tbl>
      <w:tblPr>
        <w:tblW w:w="5000" w:type="pct"/>
        <w:jc w:val="center"/>
        <w:tblLayout w:type="fixed"/>
        <w:tblLook w:val="04A0" w:firstRow="1" w:lastRow="0" w:firstColumn="1" w:lastColumn="0" w:noHBand="0" w:noVBand="1"/>
      </w:tblPr>
      <w:tblGrid>
        <w:gridCol w:w="1546"/>
        <w:gridCol w:w="1946"/>
        <w:gridCol w:w="3065"/>
        <w:gridCol w:w="3108"/>
        <w:gridCol w:w="4317"/>
      </w:tblGrid>
      <w:tr w:rsidR="00B72D72" w:rsidRPr="00761AE2" w14:paraId="30B92C05" w14:textId="77777777" w:rsidTr="009274D6">
        <w:trPr>
          <w:jc w:val="center"/>
        </w:trPr>
        <w:tc>
          <w:tcPr>
            <w:tcW w:w="154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C492DC5" w14:textId="77777777" w:rsidR="00761AE2" w:rsidRPr="00761AE2" w:rsidRDefault="00761AE2" w:rsidP="002E3519">
            <w:pPr>
              <w:pStyle w:val="Tablehead"/>
              <w:rPr>
                <w:lang w:val="es-ES"/>
              </w:rPr>
            </w:pPr>
            <w:r w:rsidRPr="00761AE2">
              <w:rPr>
                <w:lang w:val="es-ES"/>
              </w:rPr>
              <w:t>Opción</w:t>
            </w:r>
          </w:p>
        </w:tc>
        <w:tc>
          <w:tcPr>
            <w:tcW w:w="194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E6D9BDC" w14:textId="488B14CB" w:rsidR="00761AE2" w:rsidRPr="00761AE2" w:rsidRDefault="00761AE2" w:rsidP="002E3519">
            <w:pPr>
              <w:pStyle w:val="Tablehead"/>
              <w:rPr>
                <w:lang w:val="es-ES"/>
              </w:rPr>
            </w:pPr>
            <w:r w:rsidRPr="00761AE2">
              <w:rPr>
                <w:lang w:val="es-ES"/>
              </w:rPr>
              <w:t>Fechas/Lugar</w:t>
            </w:r>
          </w:p>
        </w:tc>
        <w:tc>
          <w:tcPr>
            <w:tcW w:w="306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E0110BB" w14:textId="77777777" w:rsidR="00761AE2" w:rsidRPr="00761AE2" w:rsidRDefault="00761AE2" w:rsidP="002E3519">
            <w:pPr>
              <w:pStyle w:val="Tablehead"/>
              <w:rPr>
                <w:lang w:val="es-ES"/>
              </w:rPr>
            </w:pPr>
            <w:r w:rsidRPr="00761AE2">
              <w:rPr>
                <w:lang w:val="es-ES"/>
              </w:rPr>
              <w:t>Descripción</w:t>
            </w:r>
          </w:p>
        </w:tc>
        <w:tc>
          <w:tcPr>
            <w:tcW w:w="310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9EB8630" w14:textId="77777777" w:rsidR="00761AE2" w:rsidRPr="00761AE2" w:rsidRDefault="00761AE2" w:rsidP="002E3519">
            <w:pPr>
              <w:pStyle w:val="Tablehead"/>
              <w:rPr>
                <w:lang w:val="es-ES"/>
              </w:rPr>
            </w:pPr>
            <w:r w:rsidRPr="00761AE2">
              <w:rPr>
                <w:lang w:val="es-ES"/>
              </w:rPr>
              <w:t>Principales ventajas</w:t>
            </w:r>
          </w:p>
        </w:tc>
        <w:tc>
          <w:tcPr>
            <w:tcW w:w="431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B87B861" w14:textId="77777777" w:rsidR="00761AE2" w:rsidRPr="00761AE2" w:rsidRDefault="00761AE2" w:rsidP="002E3519">
            <w:pPr>
              <w:pStyle w:val="Tablehead"/>
              <w:rPr>
                <w:lang w:val="es-ES"/>
              </w:rPr>
            </w:pPr>
            <w:r w:rsidRPr="00761AE2">
              <w:rPr>
                <w:lang w:val="es-ES"/>
              </w:rPr>
              <w:t>Principales riesgos/limitaciones</w:t>
            </w:r>
          </w:p>
        </w:tc>
      </w:tr>
      <w:tr w:rsidR="00B72D72" w:rsidRPr="000F6D86" w14:paraId="6C032E27" w14:textId="77777777" w:rsidTr="002E4F07">
        <w:trPr>
          <w:jc w:val="center"/>
        </w:trPr>
        <w:tc>
          <w:tcPr>
            <w:tcW w:w="1546" w:type="dxa"/>
            <w:tcBorders>
              <w:top w:val="single" w:sz="6" w:space="0" w:color="E6E6E6"/>
              <w:left w:val="single" w:sz="6" w:space="0" w:color="E6E6E6"/>
              <w:bottom w:val="single" w:sz="6" w:space="0" w:color="E6E6E6"/>
              <w:right w:val="single" w:sz="6" w:space="0" w:color="E6E6E6"/>
            </w:tcBorders>
            <w:shd w:val="clear" w:color="auto" w:fill="F5F5F5"/>
            <w:hideMark/>
          </w:tcPr>
          <w:p w14:paraId="4ADA79EE" w14:textId="78A32E58" w:rsidR="00761AE2" w:rsidRPr="009A3919" w:rsidRDefault="00761AE2" w:rsidP="002E4F07">
            <w:pPr>
              <w:pStyle w:val="Tabletext"/>
              <w:rPr>
                <w:b/>
                <w:bCs/>
                <w:lang w:val="es-ES"/>
              </w:rPr>
            </w:pPr>
            <w:r w:rsidRPr="009A3919">
              <w:rPr>
                <w:b/>
                <w:bCs/>
                <w:lang w:val="es-ES"/>
              </w:rPr>
              <w:t>Mantener la</w:t>
            </w:r>
            <w:r w:rsidR="00B72D72">
              <w:rPr>
                <w:b/>
                <w:bCs/>
                <w:lang w:val="es-ES"/>
              </w:rPr>
              <w:t> </w:t>
            </w:r>
            <w:r w:rsidRPr="009A3919">
              <w:rPr>
                <w:b/>
                <w:bCs/>
                <w:lang w:val="es-ES"/>
              </w:rPr>
              <w:t>PP</w:t>
            </w:r>
            <w:r w:rsidRPr="009A3919">
              <w:rPr>
                <w:b/>
                <w:bCs/>
                <w:lang w:val="es-ES"/>
              </w:rPr>
              <w:noBreakHyphen/>
              <w:t>26 según lo previsto</w:t>
            </w:r>
          </w:p>
        </w:tc>
        <w:tc>
          <w:tcPr>
            <w:tcW w:w="1946" w:type="dxa"/>
            <w:tcBorders>
              <w:top w:val="single" w:sz="6" w:space="0" w:color="E6E6E6"/>
              <w:left w:val="single" w:sz="6" w:space="0" w:color="E6E6E6"/>
              <w:bottom w:val="single" w:sz="6" w:space="0" w:color="E6E6E6"/>
              <w:right w:val="single" w:sz="6" w:space="0" w:color="E6E6E6"/>
            </w:tcBorders>
            <w:hideMark/>
          </w:tcPr>
          <w:p w14:paraId="3A848F8E" w14:textId="5862DB95" w:rsidR="00761AE2" w:rsidRPr="00761AE2" w:rsidRDefault="00761AE2" w:rsidP="002E4F07">
            <w:pPr>
              <w:pStyle w:val="Tabletext"/>
              <w:rPr>
                <w:lang w:val="es-ES"/>
              </w:rPr>
            </w:pPr>
            <w:r w:rsidRPr="00761AE2">
              <w:rPr>
                <w:lang w:val="es-ES"/>
              </w:rPr>
              <w:t>9</w:t>
            </w:r>
            <w:r w:rsidR="00B72D72">
              <w:rPr>
                <w:lang w:val="es-ES"/>
              </w:rPr>
              <w:noBreakHyphen/>
            </w:r>
            <w:r w:rsidRPr="00761AE2">
              <w:rPr>
                <w:lang w:val="es-ES"/>
              </w:rPr>
              <w:t>27 de nov</w:t>
            </w:r>
            <w:r w:rsidR="00B72D72">
              <w:rPr>
                <w:lang w:val="es-ES"/>
              </w:rPr>
              <w:t>iembre</w:t>
            </w:r>
            <w:r w:rsidRPr="00761AE2">
              <w:rPr>
                <w:lang w:val="es-ES"/>
              </w:rPr>
              <w:t xml:space="preserve"> de</w:t>
            </w:r>
            <w:r w:rsidR="00B72D72">
              <w:rPr>
                <w:lang w:val="es-ES"/>
              </w:rPr>
              <w:t> </w:t>
            </w:r>
            <w:r w:rsidRPr="00761AE2">
              <w:rPr>
                <w:lang w:val="es-ES"/>
              </w:rPr>
              <w:t>2026, Doha (Qatar)</w:t>
            </w:r>
          </w:p>
        </w:tc>
        <w:tc>
          <w:tcPr>
            <w:tcW w:w="3065" w:type="dxa"/>
            <w:tcBorders>
              <w:top w:val="single" w:sz="6" w:space="0" w:color="E6E6E6"/>
              <w:left w:val="single" w:sz="6" w:space="0" w:color="E6E6E6"/>
              <w:bottom w:val="single" w:sz="6" w:space="0" w:color="E6E6E6"/>
              <w:right w:val="single" w:sz="6" w:space="0" w:color="E6E6E6"/>
            </w:tcBorders>
            <w:hideMark/>
          </w:tcPr>
          <w:p w14:paraId="0A840A3D" w14:textId="77777777" w:rsidR="00761AE2" w:rsidRPr="00761AE2" w:rsidRDefault="00761AE2" w:rsidP="002E4F07">
            <w:pPr>
              <w:pStyle w:val="Tabletext"/>
              <w:rPr>
                <w:lang w:val="es-ES"/>
              </w:rPr>
            </w:pPr>
            <w:r w:rsidRPr="00761AE2">
              <w:rPr>
                <w:lang w:val="es-ES"/>
              </w:rPr>
              <w:t>La Conferencia se celebra en Doha, con un seguimiento estrecho y continuo y planes de contingencia (a reserva de la aprobación del Consejo).</w:t>
            </w:r>
          </w:p>
        </w:tc>
        <w:tc>
          <w:tcPr>
            <w:tcW w:w="3108" w:type="dxa"/>
            <w:tcBorders>
              <w:top w:val="single" w:sz="6" w:space="0" w:color="E6E6E6"/>
              <w:left w:val="single" w:sz="6" w:space="0" w:color="E6E6E6"/>
              <w:bottom w:val="single" w:sz="6" w:space="0" w:color="E6E6E6"/>
              <w:right w:val="single" w:sz="6" w:space="0" w:color="E6E6E6"/>
            </w:tcBorders>
            <w:hideMark/>
          </w:tcPr>
          <w:p w14:paraId="06897CDD" w14:textId="77777777" w:rsidR="00761AE2" w:rsidRPr="00761AE2" w:rsidRDefault="00761AE2" w:rsidP="002E4F07">
            <w:pPr>
              <w:pStyle w:val="Tabletext"/>
              <w:rPr>
                <w:lang w:val="es-ES"/>
              </w:rPr>
            </w:pPr>
            <w:r w:rsidRPr="00761AE2">
              <w:rPr>
                <w:lang w:val="es-ES"/>
              </w:rPr>
              <w:t>Continuidad; se mantienen los preparativos del país anfitrión; se evita una replanificación de envergadura.</w:t>
            </w:r>
          </w:p>
        </w:tc>
        <w:tc>
          <w:tcPr>
            <w:tcW w:w="4317" w:type="dxa"/>
            <w:tcBorders>
              <w:top w:val="single" w:sz="6" w:space="0" w:color="E6E6E6"/>
              <w:left w:val="single" w:sz="6" w:space="0" w:color="E6E6E6"/>
              <w:bottom w:val="single" w:sz="6" w:space="0" w:color="E6E6E6"/>
              <w:right w:val="single" w:sz="6" w:space="0" w:color="E6E6E6"/>
            </w:tcBorders>
            <w:hideMark/>
          </w:tcPr>
          <w:p w14:paraId="6387CE53" w14:textId="7065964C" w:rsidR="00761AE2" w:rsidRPr="00761AE2" w:rsidRDefault="00761AE2" w:rsidP="002E4F07">
            <w:pPr>
              <w:pStyle w:val="Tabletext"/>
              <w:rPr>
                <w:lang w:val="es-ES"/>
              </w:rPr>
            </w:pPr>
            <w:r w:rsidRPr="00761AE2">
              <w:rPr>
                <w:lang w:val="es-ES"/>
              </w:rPr>
              <w:t>Participación posiblemente menor o de menor nivel, posibilidad de cancelación tardía que acarrearía costos adicionales para el país anfitrión y la</w:t>
            </w:r>
            <w:r w:rsidR="00B72D72">
              <w:rPr>
                <w:lang w:val="es-ES"/>
              </w:rPr>
              <w:t> </w:t>
            </w:r>
            <w:r w:rsidRPr="00761AE2">
              <w:rPr>
                <w:lang w:val="es-ES"/>
              </w:rPr>
              <w:t>UIT, posibles perturbaciones de los viajes de entrada al país o de salida.</w:t>
            </w:r>
          </w:p>
        </w:tc>
      </w:tr>
      <w:tr w:rsidR="00B72D72" w:rsidRPr="000F6D86" w14:paraId="2E083C9D" w14:textId="77777777" w:rsidTr="002E4F07">
        <w:trPr>
          <w:jc w:val="center"/>
        </w:trPr>
        <w:tc>
          <w:tcPr>
            <w:tcW w:w="1546" w:type="dxa"/>
            <w:tcBorders>
              <w:top w:val="single" w:sz="6" w:space="0" w:color="E6E6E6"/>
              <w:left w:val="single" w:sz="6" w:space="0" w:color="E6E6E6"/>
              <w:bottom w:val="single" w:sz="6" w:space="0" w:color="E6E6E6"/>
              <w:right w:val="single" w:sz="6" w:space="0" w:color="E6E6E6"/>
            </w:tcBorders>
            <w:shd w:val="clear" w:color="auto" w:fill="F5F5F5"/>
            <w:hideMark/>
          </w:tcPr>
          <w:p w14:paraId="510E6C81" w14:textId="77777777" w:rsidR="00761AE2" w:rsidRPr="009A3919" w:rsidRDefault="00761AE2" w:rsidP="002E4F07">
            <w:pPr>
              <w:pStyle w:val="Tabletext"/>
              <w:rPr>
                <w:b/>
                <w:bCs/>
                <w:lang w:val="es-ES"/>
              </w:rPr>
            </w:pPr>
            <w:r w:rsidRPr="009A3919">
              <w:rPr>
                <w:b/>
                <w:bCs/>
                <w:lang w:val="es-ES"/>
              </w:rPr>
              <w:t>Celebración en Ginebra</w:t>
            </w:r>
          </w:p>
        </w:tc>
        <w:tc>
          <w:tcPr>
            <w:tcW w:w="1946" w:type="dxa"/>
            <w:tcBorders>
              <w:top w:val="single" w:sz="6" w:space="0" w:color="E6E6E6"/>
              <w:left w:val="single" w:sz="6" w:space="0" w:color="E6E6E6"/>
              <w:bottom w:val="single" w:sz="6" w:space="0" w:color="E6E6E6"/>
              <w:right w:val="single" w:sz="6" w:space="0" w:color="E6E6E6"/>
            </w:tcBorders>
            <w:hideMark/>
          </w:tcPr>
          <w:p w14:paraId="31655EB7" w14:textId="516E1EB5" w:rsidR="00761AE2" w:rsidRPr="00761AE2" w:rsidRDefault="00761AE2" w:rsidP="002E4F07">
            <w:pPr>
              <w:pStyle w:val="Tabletext"/>
              <w:rPr>
                <w:lang w:val="es-ES"/>
              </w:rPr>
            </w:pPr>
            <w:r w:rsidRPr="00761AE2">
              <w:rPr>
                <w:lang w:val="es-ES"/>
              </w:rPr>
              <w:t>11</w:t>
            </w:r>
            <w:r w:rsidR="00B72D72">
              <w:rPr>
                <w:lang w:val="es-ES"/>
              </w:rPr>
              <w:noBreakHyphen/>
            </w:r>
            <w:r w:rsidRPr="00761AE2">
              <w:rPr>
                <w:lang w:val="es-ES"/>
              </w:rPr>
              <w:t>29 de enero de</w:t>
            </w:r>
            <w:r w:rsidR="00B72D72">
              <w:rPr>
                <w:lang w:val="es-ES"/>
              </w:rPr>
              <w:t> </w:t>
            </w:r>
            <w:r w:rsidRPr="00761AE2">
              <w:rPr>
                <w:lang w:val="es-ES"/>
              </w:rPr>
              <w:t>2027, Ginebra (CICG)</w:t>
            </w:r>
          </w:p>
        </w:tc>
        <w:tc>
          <w:tcPr>
            <w:tcW w:w="3065" w:type="dxa"/>
            <w:tcBorders>
              <w:top w:val="single" w:sz="6" w:space="0" w:color="E6E6E6"/>
              <w:left w:val="single" w:sz="6" w:space="0" w:color="E6E6E6"/>
              <w:bottom w:val="single" w:sz="6" w:space="0" w:color="E6E6E6"/>
              <w:right w:val="single" w:sz="6" w:space="0" w:color="E6E6E6"/>
            </w:tcBorders>
            <w:hideMark/>
          </w:tcPr>
          <w:p w14:paraId="18EF61C2" w14:textId="59FCD575" w:rsidR="00761AE2" w:rsidRPr="00761AE2" w:rsidRDefault="00761AE2" w:rsidP="002E4F07">
            <w:pPr>
              <w:pStyle w:val="Tabletext"/>
              <w:rPr>
                <w:lang w:val="es-ES"/>
              </w:rPr>
            </w:pPr>
            <w:r w:rsidRPr="00761AE2">
              <w:rPr>
                <w:lang w:val="es-ES"/>
              </w:rPr>
              <w:t>La</w:t>
            </w:r>
            <w:r w:rsidR="00B72D72">
              <w:rPr>
                <w:lang w:val="es-ES"/>
              </w:rPr>
              <w:t> </w:t>
            </w:r>
            <w:r w:rsidRPr="00761AE2">
              <w:rPr>
                <w:lang w:val="es-ES"/>
              </w:rPr>
              <w:t>PP se aplaza y se traslada íntegramente a Ginebra, con la misma duración y el mismo orden del día.</w:t>
            </w:r>
          </w:p>
        </w:tc>
        <w:tc>
          <w:tcPr>
            <w:tcW w:w="3108" w:type="dxa"/>
            <w:tcBorders>
              <w:top w:val="single" w:sz="6" w:space="0" w:color="E6E6E6"/>
              <w:left w:val="single" w:sz="6" w:space="0" w:color="E6E6E6"/>
              <w:bottom w:val="single" w:sz="6" w:space="0" w:color="E6E6E6"/>
              <w:right w:val="single" w:sz="6" w:space="0" w:color="E6E6E6"/>
            </w:tcBorders>
            <w:hideMark/>
          </w:tcPr>
          <w:p w14:paraId="328609B2" w14:textId="77777777" w:rsidR="00761AE2" w:rsidRPr="00761AE2" w:rsidRDefault="00761AE2" w:rsidP="002E4F07">
            <w:pPr>
              <w:pStyle w:val="Tabletext"/>
              <w:rPr>
                <w:lang w:val="es-ES"/>
              </w:rPr>
            </w:pPr>
            <w:r w:rsidRPr="00761AE2">
              <w:rPr>
                <w:lang w:val="es-ES"/>
              </w:rPr>
              <w:t>Previsibilidad; infraestructura conocida; menores riesgos para la continuidad de las actividades.</w:t>
            </w:r>
          </w:p>
        </w:tc>
        <w:tc>
          <w:tcPr>
            <w:tcW w:w="4317" w:type="dxa"/>
            <w:tcBorders>
              <w:top w:val="single" w:sz="6" w:space="0" w:color="E6E6E6"/>
              <w:left w:val="single" w:sz="6" w:space="0" w:color="E6E6E6"/>
              <w:bottom w:val="single" w:sz="6" w:space="0" w:color="E6E6E6"/>
              <w:right w:val="single" w:sz="6" w:space="0" w:color="E6E6E6"/>
            </w:tcBorders>
            <w:hideMark/>
          </w:tcPr>
          <w:p w14:paraId="5B2ED0AC" w14:textId="64EBE33F" w:rsidR="00761AE2" w:rsidRPr="00761AE2" w:rsidRDefault="00761AE2" w:rsidP="002E4F07">
            <w:pPr>
              <w:pStyle w:val="Tabletext"/>
              <w:rPr>
                <w:lang w:val="es-ES"/>
              </w:rPr>
            </w:pPr>
            <w:r w:rsidRPr="00761AE2">
              <w:rPr>
                <w:lang w:val="es-ES"/>
              </w:rPr>
              <w:t>Repercusiones presupuestarias para la</w:t>
            </w:r>
            <w:r w:rsidR="00B72D72">
              <w:rPr>
                <w:lang w:val="es-ES"/>
              </w:rPr>
              <w:t> </w:t>
            </w:r>
            <w:r w:rsidRPr="00761AE2">
              <w:rPr>
                <w:lang w:val="es-ES"/>
              </w:rPr>
              <w:t>UIT y el país anfitrión.</w:t>
            </w:r>
          </w:p>
        </w:tc>
      </w:tr>
    </w:tbl>
    <w:p w14:paraId="57F89B1C" w14:textId="5D92B747" w:rsidR="00761AE2" w:rsidRPr="00761AE2" w:rsidRDefault="00761AE2" w:rsidP="00761AE2">
      <w:pPr>
        <w:pStyle w:val="Heading1"/>
        <w:rPr>
          <w:lang w:val="es-ES"/>
        </w:rPr>
      </w:pPr>
      <w:r>
        <w:rPr>
          <w:lang w:val="es-ES"/>
        </w:rPr>
        <w:lastRenderedPageBreak/>
        <w:t>4</w:t>
      </w:r>
      <w:r>
        <w:rPr>
          <w:lang w:val="es-ES"/>
        </w:rPr>
        <w:tab/>
      </w:r>
      <w:r w:rsidRPr="00761AE2">
        <w:rPr>
          <w:lang w:val="es-ES"/>
        </w:rPr>
        <w:t>Consideraciones de procedimiento, financieras y prácticas</w:t>
      </w:r>
    </w:p>
    <w:p w14:paraId="77636679" w14:textId="77777777" w:rsidR="00761AE2" w:rsidRPr="00761AE2" w:rsidRDefault="00761AE2" w:rsidP="009274D6">
      <w:pPr>
        <w:keepNext/>
        <w:keepLines/>
        <w:spacing w:after="120"/>
        <w:rPr>
          <w:lang w:val="es-ES"/>
        </w:rPr>
      </w:pPr>
      <w:r w:rsidRPr="00761AE2">
        <w:rPr>
          <w:lang w:val="es-ES"/>
        </w:rPr>
        <w:t>En el Cuadro que figura a continuación se presentan las consideraciones de procedimiento, financieras y prácticas de cada una de las dos opciones posibles.</w:t>
      </w:r>
    </w:p>
    <w:tbl>
      <w:tblPr>
        <w:tblStyle w:val="GridTable1Light-Accent1"/>
        <w:tblW w:w="5000" w:type="pct"/>
        <w:jc w:val="center"/>
        <w:tblLayout w:type="fixed"/>
        <w:tblLook w:val="04A0" w:firstRow="1" w:lastRow="0" w:firstColumn="1" w:lastColumn="0" w:noHBand="0" w:noVBand="1"/>
      </w:tblPr>
      <w:tblGrid>
        <w:gridCol w:w="3144"/>
        <w:gridCol w:w="8874"/>
        <w:gridCol w:w="1970"/>
      </w:tblGrid>
      <w:tr w:rsidR="009274D6" w:rsidRPr="00761AE2" w14:paraId="2056F27F" w14:textId="77777777" w:rsidTr="009274D6">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12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BFBFBF" w:themeFill="background1" w:themeFillShade="BF"/>
            <w:vAlign w:val="center"/>
            <w:hideMark/>
          </w:tcPr>
          <w:p w14:paraId="3B5F1FFA" w14:textId="77777777" w:rsidR="00761AE2" w:rsidRPr="00761AE2" w:rsidRDefault="00761AE2" w:rsidP="002E3519">
            <w:pPr>
              <w:pStyle w:val="Tablehead"/>
              <w:rPr>
                <w:lang w:val="es-ES"/>
              </w:rPr>
            </w:pPr>
            <w:r w:rsidRPr="00761AE2">
              <w:rPr>
                <w:b/>
                <w:lang w:val="es-ES"/>
              </w:rPr>
              <w:t>Tema</w:t>
            </w:r>
          </w:p>
        </w:tc>
        <w:tc>
          <w:tcPr>
            <w:tcW w:w="3172"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BFBFBF" w:themeFill="background1" w:themeFillShade="BF"/>
            <w:vAlign w:val="center"/>
            <w:hideMark/>
          </w:tcPr>
          <w:p w14:paraId="4B5A8293" w14:textId="77777777" w:rsidR="00761AE2" w:rsidRPr="00761AE2" w:rsidRDefault="00761AE2" w:rsidP="002E3519">
            <w:pPr>
              <w:pStyle w:val="Tablehead"/>
              <w:cnfStyle w:val="100000000000" w:firstRow="1" w:lastRow="0" w:firstColumn="0" w:lastColumn="0" w:oddVBand="0" w:evenVBand="0" w:oddHBand="0" w:evenHBand="0" w:firstRowFirstColumn="0" w:firstRowLastColumn="0" w:lastRowFirstColumn="0" w:lastRowLastColumn="0"/>
              <w:rPr>
                <w:lang w:val="es-ES"/>
              </w:rPr>
            </w:pPr>
            <w:r w:rsidRPr="00761AE2">
              <w:rPr>
                <w:b/>
                <w:lang w:val="es-ES"/>
              </w:rPr>
              <w:t>Antecedentes y consideraciones</w:t>
            </w:r>
          </w:p>
        </w:tc>
        <w:tc>
          <w:tcPr>
            <w:tcW w:w="70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BFBFBF" w:themeFill="background1" w:themeFillShade="BF"/>
            <w:vAlign w:val="center"/>
            <w:hideMark/>
          </w:tcPr>
          <w:p w14:paraId="6A50298D" w14:textId="77777777" w:rsidR="00761AE2" w:rsidRPr="00761AE2" w:rsidRDefault="00761AE2" w:rsidP="002E3519">
            <w:pPr>
              <w:pStyle w:val="Tablehead"/>
              <w:cnfStyle w:val="100000000000" w:firstRow="1" w:lastRow="0" w:firstColumn="0" w:lastColumn="0" w:oddVBand="0" w:evenVBand="0" w:oddHBand="0" w:evenHBand="0" w:firstRowFirstColumn="0" w:firstRowLastColumn="0" w:lastRowFirstColumn="0" w:lastRowLastColumn="0"/>
              <w:rPr>
                <w:lang w:val="es-ES"/>
              </w:rPr>
            </w:pPr>
            <w:r w:rsidRPr="00761AE2">
              <w:rPr>
                <w:b/>
                <w:lang w:val="es-ES"/>
              </w:rPr>
              <w:t>Referencia</w:t>
            </w:r>
          </w:p>
        </w:tc>
      </w:tr>
      <w:tr w:rsidR="00761AE2" w:rsidRPr="00761AE2" w14:paraId="51100A8A" w14:textId="77777777" w:rsidTr="009274D6">
        <w:trPr>
          <w:jc w:val="center"/>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F2F2F2" w:themeFill="background1" w:themeFillShade="F2"/>
            <w:vAlign w:val="center"/>
            <w:hideMark/>
          </w:tcPr>
          <w:p w14:paraId="42A1B7AC" w14:textId="77777777" w:rsidR="00761AE2" w:rsidRPr="00761AE2" w:rsidRDefault="00761AE2" w:rsidP="009274D6">
            <w:pPr>
              <w:pStyle w:val="Tabletext"/>
              <w:keepNext/>
              <w:keepLines/>
              <w:rPr>
                <w:lang w:val="es-ES"/>
              </w:rPr>
            </w:pPr>
            <w:r w:rsidRPr="00761AE2">
              <w:rPr>
                <w:lang w:val="es-ES"/>
              </w:rPr>
              <w:t>Consideraciones de procedimiento</w:t>
            </w:r>
          </w:p>
        </w:tc>
      </w:tr>
      <w:tr w:rsidR="00761AE2" w:rsidRPr="000F6D86" w14:paraId="70549DA5" w14:textId="77777777" w:rsidTr="002E4F07">
        <w:trPr>
          <w:cantSplit/>
          <w:jc w:val="center"/>
        </w:trPr>
        <w:tc>
          <w:tcPr>
            <w:cnfStyle w:val="001000000000" w:firstRow="0" w:lastRow="0" w:firstColumn="1" w:lastColumn="0" w:oddVBand="0" w:evenVBand="0" w:oddHBand="0" w:evenHBand="0" w:firstRowFirstColumn="0" w:firstRowLastColumn="0" w:lastRowFirstColumn="0" w:lastRowLastColumn="0"/>
            <w:tcW w:w="112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F712DCA" w14:textId="036EEB74" w:rsidR="00761AE2" w:rsidRPr="00761AE2" w:rsidRDefault="00761AE2" w:rsidP="002E4F07">
            <w:pPr>
              <w:pStyle w:val="Tabletext"/>
              <w:rPr>
                <w:lang w:val="es-ES"/>
              </w:rPr>
            </w:pPr>
            <w:r w:rsidRPr="00761AE2">
              <w:rPr>
                <w:lang w:val="es-ES"/>
              </w:rPr>
              <w:t>Cambio del lugar preciso y/o de las fechas exactas de una</w:t>
            </w:r>
            <w:r w:rsidR="009274D6">
              <w:rPr>
                <w:lang w:val="es-ES"/>
              </w:rPr>
              <w:t> </w:t>
            </w:r>
            <w:r w:rsidRPr="00761AE2">
              <w:rPr>
                <w:lang w:val="es-ES"/>
              </w:rPr>
              <w:t>PP</w:t>
            </w:r>
          </w:p>
        </w:tc>
        <w:tc>
          <w:tcPr>
            <w:tcW w:w="3172"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3F6A088" w14:textId="2C24450E"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r w:rsidRPr="00761AE2">
              <w:rPr>
                <w:lang w:val="es-ES"/>
              </w:rPr>
              <w:t>El Consejo, en su reunión adicional de 2023, con el acuerdo de la mayoría de los Estados Miembros de la Unión, decidió (Acuerdo</w:t>
            </w:r>
            <w:r w:rsidR="00F26446">
              <w:rPr>
                <w:lang w:val="es-ES"/>
              </w:rPr>
              <w:t> </w:t>
            </w:r>
            <w:r w:rsidRPr="00761AE2">
              <w:rPr>
                <w:lang w:val="es-ES"/>
              </w:rPr>
              <w:t>636) que la próxima Conferencia de Plenipotenciarios de la</w:t>
            </w:r>
            <w:r w:rsidR="00B72D72">
              <w:rPr>
                <w:lang w:val="es-ES"/>
              </w:rPr>
              <w:t> </w:t>
            </w:r>
            <w:r w:rsidRPr="00761AE2">
              <w:rPr>
                <w:lang w:val="es-ES"/>
              </w:rPr>
              <w:t>UIT (PP</w:t>
            </w:r>
            <w:r w:rsidR="00B72D72">
              <w:rPr>
                <w:lang w:val="es-ES"/>
              </w:rPr>
              <w:noBreakHyphen/>
            </w:r>
            <w:r w:rsidRPr="00761AE2">
              <w:rPr>
                <w:lang w:val="es-ES"/>
              </w:rPr>
              <w:t>26) se celebraría en Doha (Qatar) por un periodo de tres semanas, del lunes 9 de noviembre al viernes 27 de noviembre de</w:t>
            </w:r>
            <w:r w:rsidR="00B72D72">
              <w:rPr>
                <w:lang w:val="es-ES"/>
              </w:rPr>
              <w:t> </w:t>
            </w:r>
            <w:r w:rsidRPr="00761AE2">
              <w:rPr>
                <w:lang w:val="es-ES"/>
              </w:rPr>
              <w:t>2026.</w:t>
            </w:r>
          </w:p>
          <w:p w14:paraId="07796EE1" w14:textId="1262A7DC"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r w:rsidRPr="00761AE2">
              <w:rPr>
                <w:lang w:val="es-ES"/>
              </w:rPr>
              <w:t>La Conferencia de Plenipotenciarios se convoca cada cuatro años. El orden del día figura en el Artículo</w:t>
            </w:r>
            <w:r w:rsidR="00F26446">
              <w:rPr>
                <w:lang w:val="es-ES"/>
              </w:rPr>
              <w:t> </w:t>
            </w:r>
            <w:r w:rsidRPr="00761AE2">
              <w:rPr>
                <w:lang w:val="es-ES"/>
              </w:rPr>
              <w:t>8 de la Constitución.</w:t>
            </w:r>
          </w:p>
          <w:p w14:paraId="589F6FAD" w14:textId="4CCBE1BD"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r w:rsidRPr="00761AE2">
              <w:rPr>
                <w:lang w:val="es-ES"/>
              </w:rPr>
              <w:t>Los Estados Miembros podrán solicitar, o el Consejo proponer, un cambio del lugar preciso y/o de las fechas exactas de una conferencia o asamblea, en cuyo caso se requiere el acuerdo de la mayoría de los Estados Miembros (con arreglo al número</w:t>
            </w:r>
            <w:r w:rsidR="009274D6">
              <w:rPr>
                <w:lang w:val="es-ES"/>
              </w:rPr>
              <w:t> </w:t>
            </w:r>
            <w:r w:rsidRPr="00761AE2">
              <w:rPr>
                <w:lang w:val="es-ES"/>
              </w:rPr>
              <w:t>47 del Convenio).</w:t>
            </w:r>
          </w:p>
        </w:tc>
        <w:tc>
          <w:tcPr>
            <w:tcW w:w="70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78C13B0" w14:textId="4CD7F749"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r w:rsidRPr="00761AE2">
              <w:rPr>
                <w:lang w:val="es-ES"/>
              </w:rPr>
              <w:t>CS Artículo</w:t>
            </w:r>
            <w:r w:rsidR="00B72D72">
              <w:rPr>
                <w:lang w:val="es-ES"/>
              </w:rPr>
              <w:t> </w:t>
            </w:r>
            <w:r w:rsidRPr="00761AE2">
              <w:rPr>
                <w:lang w:val="es-ES"/>
              </w:rPr>
              <w:t>8</w:t>
            </w:r>
          </w:p>
          <w:p w14:paraId="53DC50F4" w14:textId="689AF787"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r w:rsidRPr="00761AE2">
              <w:rPr>
                <w:lang w:val="es-ES"/>
              </w:rPr>
              <w:t>CV</w:t>
            </w:r>
            <w:r w:rsidR="00B72D72">
              <w:rPr>
                <w:lang w:val="es-ES"/>
              </w:rPr>
              <w:t> </w:t>
            </w:r>
            <w:r w:rsidRPr="00761AE2">
              <w:rPr>
                <w:lang w:val="es-ES"/>
              </w:rPr>
              <w:t>47</w:t>
            </w:r>
          </w:p>
          <w:p w14:paraId="461A90F5" w14:textId="24C68BAA"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r w:rsidRPr="00761AE2">
              <w:rPr>
                <w:lang w:val="es-ES"/>
              </w:rPr>
              <w:t>RG</w:t>
            </w:r>
            <w:r w:rsidR="00B72D72">
              <w:rPr>
                <w:lang w:val="es-ES"/>
              </w:rPr>
              <w:t> </w:t>
            </w:r>
            <w:r w:rsidRPr="00761AE2">
              <w:rPr>
                <w:lang w:val="es-ES"/>
              </w:rPr>
              <w:t>7</w:t>
            </w:r>
          </w:p>
          <w:p w14:paraId="0437EB90" w14:textId="3EF865EB"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r w:rsidRPr="00761AE2">
              <w:rPr>
                <w:lang w:val="es-ES"/>
              </w:rPr>
              <w:t>Consulta a todos los Estados Miembros sobre el cambio de fechas/lugar: normalmente de 2 a 3</w:t>
            </w:r>
            <w:r w:rsidR="009274D6">
              <w:rPr>
                <w:lang w:val="es-ES"/>
              </w:rPr>
              <w:t> </w:t>
            </w:r>
            <w:r w:rsidRPr="00761AE2">
              <w:rPr>
                <w:lang w:val="es-ES"/>
              </w:rPr>
              <w:t>semanas</w:t>
            </w:r>
          </w:p>
        </w:tc>
      </w:tr>
      <w:tr w:rsidR="00761AE2" w:rsidRPr="00761AE2" w14:paraId="6A27FC76" w14:textId="77777777" w:rsidTr="002E4F07">
        <w:trPr>
          <w:jc w:val="center"/>
        </w:trPr>
        <w:tc>
          <w:tcPr>
            <w:cnfStyle w:val="001000000000" w:firstRow="0" w:lastRow="0" w:firstColumn="1" w:lastColumn="0" w:oddVBand="0" w:evenVBand="0" w:oddHBand="0" w:evenHBand="0" w:firstRowFirstColumn="0" w:firstRowLastColumn="0" w:lastRowFirstColumn="0" w:lastRowLastColumn="0"/>
            <w:tcW w:w="112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930B4D4" w14:textId="77777777" w:rsidR="00761AE2" w:rsidRPr="00761AE2" w:rsidRDefault="00761AE2" w:rsidP="002E4F07">
            <w:pPr>
              <w:pStyle w:val="Tabletext"/>
              <w:rPr>
                <w:lang w:val="es-ES"/>
              </w:rPr>
            </w:pPr>
            <w:r w:rsidRPr="00761AE2">
              <w:rPr>
                <w:lang w:val="es-ES"/>
              </w:rPr>
              <w:t>Celebración de conferencias en Ginebra</w:t>
            </w:r>
          </w:p>
        </w:tc>
        <w:tc>
          <w:tcPr>
            <w:tcW w:w="3172"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C962CD0" w14:textId="77777777"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r w:rsidRPr="00761AE2">
              <w:rPr>
                <w:lang w:val="es-ES"/>
              </w:rPr>
              <w:t>Cuando una Conferencia o Asamblea haya de celebrarse sin Gobierno invitante, el Secretario General adoptará las disposiciones necesarias para convocar y organizar la conferencia o asamblea en la Sede de la Unión, de acuerdo con el Gobierno de la Confederación Suiza.</w:t>
            </w:r>
          </w:p>
        </w:tc>
        <w:tc>
          <w:tcPr>
            <w:tcW w:w="70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084214E3" w14:textId="0E7D519B"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r w:rsidRPr="00761AE2">
              <w:rPr>
                <w:lang w:val="es-ES"/>
              </w:rPr>
              <w:t>RG</w:t>
            </w:r>
            <w:r w:rsidR="00F26446">
              <w:rPr>
                <w:lang w:val="es-ES"/>
              </w:rPr>
              <w:t> </w:t>
            </w:r>
            <w:r w:rsidRPr="00761AE2">
              <w:rPr>
                <w:lang w:val="es-ES"/>
              </w:rPr>
              <w:t>6</w:t>
            </w:r>
          </w:p>
        </w:tc>
      </w:tr>
      <w:tr w:rsidR="00761AE2" w:rsidRPr="00761AE2" w14:paraId="1E5CD909" w14:textId="77777777" w:rsidTr="002E4F07">
        <w:trPr>
          <w:jc w:val="center"/>
        </w:trPr>
        <w:tc>
          <w:tcPr>
            <w:cnfStyle w:val="001000000000" w:firstRow="0" w:lastRow="0" w:firstColumn="1" w:lastColumn="0" w:oddVBand="0" w:evenVBand="0" w:oddHBand="0" w:evenHBand="0" w:firstRowFirstColumn="0" w:firstRowLastColumn="0" w:lastRowFirstColumn="0" w:lastRowLastColumn="0"/>
            <w:tcW w:w="112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B0D3D52" w14:textId="77777777" w:rsidR="00761AE2" w:rsidRPr="00761AE2" w:rsidRDefault="00761AE2" w:rsidP="002E4F07">
            <w:pPr>
              <w:pStyle w:val="Tabletext"/>
              <w:rPr>
                <w:lang w:val="es-ES"/>
              </w:rPr>
            </w:pPr>
            <w:r w:rsidRPr="00761AE2">
              <w:rPr>
                <w:lang w:val="es-ES"/>
              </w:rPr>
              <w:t>Formato de una PP y participación virtual</w:t>
            </w:r>
          </w:p>
        </w:tc>
        <w:tc>
          <w:tcPr>
            <w:tcW w:w="3172"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5F62F54" w14:textId="6B444EC6"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r w:rsidRPr="00761AE2">
              <w:rPr>
                <w:lang w:val="es-ES"/>
              </w:rPr>
              <w:t>La Conferencia de Plenipotenciarios es una reunión presencial con participación a distancia; la reglamentación de la</w:t>
            </w:r>
            <w:r w:rsidR="00B72D72">
              <w:rPr>
                <w:lang w:val="es-ES"/>
              </w:rPr>
              <w:t> </w:t>
            </w:r>
            <w:r w:rsidRPr="00761AE2">
              <w:rPr>
                <w:lang w:val="es-ES"/>
              </w:rPr>
              <w:t>UIT no prevé la votación a distancia ni por correspondencia.</w:t>
            </w:r>
          </w:p>
        </w:tc>
        <w:tc>
          <w:tcPr>
            <w:tcW w:w="70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082A0BA" w14:textId="1F4B5EF0"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r w:rsidRPr="00761AE2">
              <w:rPr>
                <w:lang w:val="es-ES"/>
              </w:rPr>
              <w:t>Res.</w:t>
            </w:r>
            <w:r w:rsidR="00F26446">
              <w:rPr>
                <w:lang w:val="es-ES"/>
              </w:rPr>
              <w:t> </w:t>
            </w:r>
            <w:r w:rsidRPr="00761AE2">
              <w:rPr>
                <w:lang w:val="es-ES"/>
              </w:rPr>
              <w:t>167 (PP)</w:t>
            </w:r>
          </w:p>
        </w:tc>
      </w:tr>
      <w:tr w:rsidR="00761AE2" w:rsidRPr="00761AE2" w14:paraId="4BAED2BA" w14:textId="77777777" w:rsidTr="002E4F07">
        <w:trPr>
          <w:jc w:val="center"/>
        </w:trPr>
        <w:tc>
          <w:tcPr>
            <w:cnfStyle w:val="001000000000" w:firstRow="0" w:lastRow="0" w:firstColumn="1" w:lastColumn="0" w:oddVBand="0" w:evenVBand="0" w:oddHBand="0" w:evenHBand="0" w:firstRowFirstColumn="0" w:firstRowLastColumn="0" w:lastRowFirstColumn="0" w:lastRowLastColumn="0"/>
            <w:tcW w:w="112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AFF0376" w14:textId="1F94EE55" w:rsidR="00761AE2" w:rsidRPr="00761AE2" w:rsidRDefault="00761AE2" w:rsidP="002E4F07">
            <w:pPr>
              <w:pStyle w:val="Tabletext"/>
              <w:rPr>
                <w:lang w:val="es-ES"/>
              </w:rPr>
            </w:pPr>
            <w:r w:rsidRPr="00761AE2">
              <w:rPr>
                <w:lang w:val="es-ES"/>
              </w:rPr>
              <w:t>Plazo para la presentación de candidaturas (funcionarios de elección, miembros de la</w:t>
            </w:r>
            <w:r w:rsidR="00F26446">
              <w:rPr>
                <w:lang w:val="es-ES"/>
              </w:rPr>
              <w:t> </w:t>
            </w:r>
            <w:r w:rsidRPr="00761AE2">
              <w:rPr>
                <w:lang w:val="es-ES"/>
              </w:rPr>
              <w:t>RRB, Consejo)</w:t>
            </w:r>
          </w:p>
        </w:tc>
        <w:tc>
          <w:tcPr>
            <w:tcW w:w="3172"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434B3DC" w14:textId="77777777"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r w:rsidRPr="00761AE2">
              <w:rPr>
                <w:lang w:val="es-ES"/>
              </w:rPr>
              <w:t>Los plazos están vinculados a las fechas de la Conferencia. Si cambiaran las fechas de la Conferencia, los plazos correspondientes para la presentación de candidaturas se prorrogarían a fin de ajustarse a las nuevas fechas.</w:t>
            </w:r>
          </w:p>
          <w:p w14:paraId="04E4F1A4" w14:textId="4439DEFB" w:rsidR="00761AE2" w:rsidRPr="00761AE2" w:rsidRDefault="009A3919" w:rsidP="002E4F07">
            <w:pPr>
              <w:pStyle w:val="Tabletext"/>
              <w:ind w:left="284" w:hanging="284"/>
              <w:cnfStyle w:val="000000000000" w:firstRow="0" w:lastRow="0" w:firstColumn="0" w:lastColumn="0" w:oddVBand="0" w:evenVBand="0" w:oddHBand="0" w:evenHBand="0" w:firstRowFirstColumn="0" w:firstRowLastColumn="0" w:lastRowFirstColumn="0" w:lastRowLastColumn="0"/>
              <w:rPr>
                <w:lang w:val="es-ES"/>
              </w:rPr>
            </w:pPr>
            <w:r w:rsidRPr="009A3919">
              <w:rPr>
                <w:lang w:val="es-ES"/>
              </w:rPr>
              <w:t>•</w:t>
            </w:r>
            <w:r>
              <w:rPr>
                <w:lang w:val="es-ES"/>
              </w:rPr>
              <w:tab/>
            </w:r>
            <w:r w:rsidR="00761AE2" w:rsidRPr="00761AE2">
              <w:rPr>
                <w:lang w:val="es-ES"/>
              </w:rPr>
              <w:t xml:space="preserve">Actualmente, las candidaturas deberán obrar en poder del Secretario General a más tardar </w:t>
            </w:r>
            <w:r w:rsidR="00761AE2" w:rsidRPr="00761AE2">
              <w:rPr>
                <w:u w:val="single"/>
                <w:lang w:val="es-ES"/>
              </w:rPr>
              <w:t>28</w:t>
            </w:r>
            <w:r w:rsidR="00B72D72">
              <w:rPr>
                <w:u w:val="single"/>
                <w:lang w:val="es-ES"/>
              </w:rPr>
              <w:t> </w:t>
            </w:r>
            <w:r w:rsidR="00761AE2" w:rsidRPr="00761AE2">
              <w:rPr>
                <w:u w:val="single"/>
                <w:lang w:val="es-ES"/>
              </w:rPr>
              <w:t>días</w:t>
            </w:r>
            <w:r w:rsidR="00761AE2" w:rsidRPr="00F26446">
              <w:rPr>
                <w:lang w:val="es-ES"/>
              </w:rPr>
              <w:t xml:space="preserve"> antes</w:t>
            </w:r>
            <w:r w:rsidR="00761AE2" w:rsidRPr="00761AE2">
              <w:rPr>
                <w:lang w:val="es-ES"/>
              </w:rPr>
              <w:t xml:space="preserve"> de la Conferencia a las 23.59 horas (hora de Ginebra), es decir, a más tardar el lunes 12 de octubre de</w:t>
            </w:r>
            <w:r w:rsidR="00B72D72">
              <w:rPr>
                <w:lang w:val="es-ES"/>
              </w:rPr>
              <w:t> </w:t>
            </w:r>
            <w:r w:rsidR="00761AE2" w:rsidRPr="00761AE2">
              <w:rPr>
                <w:lang w:val="es-ES"/>
              </w:rPr>
              <w:t>2026 a las 23.59</w:t>
            </w:r>
            <w:r w:rsidR="00B72D72">
              <w:rPr>
                <w:lang w:val="es-ES"/>
              </w:rPr>
              <w:t> </w:t>
            </w:r>
            <w:r w:rsidR="00761AE2" w:rsidRPr="00761AE2">
              <w:rPr>
                <w:lang w:val="es-ES"/>
              </w:rPr>
              <w:t>horas (hora de Ginebra) (cf. número</w:t>
            </w:r>
            <w:r w:rsidR="00B72D72">
              <w:rPr>
                <w:lang w:val="es-ES"/>
              </w:rPr>
              <w:t> </w:t>
            </w:r>
            <w:r w:rsidR="00761AE2" w:rsidRPr="00761AE2">
              <w:rPr>
                <w:lang w:val="es-ES"/>
              </w:rPr>
              <w:t xml:space="preserve">170 del RG), a través de </w:t>
            </w:r>
            <w:hyperlink r:id="rId29" w:history="1">
              <w:proofErr w:type="spellStart"/>
              <w:r w:rsidR="00761AE2" w:rsidRPr="00761AE2">
                <w:rPr>
                  <w:rStyle w:val="Hyperlink"/>
                  <w:rFonts w:eastAsia="Times New Roman" w:cs="Times New Roman"/>
                  <w:szCs w:val="20"/>
                  <w:lang w:val="es-ES"/>
                </w:rPr>
                <w:t>ppelections@itu.int</w:t>
              </w:r>
              <w:proofErr w:type="spellEnd"/>
            </w:hyperlink>
            <w:r w:rsidR="00761AE2" w:rsidRPr="00761AE2">
              <w:rPr>
                <w:lang w:val="es-ES"/>
              </w:rPr>
              <w:t>.</w:t>
            </w:r>
          </w:p>
          <w:p w14:paraId="5E16D793" w14:textId="703D2D75" w:rsidR="00761AE2" w:rsidRPr="00761AE2" w:rsidRDefault="009A3919" w:rsidP="002E4F07">
            <w:pPr>
              <w:pStyle w:val="Tabletext"/>
              <w:ind w:left="284" w:hanging="284"/>
              <w:cnfStyle w:val="000000000000" w:firstRow="0" w:lastRow="0" w:firstColumn="0" w:lastColumn="0" w:oddVBand="0" w:evenVBand="0" w:oddHBand="0" w:evenHBand="0" w:firstRowFirstColumn="0" w:firstRowLastColumn="0" w:lastRowFirstColumn="0" w:lastRowLastColumn="0"/>
              <w:rPr>
                <w:lang w:val="es-ES"/>
              </w:rPr>
            </w:pPr>
            <w:r w:rsidRPr="009A3919">
              <w:rPr>
                <w:lang w:val="es-ES"/>
              </w:rPr>
              <w:t>•</w:t>
            </w:r>
            <w:r>
              <w:rPr>
                <w:lang w:val="es-ES"/>
              </w:rPr>
              <w:tab/>
            </w:r>
            <w:r w:rsidR="00761AE2" w:rsidRPr="00761AE2">
              <w:rPr>
                <w:lang w:val="es-ES"/>
              </w:rPr>
              <w:t>Si se aplazara hasta enero de</w:t>
            </w:r>
            <w:r w:rsidR="00B72D72">
              <w:rPr>
                <w:lang w:val="es-ES"/>
              </w:rPr>
              <w:t> </w:t>
            </w:r>
            <w:r w:rsidR="00761AE2" w:rsidRPr="00761AE2">
              <w:rPr>
                <w:lang w:val="es-ES"/>
              </w:rPr>
              <w:t>2027 (suponiendo que las fechas fueran del 11 al 29 de enero de</w:t>
            </w:r>
            <w:r w:rsidR="00B72D72">
              <w:rPr>
                <w:lang w:val="es-ES"/>
              </w:rPr>
              <w:t> </w:t>
            </w:r>
            <w:r w:rsidR="00761AE2" w:rsidRPr="00761AE2">
              <w:rPr>
                <w:lang w:val="es-ES"/>
              </w:rPr>
              <w:t>2027), el nuevo plazo sería el 14 de diciembre de</w:t>
            </w:r>
            <w:r w:rsidR="00B72D72">
              <w:rPr>
                <w:lang w:val="es-ES"/>
              </w:rPr>
              <w:t> </w:t>
            </w:r>
            <w:r w:rsidR="00761AE2" w:rsidRPr="00761AE2">
              <w:rPr>
                <w:lang w:val="es-ES"/>
              </w:rPr>
              <w:t>2026 a las 23.59</w:t>
            </w:r>
            <w:r w:rsidR="00B72D72">
              <w:rPr>
                <w:lang w:val="es-ES"/>
              </w:rPr>
              <w:t> </w:t>
            </w:r>
            <w:r w:rsidR="00761AE2" w:rsidRPr="00761AE2">
              <w:rPr>
                <w:lang w:val="es-ES"/>
              </w:rPr>
              <w:t>horas (hora de Ginebra).</w:t>
            </w:r>
          </w:p>
        </w:tc>
        <w:tc>
          <w:tcPr>
            <w:tcW w:w="70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D5908AE" w14:textId="0F62D748"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r w:rsidRPr="00761AE2">
              <w:rPr>
                <w:lang w:val="es-ES"/>
              </w:rPr>
              <w:t>RG</w:t>
            </w:r>
            <w:r w:rsidR="00F26446">
              <w:rPr>
                <w:lang w:val="es-ES"/>
              </w:rPr>
              <w:t> </w:t>
            </w:r>
            <w:r w:rsidRPr="00761AE2">
              <w:rPr>
                <w:lang w:val="es-ES"/>
              </w:rPr>
              <w:t>170</w:t>
            </w:r>
          </w:p>
        </w:tc>
      </w:tr>
      <w:tr w:rsidR="00761AE2" w:rsidRPr="00761AE2" w14:paraId="07A0B9DC" w14:textId="77777777" w:rsidTr="002E4F07">
        <w:trPr>
          <w:jc w:val="center"/>
        </w:trPr>
        <w:tc>
          <w:tcPr>
            <w:cnfStyle w:val="001000000000" w:firstRow="0" w:lastRow="0" w:firstColumn="1" w:lastColumn="0" w:oddVBand="0" w:evenVBand="0" w:oddHBand="0" w:evenHBand="0" w:firstRowFirstColumn="0" w:firstRowLastColumn="0" w:lastRowFirstColumn="0" w:lastRowLastColumn="0"/>
            <w:tcW w:w="112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0CD70968" w14:textId="6C926C35" w:rsidR="00761AE2" w:rsidRPr="00761AE2" w:rsidRDefault="00761AE2" w:rsidP="002E4F07">
            <w:pPr>
              <w:pStyle w:val="Tabletext"/>
              <w:rPr>
                <w:lang w:val="es-ES"/>
              </w:rPr>
            </w:pPr>
            <w:r w:rsidRPr="00761AE2">
              <w:rPr>
                <w:lang w:val="es-ES"/>
              </w:rPr>
              <w:lastRenderedPageBreak/>
              <w:t>Mandatos de los funcionarios de elección, los miembros de la</w:t>
            </w:r>
            <w:r w:rsidR="009274D6">
              <w:rPr>
                <w:lang w:val="es-ES"/>
              </w:rPr>
              <w:t> </w:t>
            </w:r>
            <w:r w:rsidRPr="00761AE2">
              <w:rPr>
                <w:lang w:val="es-ES"/>
              </w:rPr>
              <w:t>RRB y el Consejo</w:t>
            </w:r>
          </w:p>
        </w:tc>
        <w:tc>
          <w:tcPr>
            <w:tcW w:w="3172"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0909A79" w14:textId="5DE99496" w:rsidR="00761AE2" w:rsidRPr="00761AE2" w:rsidRDefault="009A3919" w:rsidP="002E4F07">
            <w:pPr>
              <w:pStyle w:val="Tabletext"/>
              <w:ind w:left="284" w:hanging="284"/>
              <w:cnfStyle w:val="000000000000" w:firstRow="0" w:lastRow="0" w:firstColumn="0" w:lastColumn="0" w:oddVBand="0" w:evenVBand="0" w:oddHBand="0" w:evenHBand="0" w:firstRowFirstColumn="0" w:firstRowLastColumn="0" w:lastRowFirstColumn="0" w:lastRowLastColumn="0"/>
              <w:rPr>
                <w:lang w:val="es-ES"/>
              </w:rPr>
            </w:pPr>
            <w:r w:rsidRPr="009A3919">
              <w:rPr>
                <w:lang w:val="es-ES"/>
              </w:rPr>
              <w:t>•</w:t>
            </w:r>
            <w:r>
              <w:rPr>
                <w:lang w:val="es-ES"/>
              </w:rPr>
              <w:tab/>
            </w:r>
            <w:r w:rsidR="00761AE2" w:rsidRPr="00761AE2">
              <w:rPr>
                <w:lang w:val="es-ES"/>
              </w:rPr>
              <w:t>El Secretario General, el Vicesecretario General y los Directores de las Oficinas deberán tomar posesión de sus cargos en las fechas que determine la Conferencia de Plenipotenciarios. Normalmente deberán permanecer en funciones hasta las fechas que determine la siguiente Conferencia de Plenipotenciarios.</w:t>
            </w:r>
          </w:p>
          <w:p w14:paraId="3682D692" w14:textId="4FF0A7F9" w:rsidR="00761AE2" w:rsidRPr="00761AE2" w:rsidRDefault="009A3919" w:rsidP="002E4F07">
            <w:pPr>
              <w:pStyle w:val="Tabletext"/>
              <w:ind w:left="284" w:hanging="284"/>
              <w:cnfStyle w:val="000000000000" w:firstRow="0" w:lastRow="0" w:firstColumn="0" w:lastColumn="0" w:oddVBand="0" w:evenVBand="0" w:oddHBand="0" w:evenHBand="0" w:firstRowFirstColumn="0" w:firstRowLastColumn="0" w:lastRowFirstColumn="0" w:lastRowLastColumn="0"/>
              <w:rPr>
                <w:lang w:val="es-ES"/>
              </w:rPr>
            </w:pPr>
            <w:r w:rsidRPr="009A3919">
              <w:rPr>
                <w:lang w:val="es-ES"/>
              </w:rPr>
              <w:t>•</w:t>
            </w:r>
            <w:r>
              <w:rPr>
                <w:lang w:val="es-ES"/>
              </w:rPr>
              <w:tab/>
            </w:r>
            <w:r w:rsidR="00761AE2" w:rsidRPr="00761AE2">
              <w:rPr>
                <w:lang w:val="es-ES"/>
              </w:rPr>
              <w:t>Los miembros de la Junta del Reglamento de Radiocomunicaciones deberán tomar posesión de sus cargos en las fechas que determine la Conferencia de Plenipotenciarios. Deberán permanecer en funciones hasta las fechas que determine</w:t>
            </w:r>
            <w:r w:rsidR="00F26446">
              <w:rPr>
                <w:lang w:val="es-ES"/>
              </w:rPr>
              <w:t xml:space="preserve"> </w:t>
            </w:r>
            <w:r w:rsidR="00761AE2" w:rsidRPr="00761AE2">
              <w:rPr>
                <w:lang w:val="es-ES"/>
              </w:rPr>
              <w:t>la siguiente Conferencia de Plenipotenciarios.</w:t>
            </w:r>
          </w:p>
          <w:p w14:paraId="546E64DF" w14:textId="329E0991" w:rsidR="00761AE2" w:rsidRPr="00761AE2" w:rsidRDefault="009A3919" w:rsidP="002E4F07">
            <w:pPr>
              <w:pStyle w:val="Tabletext"/>
              <w:ind w:left="284" w:hanging="284"/>
              <w:cnfStyle w:val="000000000000" w:firstRow="0" w:lastRow="0" w:firstColumn="0" w:lastColumn="0" w:oddVBand="0" w:evenVBand="0" w:oddHBand="0" w:evenHBand="0" w:firstRowFirstColumn="0" w:firstRowLastColumn="0" w:lastRowFirstColumn="0" w:lastRowLastColumn="0"/>
              <w:rPr>
                <w:lang w:val="es-ES"/>
              </w:rPr>
            </w:pPr>
            <w:r w:rsidRPr="009A3919">
              <w:rPr>
                <w:lang w:val="es-ES"/>
              </w:rPr>
              <w:t>•</w:t>
            </w:r>
            <w:r>
              <w:rPr>
                <w:lang w:val="es-ES"/>
              </w:rPr>
              <w:tab/>
            </w:r>
            <w:r w:rsidR="00761AE2" w:rsidRPr="00761AE2">
              <w:rPr>
                <w:lang w:val="es-ES"/>
              </w:rPr>
              <w:t>En cuanto al Consejo, los Estados Miembros del Consejo elegidos deberán permanecer en sus cargos hasta la fecha en que se elija un nuevo Consejo.</w:t>
            </w:r>
          </w:p>
          <w:p w14:paraId="2A20A3F1" w14:textId="3B1D4638"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r w:rsidRPr="00761AE2">
              <w:rPr>
                <w:lang w:val="es-ES"/>
              </w:rPr>
              <w:t>Por consiguiente, los mandatos actuales de los funcionarios de elección, los miembros de la</w:t>
            </w:r>
            <w:r w:rsidR="00B72D72">
              <w:rPr>
                <w:lang w:val="es-ES"/>
              </w:rPr>
              <w:t> </w:t>
            </w:r>
            <w:r w:rsidRPr="00761AE2">
              <w:rPr>
                <w:lang w:val="es-ES"/>
              </w:rPr>
              <w:t>RRB y los Estados Miembros del Consejo permanecerán inalterados hasta la próxima Conferencia de Plenipotenciarios, cualquiera que sea la fecha en que esta se celebre.</w:t>
            </w:r>
          </w:p>
        </w:tc>
        <w:tc>
          <w:tcPr>
            <w:tcW w:w="70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13E21BA" w14:textId="14508BE1"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r w:rsidRPr="00761AE2">
              <w:rPr>
                <w:lang w:val="es-ES"/>
              </w:rPr>
              <w:t>CV</w:t>
            </w:r>
            <w:r w:rsidR="009274D6">
              <w:rPr>
                <w:lang w:val="es-ES"/>
              </w:rPr>
              <w:t> </w:t>
            </w:r>
            <w:r w:rsidRPr="00761AE2">
              <w:rPr>
                <w:lang w:val="es-ES"/>
              </w:rPr>
              <w:t>7, CV</w:t>
            </w:r>
            <w:r w:rsidR="009274D6">
              <w:rPr>
                <w:lang w:val="es-ES"/>
              </w:rPr>
              <w:t> </w:t>
            </w:r>
            <w:r w:rsidRPr="00761AE2">
              <w:rPr>
                <w:lang w:val="es-ES"/>
              </w:rPr>
              <w:t>13, CV 20</w:t>
            </w:r>
          </w:p>
        </w:tc>
      </w:tr>
      <w:tr w:rsidR="00761AE2" w:rsidRPr="00761AE2" w14:paraId="696F457E" w14:textId="77777777" w:rsidTr="002E4F07">
        <w:trPr>
          <w:jc w:val="center"/>
        </w:trPr>
        <w:tc>
          <w:tcPr>
            <w:cnfStyle w:val="001000000000" w:firstRow="0" w:lastRow="0" w:firstColumn="1" w:lastColumn="0" w:oddVBand="0" w:evenVBand="0" w:oddHBand="0" w:evenHBand="0" w:firstRowFirstColumn="0" w:firstRowLastColumn="0" w:lastRowFirstColumn="0" w:lastRowLastColumn="0"/>
            <w:tcW w:w="112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C06E5DE" w14:textId="77777777" w:rsidR="00761AE2" w:rsidRPr="00761AE2" w:rsidRDefault="00761AE2" w:rsidP="002E4F07">
            <w:pPr>
              <w:pStyle w:val="Tabletext"/>
              <w:rPr>
                <w:lang w:val="es-ES"/>
              </w:rPr>
            </w:pPr>
            <w:r w:rsidRPr="00761AE2">
              <w:rPr>
                <w:lang w:val="es-ES"/>
              </w:rPr>
              <w:t>Plazos y condiciones para la presentación de propuestas e informes a las conferencias</w:t>
            </w:r>
          </w:p>
        </w:tc>
        <w:tc>
          <w:tcPr>
            <w:tcW w:w="3172"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FAD5148" w14:textId="77777777"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r w:rsidRPr="00761AE2">
              <w:rPr>
                <w:lang w:val="es-ES"/>
              </w:rPr>
              <w:t>Los plazos para la presentación de los documentos están vinculados a las fechas de la Conferencia.</w:t>
            </w:r>
          </w:p>
          <w:p w14:paraId="67143CFA" w14:textId="2178D919" w:rsidR="00761AE2" w:rsidRPr="00761AE2" w:rsidRDefault="009A3919" w:rsidP="002E4F07">
            <w:pPr>
              <w:pStyle w:val="Tabletext"/>
              <w:ind w:left="284" w:hanging="284"/>
              <w:cnfStyle w:val="000000000000" w:firstRow="0" w:lastRow="0" w:firstColumn="0" w:lastColumn="0" w:oddVBand="0" w:evenVBand="0" w:oddHBand="0" w:evenHBand="0" w:firstRowFirstColumn="0" w:firstRowLastColumn="0" w:lastRowFirstColumn="0" w:lastRowLastColumn="0"/>
              <w:rPr>
                <w:lang w:val="es-ES"/>
              </w:rPr>
            </w:pPr>
            <w:r w:rsidRPr="009A3919">
              <w:rPr>
                <w:lang w:val="es-ES"/>
              </w:rPr>
              <w:t>•</w:t>
            </w:r>
            <w:r>
              <w:rPr>
                <w:lang w:val="es-ES"/>
              </w:rPr>
              <w:tab/>
            </w:r>
            <w:r w:rsidR="00761AE2" w:rsidRPr="00761AE2">
              <w:rPr>
                <w:i/>
                <w:iCs/>
                <w:lang w:val="es-ES"/>
              </w:rPr>
              <w:t>Documentos de la Secretaría</w:t>
            </w:r>
            <w:r w:rsidR="00761AE2" w:rsidRPr="00761AE2">
              <w:rPr>
                <w:lang w:val="es-ES"/>
              </w:rPr>
              <w:t>:</w:t>
            </w:r>
            <w:r w:rsidR="00F26446">
              <w:rPr>
                <w:lang w:val="es-ES"/>
              </w:rPr>
              <w:t xml:space="preserve"> </w:t>
            </w:r>
            <w:r w:rsidR="00761AE2" w:rsidRPr="00761AE2">
              <w:rPr>
                <w:lang w:val="es-ES"/>
              </w:rPr>
              <w:t>en la Res. 165</w:t>
            </w:r>
            <w:r w:rsidR="00F26446">
              <w:rPr>
                <w:lang w:val="es-ES"/>
              </w:rPr>
              <w:t xml:space="preserve"> </w:t>
            </w:r>
            <w:r w:rsidR="00761AE2" w:rsidRPr="00761AE2">
              <w:rPr>
                <w:lang w:val="es-ES"/>
              </w:rPr>
              <w:t>se establece un plazo firme de presentación de los documentos de la Secretaría de la</w:t>
            </w:r>
            <w:r w:rsidR="00B72D72">
              <w:rPr>
                <w:lang w:val="es-ES"/>
              </w:rPr>
              <w:t> </w:t>
            </w:r>
            <w:r w:rsidR="00761AE2" w:rsidRPr="00761AE2">
              <w:rPr>
                <w:lang w:val="es-ES"/>
              </w:rPr>
              <w:t xml:space="preserve">UIT, a más tardar </w:t>
            </w:r>
            <w:r w:rsidR="00761AE2" w:rsidRPr="00761AE2">
              <w:rPr>
                <w:u w:val="single"/>
                <w:lang w:val="es-ES"/>
              </w:rPr>
              <w:t>35</w:t>
            </w:r>
            <w:r w:rsidR="00B72D72">
              <w:rPr>
                <w:u w:val="single"/>
                <w:lang w:val="es-ES"/>
              </w:rPr>
              <w:t> </w:t>
            </w:r>
            <w:r w:rsidR="00761AE2" w:rsidRPr="00761AE2">
              <w:rPr>
                <w:u w:val="single"/>
                <w:lang w:val="es-ES"/>
              </w:rPr>
              <w:t>días naturales</w:t>
            </w:r>
            <w:r w:rsidR="00761AE2" w:rsidRPr="00761AE2">
              <w:rPr>
                <w:lang w:val="es-ES"/>
              </w:rPr>
              <w:t xml:space="preserve"> antes de la apertura de las conferencias y asambleas de la Unión, incluidas las conferencias de plenipotenciarios, a fin de garantizar su traducción a tiempo y el examen detallado de los mismos por las delegaciones, actualmente el 8 de octubre de</w:t>
            </w:r>
            <w:r w:rsidR="00B72D72">
              <w:rPr>
                <w:lang w:val="es-ES"/>
              </w:rPr>
              <w:t> </w:t>
            </w:r>
            <w:r w:rsidR="00761AE2" w:rsidRPr="00761AE2">
              <w:rPr>
                <w:lang w:val="es-ES"/>
              </w:rPr>
              <w:t>2026.</w:t>
            </w:r>
          </w:p>
          <w:p w14:paraId="0E742C8C" w14:textId="49FC3527" w:rsidR="00761AE2" w:rsidRPr="00761AE2" w:rsidRDefault="009A3919" w:rsidP="002E4F07">
            <w:pPr>
              <w:pStyle w:val="Tabletext"/>
              <w:ind w:left="284" w:hanging="284"/>
              <w:cnfStyle w:val="000000000000" w:firstRow="0" w:lastRow="0" w:firstColumn="0" w:lastColumn="0" w:oddVBand="0" w:evenVBand="0" w:oddHBand="0" w:evenHBand="0" w:firstRowFirstColumn="0" w:firstRowLastColumn="0" w:lastRowFirstColumn="0" w:lastRowLastColumn="0"/>
              <w:rPr>
                <w:lang w:val="es-ES"/>
              </w:rPr>
            </w:pPr>
            <w:r w:rsidRPr="009A3919">
              <w:rPr>
                <w:lang w:val="es-ES"/>
              </w:rPr>
              <w:t>•</w:t>
            </w:r>
            <w:r>
              <w:rPr>
                <w:lang w:val="es-ES"/>
              </w:rPr>
              <w:tab/>
            </w:r>
            <w:r w:rsidR="00761AE2" w:rsidRPr="00761AE2">
              <w:rPr>
                <w:i/>
                <w:iCs/>
                <w:lang w:val="es-ES"/>
              </w:rPr>
              <w:t>Contribuciones de los Estados Miembros</w:t>
            </w:r>
            <w:r w:rsidR="00761AE2" w:rsidRPr="00761AE2">
              <w:rPr>
                <w:lang w:val="es-ES"/>
              </w:rPr>
              <w:t>:</w:t>
            </w:r>
            <w:r w:rsidR="00F26446">
              <w:rPr>
                <w:lang w:val="es-ES"/>
              </w:rPr>
              <w:t xml:space="preserve"> </w:t>
            </w:r>
            <w:r w:rsidR="00761AE2" w:rsidRPr="00761AE2">
              <w:rPr>
                <w:lang w:val="es-ES"/>
              </w:rPr>
              <w:t>en la Res. 165</w:t>
            </w:r>
            <w:r w:rsidR="00B72D72">
              <w:rPr>
                <w:lang w:val="es-ES"/>
              </w:rPr>
              <w:t xml:space="preserve"> </w:t>
            </w:r>
            <w:r w:rsidR="00761AE2" w:rsidRPr="00761AE2">
              <w:rPr>
                <w:lang w:val="es-ES"/>
              </w:rPr>
              <w:t>se establece un plazo firme para la presentación de contribuciones, a más tardar</w:t>
            </w:r>
            <w:r w:rsidR="00F26446">
              <w:rPr>
                <w:lang w:val="es-ES"/>
              </w:rPr>
              <w:t xml:space="preserve"> </w:t>
            </w:r>
            <w:r w:rsidR="00761AE2" w:rsidRPr="00761AE2">
              <w:rPr>
                <w:u w:val="single"/>
                <w:lang w:val="es-ES"/>
              </w:rPr>
              <w:t>21</w:t>
            </w:r>
            <w:r w:rsidR="00B72D72">
              <w:rPr>
                <w:u w:val="single"/>
                <w:lang w:val="es-ES"/>
              </w:rPr>
              <w:t> </w:t>
            </w:r>
            <w:r w:rsidR="00761AE2" w:rsidRPr="00761AE2">
              <w:rPr>
                <w:u w:val="single"/>
                <w:lang w:val="es-ES"/>
              </w:rPr>
              <w:t>días naturales</w:t>
            </w:r>
            <w:r w:rsidR="00761AE2" w:rsidRPr="00761AE2">
              <w:rPr>
                <w:lang w:val="es-ES"/>
              </w:rPr>
              <w:t xml:space="preserve"> antes de la apertura de las conferencias y asambleas de la Unión, incluidas las conferencias de plenipotenciarios, a fin de garantizar su traducción a tiempo y el examen detallado de las mismas por las delegaciones, actualmente el 19 de octubre de</w:t>
            </w:r>
            <w:r w:rsidR="00B72D72">
              <w:rPr>
                <w:lang w:val="es-ES"/>
              </w:rPr>
              <w:t> </w:t>
            </w:r>
            <w:r w:rsidR="00761AE2" w:rsidRPr="00761AE2">
              <w:rPr>
                <w:lang w:val="es-ES"/>
              </w:rPr>
              <w:t>2026.</w:t>
            </w:r>
          </w:p>
          <w:p w14:paraId="19DDB5A7" w14:textId="1F8D39CB"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r w:rsidRPr="00761AE2">
              <w:rPr>
                <w:lang w:val="es-ES"/>
              </w:rPr>
              <w:t>En caso de que las fechas de la</w:t>
            </w:r>
            <w:r w:rsidR="00B72D72">
              <w:rPr>
                <w:lang w:val="es-ES"/>
              </w:rPr>
              <w:t> </w:t>
            </w:r>
            <w:r w:rsidRPr="00761AE2">
              <w:rPr>
                <w:lang w:val="es-ES"/>
              </w:rPr>
              <w:t>PP se aplacen al 11</w:t>
            </w:r>
            <w:r w:rsidR="00B72D72">
              <w:rPr>
                <w:lang w:val="es-ES"/>
              </w:rPr>
              <w:noBreakHyphen/>
            </w:r>
            <w:r w:rsidRPr="00761AE2">
              <w:rPr>
                <w:lang w:val="es-ES"/>
              </w:rPr>
              <w:t>29</w:t>
            </w:r>
            <w:r w:rsidR="00B72D72">
              <w:rPr>
                <w:lang w:val="es-ES"/>
              </w:rPr>
              <w:t xml:space="preserve"> </w:t>
            </w:r>
            <w:r w:rsidRPr="00761AE2">
              <w:rPr>
                <w:lang w:val="es-ES"/>
              </w:rPr>
              <w:t>de</w:t>
            </w:r>
            <w:r w:rsidR="00B72D72">
              <w:rPr>
                <w:lang w:val="es-ES"/>
              </w:rPr>
              <w:t xml:space="preserve"> </w:t>
            </w:r>
            <w:r w:rsidRPr="00761AE2">
              <w:rPr>
                <w:lang w:val="es-ES"/>
              </w:rPr>
              <w:t>enero</w:t>
            </w:r>
            <w:r w:rsidR="00B72D72">
              <w:rPr>
                <w:lang w:val="es-ES"/>
              </w:rPr>
              <w:t xml:space="preserve"> </w:t>
            </w:r>
            <w:r w:rsidRPr="00761AE2">
              <w:rPr>
                <w:lang w:val="es-ES"/>
              </w:rPr>
              <w:t>de 2027, los plazos se ajustarán del siguiente modo:</w:t>
            </w:r>
          </w:p>
          <w:p w14:paraId="698E8362" w14:textId="69FA836D" w:rsidR="00761AE2" w:rsidRPr="00761AE2" w:rsidRDefault="009A3919" w:rsidP="002E4F07">
            <w:pPr>
              <w:pStyle w:val="Tabletext"/>
              <w:cnfStyle w:val="000000000000" w:firstRow="0" w:lastRow="0" w:firstColumn="0" w:lastColumn="0" w:oddVBand="0" w:evenVBand="0" w:oddHBand="0" w:evenHBand="0" w:firstRowFirstColumn="0" w:firstRowLastColumn="0" w:lastRowFirstColumn="0" w:lastRowLastColumn="0"/>
              <w:rPr>
                <w:lang w:val="es-ES"/>
              </w:rPr>
            </w:pPr>
            <w:r w:rsidRPr="009A3919">
              <w:rPr>
                <w:lang w:val="es-ES"/>
              </w:rPr>
              <w:t>–</w:t>
            </w:r>
            <w:r>
              <w:rPr>
                <w:lang w:val="es-ES"/>
              </w:rPr>
              <w:tab/>
            </w:r>
            <w:r w:rsidR="00761AE2" w:rsidRPr="00761AE2">
              <w:rPr>
                <w:i/>
                <w:iCs/>
                <w:lang w:val="es-ES"/>
              </w:rPr>
              <w:t>Documentos de</w:t>
            </w:r>
            <w:r w:rsidR="00B72D72">
              <w:rPr>
                <w:i/>
                <w:iCs/>
                <w:lang w:val="es-ES"/>
              </w:rPr>
              <w:t xml:space="preserve"> </w:t>
            </w:r>
            <w:r w:rsidR="00761AE2" w:rsidRPr="00761AE2">
              <w:rPr>
                <w:i/>
                <w:iCs/>
                <w:lang w:val="es-ES"/>
              </w:rPr>
              <w:t>la</w:t>
            </w:r>
            <w:r w:rsidR="00B72D72">
              <w:rPr>
                <w:i/>
                <w:iCs/>
                <w:lang w:val="es-ES"/>
              </w:rPr>
              <w:t xml:space="preserve"> </w:t>
            </w:r>
            <w:r w:rsidR="00761AE2" w:rsidRPr="00761AE2">
              <w:rPr>
                <w:i/>
                <w:iCs/>
                <w:lang w:val="es-ES"/>
              </w:rPr>
              <w:t>Secretaría: 7</w:t>
            </w:r>
            <w:r w:rsidR="00761AE2" w:rsidRPr="00761AE2">
              <w:rPr>
                <w:lang w:val="es-ES"/>
              </w:rPr>
              <w:t xml:space="preserve"> de </w:t>
            </w:r>
            <w:r w:rsidR="00761AE2" w:rsidRPr="00761AE2">
              <w:rPr>
                <w:i/>
                <w:iCs/>
                <w:lang w:val="es-ES"/>
              </w:rPr>
              <w:t>diciembre de</w:t>
            </w:r>
            <w:r w:rsidR="00B72D72">
              <w:rPr>
                <w:i/>
                <w:iCs/>
                <w:lang w:val="es-ES"/>
              </w:rPr>
              <w:t> </w:t>
            </w:r>
            <w:r w:rsidR="00761AE2" w:rsidRPr="00761AE2">
              <w:rPr>
                <w:i/>
                <w:iCs/>
                <w:lang w:val="es-ES"/>
              </w:rPr>
              <w:t>2026</w:t>
            </w:r>
          </w:p>
          <w:p w14:paraId="1B533DE4" w14:textId="0D505B0E" w:rsidR="00761AE2" w:rsidRPr="00761AE2" w:rsidRDefault="009A3919" w:rsidP="002E4F07">
            <w:pPr>
              <w:pStyle w:val="Tabletext"/>
              <w:cnfStyle w:val="000000000000" w:firstRow="0" w:lastRow="0" w:firstColumn="0" w:lastColumn="0" w:oddVBand="0" w:evenVBand="0" w:oddHBand="0" w:evenHBand="0" w:firstRowFirstColumn="0" w:firstRowLastColumn="0" w:lastRowFirstColumn="0" w:lastRowLastColumn="0"/>
              <w:rPr>
                <w:lang w:val="es-ES"/>
              </w:rPr>
            </w:pPr>
            <w:r w:rsidRPr="009A3919">
              <w:rPr>
                <w:lang w:val="es-ES"/>
              </w:rPr>
              <w:t>–</w:t>
            </w:r>
            <w:r>
              <w:rPr>
                <w:lang w:val="es-ES"/>
              </w:rPr>
              <w:tab/>
            </w:r>
            <w:r w:rsidR="00761AE2" w:rsidRPr="00761AE2">
              <w:rPr>
                <w:i/>
                <w:iCs/>
                <w:lang w:val="es-ES"/>
              </w:rPr>
              <w:t>Contribuciones de los Estados Miembros:</w:t>
            </w:r>
            <w:r w:rsidR="00F26446">
              <w:rPr>
                <w:i/>
                <w:iCs/>
                <w:lang w:val="es-ES"/>
              </w:rPr>
              <w:t xml:space="preserve"> </w:t>
            </w:r>
            <w:r w:rsidR="00761AE2" w:rsidRPr="00761AE2">
              <w:rPr>
                <w:i/>
                <w:iCs/>
                <w:lang w:val="es-ES"/>
              </w:rPr>
              <w:t>21 de diciembre de</w:t>
            </w:r>
            <w:r w:rsidR="00B72D72">
              <w:rPr>
                <w:i/>
                <w:iCs/>
                <w:lang w:val="es-ES"/>
              </w:rPr>
              <w:t> </w:t>
            </w:r>
            <w:r w:rsidR="00761AE2" w:rsidRPr="00761AE2">
              <w:rPr>
                <w:i/>
                <w:iCs/>
                <w:lang w:val="es-ES"/>
              </w:rPr>
              <w:t>2026</w:t>
            </w:r>
          </w:p>
        </w:tc>
        <w:tc>
          <w:tcPr>
            <w:tcW w:w="70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37A0DE5" w14:textId="57CE4270"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fr-CH"/>
              </w:rPr>
            </w:pPr>
            <w:r w:rsidRPr="00761AE2">
              <w:rPr>
                <w:lang w:val="fr-CH"/>
              </w:rPr>
              <w:t>Res.</w:t>
            </w:r>
            <w:r w:rsidR="00B72D72">
              <w:rPr>
                <w:lang w:val="fr-CH"/>
              </w:rPr>
              <w:t> </w:t>
            </w:r>
            <w:r w:rsidRPr="00761AE2">
              <w:rPr>
                <w:lang w:val="fr-CH"/>
              </w:rPr>
              <w:t>165 (PP)</w:t>
            </w:r>
          </w:p>
          <w:p w14:paraId="5C7401A0" w14:textId="53E7C39E"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fr-CH"/>
              </w:rPr>
            </w:pPr>
            <w:r w:rsidRPr="00761AE2">
              <w:rPr>
                <w:lang w:val="fr-CH"/>
              </w:rPr>
              <w:t>RG</w:t>
            </w:r>
            <w:r w:rsidR="00B72D72">
              <w:rPr>
                <w:lang w:val="fr-CH"/>
              </w:rPr>
              <w:t> </w:t>
            </w:r>
            <w:r w:rsidRPr="00761AE2">
              <w:rPr>
                <w:lang w:val="fr-CH"/>
              </w:rPr>
              <w:t>40, RG</w:t>
            </w:r>
            <w:r w:rsidR="00B72D72">
              <w:rPr>
                <w:lang w:val="fr-CH"/>
              </w:rPr>
              <w:t> </w:t>
            </w:r>
            <w:r w:rsidRPr="00761AE2">
              <w:rPr>
                <w:lang w:val="fr-CH"/>
              </w:rPr>
              <w:t>44, RG</w:t>
            </w:r>
            <w:r w:rsidR="00B72D72">
              <w:rPr>
                <w:lang w:val="fr-CH"/>
              </w:rPr>
              <w:t> </w:t>
            </w:r>
            <w:r w:rsidRPr="00761AE2">
              <w:rPr>
                <w:lang w:val="fr-CH"/>
              </w:rPr>
              <w:t>45</w:t>
            </w:r>
          </w:p>
        </w:tc>
      </w:tr>
      <w:tr w:rsidR="00761AE2" w:rsidRPr="000F6D86" w14:paraId="4B580C53" w14:textId="77777777" w:rsidTr="002E4F07">
        <w:trPr>
          <w:jc w:val="center"/>
        </w:trPr>
        <w:tc>
          <w:tcPr>
            <w:cnfStyle w:val="001000000000" w:firstRow="0" w:lastRow="0" w:firstColumn="1" w:lastColumn="0" w:oddVBand="0" w:evenVBand="0" w:oddHBand="0" w:evenHBand="0" w:firstRowFirstColumn="0" w:firstRowLastColumn="0" w:lastRowFirstColumn="0" w:lastRowLastColumn="0"/>
            <w:tcW w:w="112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CC9E1F7" w14:textId="77777777" w:rsidR="00761AE2" w:rsidRPr="00761AE2" w:rsidRDefault="00761AE2" w:rsidP="002E4F07">
            <w:pPr>
              <w:pStyle w:val="Tabletext"/>
              <w:rPr>
                <w:lang w:val="es-ES"/>
              </w:rPr>
            </w:pPr>
            <w:r w:rsidRPr="00761AE2">
              <w:rPr>
                <w:lang w:val="es-ES"/>
              </w:rPr>
              <w:lastRenderedPageBreak/>
              <w:t>Función de Qatar en caso de traslado a Ginebra</w:t>
            </w:r>
          </w:p>
        </w:tc>
        <w:tc>
          <w:tcPr>
            <w:tcW w:w="3172"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7EEAFDA" w14:textId="77777777"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r w:rsidRPr="00761AE2">
              <w:rPr>
                <w:lang w:val="es-ES"/>
              </w:rPr>
              <w:t>De optarse por el traslado descrito en el presente documento, Qatar podría seguir desempeñando una función importante, a saber, la de presidir la Conferencia, a reserva de una mayor coordinación con el país anfitrión y de los procedimientos estatutarios aplicables.</w:t>
            </w:r>
          </w:p>
        </w:tc>
        <w:tc>
          <w:tcPr>
            <w:tcW w:w="70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3ADD000F" w14:textId="77777777"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p>
        </w:tc>
      </w:tr>
      <w:tr w:rsidR="00761AE2" w:rsidRPr="000F6D86" w14:paraId="5DAE7FB2" w14:textId="77777777" w:rsidTr="002E4F07">
        <w:trPr>
          <w:jc w:val="center"/>
        </w:trPr>
        <w:tc>
          <w:tcPr>
            <w:cnfStyle w:val="001000000000" w:firstRow="0" w:lastRow="0" w:firstColumn="1" w:lastColumn="0" w:oddVBand="0" w:evenVBand="0" w:oddHBand="0" w:evenHBand="0" w:firstRowFirstColumn="0" w:firstRowLastColumn="0" w:lastRowFirstColumn="0" w:lastRowLastColumn="0"/>
            <w:tcW w:w="112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0BDDB3EE" w14:textId="5EC1EAD8" w:rsidR="00761AE2" w:rsidRPr="00761AE2" w:rsidRDefault="00761AE2" w:rsidP="002E4F07">
            <w:pPr>
              <w:pStyle w:val="Tabletext"/>
              <w:rPr>
                <w:lang w:val="es-ES"/>
              </w:rPr>
            </w:pPr>
            <w:r w:rsidRPr="00761AE2">
              <w:rPr>
                <w:lang w:val="es-ES"/>
              </w:rPr>
              <w:t>Proceso preparatorio interregional</w:t>
            </w:r>
          </w:p>
        </w:tc>
        <w:tc>
          <w:tcPr>
            <w:tcW w:w="3172"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34C7AE4" w14:textId="5BAFA2A1" w:rsidR="00761AE2" w:rsidRPr="00761AE2" w:rsidRDefault="009A3919" w:rsidP="002E4F07">
            <w:pPr>
              <w:pStyle w:val="Tabletext"/>
              <w:ind w:left="284" w:hanging="284"/>
              <w:cnfStyle w:val="000000000000" w:firstRow="0" w:lastRow="0" w:firstColumn="0" w:lastColumn="0" w:oddVBand="0" w:evenVBand="0" w:oddHBand="0" w:evenHBand="0" w:firstRowFirstColumn="0" w:firstRowLastColumn="0" w:lastRowFirstColumn="0" w:lastRowLastColumn="0"/>
              <w:rPr>
                <w:lang w:val="es-ES"/>
              </w:rPr>
            </w:pPr>
            <w:r w:rsidRPr="009A3919">
              <w:rPr>
                <w:lang w:val="es-ES"/>
              </w:rPr>
              <w:t>•</w:t>
            </w:r>
            <w:r>
              <w:rPr>
                <w:lang w:val="es-ES"/>
              </w:rPr>
              <w:tab/>
            </w:r>
            <w:r w:rsidR="00761AE2" w:rsidRPr="00761AE2">
              <w:rPr>
                <w:lang w:val="es-ES"/>
              </w:rPr>
              <w:t>El Consejo acordó organizar cuatro reuniones preparatorias interregionales. Dos de ellas ya se han celebrado. La tercera está prevista durante el</w:t>
            </w:r>
            <w:r w:rsidR="00F26446">
              <w:rPr>
                <w:lang w:val="es-ES"/>
              </w:rPr>
              <w:t> </w:t>
            </w:r>
            <w:r w:rsidR="00761AE2" w:rsidRPr="00761AE2">
              <w:rPr>
                <w:lang w:val="es-ES"/>
              </w:rPr>
              <w:t>FMPT.</w:t>
            </w:r>
          </w:p>
          <w:p w14:paraId="381356F8" w14:textId="4E707D04" w:rsidR="00761AE2" w:rsidRPr="00761AE2" w:rsidRDefault="009A3919" w:rsidP="002E4F07">
            <w:pPr>
              <w:pStyle w:val="Tabletext"/>
              <w:ind w:left="284" w:hanging="284"/>
              <w:cnfStyle w:val="000000000000" w:firstRow="0" w:lastRow="0" w:firstColumn="0" w:lastColumn="0" w:oddVBand="0" w:evenVBand="0" w:oddHBand="0" w:evenHBand="0" w:firstRowFirstColumn="0" w:firstRowLastColumn="0" w:lastRowFirstColumn="0" w:lastRowLastColumn="0"/>
              <w:rPr>
                <w:lang w:val="es-ES"/>
              </w:rPr>
            </w:pPr>
            <w:r w:rsidRPr="009A3919">
              <w:rPr>
                <w:lang w:val="es-ES"/>
              </w:rPr>
              <w:t>•</w:t>
            </w:r>
            <w:r>
              <w:rPr>
                <w:lang w:val="es-ES"/>
              </w:rPr>
              <w:tab/>
            </w:r>
            <w:r w:rsidR="00761AE2" w:rsidRPr="00761AE2">
              <w:rPr>
                <w:lang w:val="es-ES"/>
              </w:rPr>
              <w:t>En caso de que las fechas de la</w:t>
            </w:r>
            <w:r w:rsidR="00B72D72">
              <w:rPr>
                <w:lang w:val="es-ES"/>
              </w:rPr>
              <w:t> </w:t>
            </w:r>
            <w:r w:rsidR="00761AE2" w:rsidRPr="00761AE2">
              <w:rPr>
                <w:lang w:val="es-ES"/>
              </w:rPr>
              <w:t>PP se aplazaran al 11</w:t>
            </w:r>
            <w:r w:rsidR="00B72D72">
              <w:rPr>
                <w:lang w:val="es-ES"/>
              </w:rPr>
              <w:noBreakHyphen/>
            </w:r>
            <w:r w:rsidR="00761AE2" w:rsidRPr="00761AE2">
              <w:rPr>
                <w:lang w:val="es-ES"/>
              </w:rPr>
              <w:t>29 de enero de 2027, el Consejo podría convenir en aplazar la 4</w:t>
            </w:r>
            <w:r w:rsidR="00B72D72">
              <w:rPr>
                <w:lang w:val="es-ES"/>
              </w:rPr>
              <w:t>.</w:t>
            </w:r>
            <w:r w:rsidR="00761AE2" w:rsidRPr="00761AE2">
              <w:rPr>
                <w:lang w:val="es-ES"/>
              </w:rPr>
              <w:t>ª</w:t>
            </w:r>
            <w:r w:rsidR="00B72D72">
              <w:rPr>
                <w:lang w:val="es-ES"/>
              </w:rPr>
              <w:t> </w:t>
            </w:r>
            <w:r w:rsidR="00761AE2" w:rsidRPr="00761AE2">
              <w:rPr>
                <w:lang w:val="es-ES"/>
              </w:rPr>
              <w:t>reunión, inicialmente prevista para los días 13 y 14 de octubre de</w:t>
            </w:r>
            <w:r w:rsidR="00B72D72">
              <w:rPr>
                <w:lang w:val="es-ES"/>
              </w:rPr>
              <w:t> </w:t>
            </w:r>
            <w:r w:rsidR="00761AE2" w:rsidRPr="00761AE2">
              <w:rPr>
                <w:lang w:val="es-ES"/>
              </w:rPr>
              <w:t>2026 en Arabia Saudita, u organizar una reunión adicional (que podría ser virtual) después del plazo para la presentación de candidaturas, el 14 de diciembre de</w:t>
            </w:r>
            <w:r w:rsidR="00B72D72">
              <w:rPr>
                <w:lang w:val="es-ES"/>
              </w:rPr>
              <w:t> </w:t>
            </w:r>
            <w:r w:rsidR="00761AE2" w:rsidRPr="00761AE2">
              <w:rPr>
                <w:lang w:val="es-ES"/>
              </w:rPr>
              <w:t>2026.</w:t>
            </w:r>
          </w:p>
        </w:tc>
        <w:tc>
          <w:tcPr>
            <w:tcW w:w="70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58FC2F46" w14:textId="77777777"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p>
        </w:tc>
      </w:tr>
      <w:tr w:rsidR="00761AE2" w:rsidRPr="000F6D86" w14:paraId="134B6FB7" w14:textId="77777777" w:rsidTr="002E4F07">
        <w:trPr>
          <w:jc w:val="center"/>
        </w:trPr>
        <w:tc>
          <w:tcPr>
            <w:cnfStyle w:val="001000000000" w:firstRow="0" w:lastRow="0" w:firstColumn="1" w:lastColumn="0" w:oddVBand="0" w:evenVBand="0" w:oddHBand="0" w:evenHBand="0" w:firstRowFirstColumn="0" w:firstRowLastColumn="0" w:lastRowFirstColumn="0" w:lastRowLastColumn="0"/>
            <w:tcW w:w="112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0A65C5C1" w14:textId="358F7B6A" w:rsidR="00761AE2" w:rsidRPr="00761AE2" w:rsidRDefault="00761AE2" w:rsidP="002E4F07">
            <w:pPr>
              <w:pStyle w:val="Tabletext"/>
              <w:rPr>
                <w:lang w:val="es-ES"/>
              </w:rPr>
            </w:pPr>
            <w:r w:rsidRPr="00761AE2">
              <w:rPr>
                <w:lang w:val="es-ES"/>
              </w:rPr>
              <w:t>Anulación de última hora del evento</w:t>
            </w:r>
          </w:p>
        </w:tc>
        <w:tc>
          <w:tcPr>
            <w:tcW w:w="3172"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D603AC7" w14:textId="19F0489B" w:rsidR="00761AE2" w:rsidRPr="00761AE2" w:rsidRDefault="009A3919" w:rsidP="002E4F07">
            <w:pPr>
              <w:pStyle w:val="Tabletext"/>
              <w:ind w:left="284" w:hanging="284"/>
              <w:cnfStyle w:val="000000000000" w:firstRow="0" w:lastRow="0" w:firstColumn="0" w:lastColumn="0" w:oddVBand="0" w:evenVBand="0" w:oddHBand="0" w:evenHBand="0" w:firstRowFirstColumn="0" w:firstRowLastColumn="0" w:lastRowFirstColumn="0" w:lastRowLastColumn="0"/>
              <w:rPr>
                <w:lang w:val="es-ES"/>
              </w:rPr>
            </w:pPr>
            <w:r w:rsidRPr="009A3919">
              <w:rPr>
                <w:lang w:val="es-ES"/>
              </w:rPr>
              <w:t>•</w:t>
            </w:r>
            <w:r>
              <w:rPr>
                <w:lang w:val="es-ES"/>
              </w:rPr>
              <w:tab/>
            </w:r>
            <w:r w:rsidR="00761AE2" w:rsidRPr="00761AE2">
              <w:rPr>
                <w:lang w:val="es-ES"/>
              </w:rPr>
              <w:t>El proyecto actual de Acuerdo con el País Anfitrión incluye disposiciones relativas a la cancelación, el aplazamiento o el cambio del lugar de celebración de la Conferencia. La</w:t>
            </w:r>
            <w:r w:rsidR="00B72D72" w:rsidRPr="00B72D72">
              <w:rPr>
                <w:lang w:val="es-ES"/>
              </w:rPr>
              <w:t> </w:t>
            </w:r>
            <w:r w:rsidR="00761AE2" w:rsidRPr="00761AE2">
              <w:rPr>
                <w:lang w:val="es-ES"/>
              </w:rPr>
              <w:t>UIT ha propuesto un texto en virtud del cual, cuando la Secretaria General determine que la Conferencia no puede celebrarse en Doha en condiciones de seguridad, o no puede seguir celebrándose allí debido a acontecimientos geopolíticos, inestabilidad regional, amenazas a la seguridad, consideraciones de protección o circunstancias conexas, la Secretaria General podrá decidir cancelar o aplazar la Conferencia y/o cambiar su lugar de celebración. Con arreglo al texto propuesto por la</w:t>
            </w:r>
            <w:r w:rsidR="00B72D72">
              <w:rPr>
                <w:lang w:val="es-ES"/>
              </w:rPr>
              <w:t> </w:t>
            </w:r>
            <w:r w:rsidR="00761AE2" w:rsidRPr="00761AE2">
              <w:rPr>
                <w:lang w:val="es-ES"/>
              </w:rPr>
              <w:t>UIT, tal decisión no debería dar lugar a responsabilidad alguna por parte de la</w:t>
            </w:r>
            <w:r w:rsidR="00B72D72">
              <w:rPr>
                <w:lang w:val="es-ES"/>
              </w:rPr>
              <w:t> </w:t>
            </w:r>
            <w:r w:rsidR="00761AE2" w:rsidRPr="00761AE2">
              <w:rPr>
                <w:lang w:val="es-ES"/>
              </w:rPr>
              <w:t>UIT para con el país anfitrión en lo que se refiere a costos, gastos, pérdidas, daños, indemnizaciones o en cualquier otro concepto.</w:t>
            </w:r>
          </w:p>
        </w:tc>
        <w:tc>
          <w:tcPr>
            <w:tcW w:w="70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6FBBD0F0" w14:textId="77777777"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p>
        </w:tc>
      </w:tr>
      <w:tr w:rsidR="00761AE2" w:rsidRPr="000F6D86" w14:paraId="17CAD8D0" w14:textId="77777777" w:rsidTr="009274D6">
        <w:trPr>
          <w:jc w:val="center"/>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F2F2F2" w:themeFill="background1" w:themeFillShade="F2"/>
            <w:vAlign w:val="center"/>
            <w:hideMark/>
          </w:tcPr>
          <w:p w14:paraId="500981F1" w14:textId="2BC9CA11" w:rsidR="00761AE2" w:rsidRPr="00761AE2" w:rsidRDefault="00761AE2" w:rsidP="009A3919">
            <w:pPr>
              <w:pStyle w:val="Tabletext"/>
              <w:rPr>
                <w:lang w:val="es-ES"/>
              </w:rPr>
            </w:pPr>
            <w:r w:rsidRPr="00761AE2">
              <w:rPr>
                <w:lang w:val="es-ES"/>
              </w:rPr>
              <w:t>Consideraciones prácticas en caso de trasladar la</w:t>
            </w:r>
            <w:r w:rsidR="00B72D72">
              <w:rPr>
                <w:lang w:val="es-ES"/>
              </w:rPr>
              <w:t> </w:t>
            </w:r>
            <w:r w:rsidRPr="00761AE2">
              <w:rPr>
                <w:lang w:val="es-ES"/>
              </w:rPr>
              <w:t>PP a Ginebra</w:t>
            </w:r>
          </w:p>
        </w:tc>
      </w:tr>
      <w:tr w:rsidR="00761AE2" w:rsidRPr="000F6D86" w14:paraId="46A4D737" w14:textId="77777777" w:rsidTr="002E4F07">
        <w:trPr>
          <w:jc w:val="center"/>
        </w:trPr>
        <w:tc>
          <w:tcPr>
            <w:cnfStyle w:val="001000000000" w:firstRow="0" w:lastRow="0" w:firstColumn="1" w:lastColumn="0" w:oddVBand="0" w:evenVBand="0" w:oddHBand="0" w:evenHBand="0" w:firstRowFirstColumn="0" w:firstRowLastColumn="0" w:lastRowFirstColumn="0" w:lastRowLastColumn="0"/>
            <w:tcW w:w="112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BEC6A5E" w14:textId="77777777" w:rsidR="00761AE2" w:rsidRPr="00761AE2" w:rsidRDefault="00761AE2" w:rsidP="002E4F07">
            <w:pPr>
              <w:pStyle w:val="Tabletext"/>
              <w:rPr>
                <w:lang w:val="es-ES"/>
              </w:rPr>
            </w:pPr>
            <w:r w:rsidRPr="00761AE2">
              <w:rPr>
                <w:lang w:val="es-ES"/>
              </w:rPr>
              <w:t>Repercusiones para Qatar de la suspensión de los preparativos y del traslado del evento a Ginebra</w:t>
            </w:r>
          </w:p>
        </w:tc>
        <w:tc>
          <w:tcPr>
            <w:tcW w:w="3172"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7B98AF1" w14:textId="1EC96B06" w:rsidR="00761AE2" w:rsidRPr="00761AE2" w:rsidRDefault="009A3919" w:rsidP="002E4F07">
            <w:pPr>
              <w:pStyle w:val="Tabletext"/>
              <w:ind w:left="284" w:hanging="284"/>
              <w:cnfStyle w:val="000000000000" w:firstRow="0" w:lastRow="0" w:firstColumn="0" w:lastColumn="0" w:oddVBand="0" w:evenVBand="0" w:oddHBand="0" w:evenHBand="0" w:firstRowFirstColumn="0" w:firstRowLastColumn="0" w:lastRowFirstColumn="0" w:lastRowLastColumn="0"/>
              <w:rPr>
                <w:lang w:val="es-ES"/>
              </w:rPr>
            </w:pPr>
            <w:r w:rsidRPr="009A3919">
              <w:rPr>
                <w:lang w:val="es-ES"/>
              </w:rPr>
              <w:t>•</w:t>
            </w:r>
            <w:r>
              <w:rPr>
                <w:lang w:val="es-ES"/>
              </w:rPr>
              <w:tab/>
            </w:r>
            <w:r w:rsidR="00761AE2" w:rsidRPr="00761AE2">
              <w:rPr>
                <w:lang w:val="es-ES"/>
              </w:rPr>
              <w:t>Los preparativos en Qatar se encuentran ya en una fase avanzada en las principales esferas prácticas, entre las que se incluyen la planificación del lugar de celebración, la producción, la logística, el transporte, la coordinación del alojamiento, la seguridad, el protocolo, la inscripción y los servicios a los delegados.</w:t>
            </w:r>
          </w:p>
          <w:p w14:paraId="4413FD84" w14:textId="301B7728" w:rsidR="00761AE2" w:rsidRPr="00761AE2" w:rsidRDefault="009A3919" w:rsidP="002E4F07">
            <w:pPr>
              <w:pStyle w:val="Tabletext"/>
              <w:ind w:left="284" w:hanging="284"/>
              <w:cnfStyle w:val="000000000000" w:firstRow="0" w:lastRow="0" w:firstColumn="0" w:lastColumn="0" w:oddVBand="0" w:evenVBand="0" w:oddHBand="0" w:evenHBand="0" w:firstRowFirstColumn="0" w:firstRowLastColumn="0" w:lastRowFirstColumn="0" w:lastRowLastColumn="0"/>
              <w:rPr>
                <w:lang w:val="es-ES"/>
              </w:rPr>
            </w:pPr>
            <w:r w:rsidRPr="009A3919">
              <w:rPr>
                <w:lang w:val="es-ES"/>
              </w:rPr>
              <w:t>•</w:t>
            </w:r>
            <w:r>
              <w:rPr>
                <w:lang w:val="es-ES"/>
              </w:rPr>
              <w:tab/>
            </w:r>
            <w:r w:rsidR="00761AE2" w:rsidRPr="00761AE2">
              <w:rPr>
                <w:lang w:val="es-ES"/>
              </w:rPr>
              <w:t>Ya se ha contratado a varios proveedores y prestadores de servicios y además se han adquirido o comprometido diversos bienes, servicios y necesidades de índole práctica.</w:t>
            </w:r>
          </w:p>
          <w:p w14:paraId="4DF1931C" w14:textId="28B7194B" w:rsidR="00761AE2" w:rsidRPr="00761AE2" w:rsidRDefault="009A3919" w:rsidP="002E4F07">
            <w:pPr>
              <w:pStyle w:val="Tabletext"/>
              <w:ind w:left="284" w:hanging="284"/>
              <w:cnfStyle w:val="000000000000" w:firstRow="0" w:lastRow="0" w:firstColumn="0" w:lastColumn="0" w:oddVBand="0" w:evenVBand="0" w:oddHBand="0" w:evenHBand="0" w:firstRowFirstColumn="0" w:firstRowLastColumn="0" w:lastRowFirstColumn="0" w:lastRowLastColumn="0"/>
              <w:rPr>
                <w:lang w:val="es-ES"/>
              </w:rPr>
            </w:pPr>
            <w:r w:rsidRPr="009A3919">
              <w:rPr>
                <w:lang w:val="es-ES"/>
              </w:rPr>
              <w:t>•</w:t>
            </w:r>
            <w:r>
              <w:rPr>
                <w:lang w:val="es-ES"/>
              </w:rPr>
              <w:tab/>
            </w:r>
            <w:r w:rsidR="00761AE2" w:rsidRPr="00761AE2">
              <w:rPr>
                <w:lang w:val="es-ES"/>
              </w:rPr>
              <w:t>Ya se han efectuado pagos en relación con varios de estos compromisos contractuales y de adquisición, y podrían surgir nuevas obligaciones financieras en virtud de los acuerdos vigentes.</w:t>
            </w:r>
          </w:p>
          <w:p w14:paraId="47A57110" w14:textId="13520AF8" w:rsidR="00761AE2" w:rsidRPr="00761AE2" w:rsidRDefault="009A3919" w:rsidP="002E4F07">
            <w:pPr>
              <w:pStyle w:val="Tabletext"/>
              <w:ind w:left="284" w:hanging="284"/>
              <w:cnfStyle w:val="000000000000" w:firstRow="0" w:lastRow="0" w:firstColumn="0" w:lastColumn="0" w:oddVBand="0" w:evenVBand="0" w:oddHBand="0" w:evenHBand="0" w:firstRowFirstColumn="0" w:firstRowLastColumn="0" w:lastRowFirstColumn="0" w:lastRowLastColumn="0"/>
              <w:rPr>
                <w:lang w:val="es-ES"/>
              </w:rPr>
            </w:pPr>
            <w:r w:rsidRPr="009A3919">
              <w:rPr>
                <w:lang w:val="es-ES"/>
              </w:rPr>
              <w:lastRenderedPageBreak/>
              <w:t>•</w:t>
            </w:r>
            <w:r>
              <w:rPr>
                <w:lang w:val="es-ES"/>
              </w:rPr>
              <w:tab/>
            </w:r>
            <w:r w:rsidR="00761AE2" w:rsidRPr="00761AE2">
              <w:rPr>
                <w:lang w:val="es-ES"/>
              </w:rPr>
              <w:t>Por consiguiente, suspender o cancelar los preparativos en esta fase tendría repercusiones financieras directas para el país anfitrión, entre ellas posibles gastos irrecuperables, gastos de cancelación y de rescisión, obligaciones con los proveedores y costos asociados a la liquidación de los contratos vigentes.</w:t>
            </w:r>
          </w:p>
          <w:p w14:paraId="30EF4F20" w14:textId="4D7B92D3" w:rsidR="00761AE2" w:rsidRPr="00761AE2" w:rsidRDefault="009A3919" w:rsidP="002E4F07">
            <w:pPr>
              <w:pStyle w:val="Tabletext"/>
              <w:ind w:left="284" w:hanging="284"/>
              <w:cnfStyle w:val="000000000000" w:firstRow="0" w:lastRow="0" w:firstColumn="0" w:lastColumn="0" w:oddVBand="0" w:evenVBand="0" w:oddHBand="0" w:evenHBand="0" w:firstRowFirstColumn="0" w:firstRowLastColumn="0" w:lastRowFirstColumn="0" w:lastRowLastColumn="0"/>
              <w:rPr>
                <w:lang w:val="es-ES"/>
              </w:rPr>
            </w:pPr>
            <w:r w:rsidRPr="009A3919">
              <w:rPr>
                <w:lang w:val="es-ES"/>
              </w:rPr>
              <w:t>•</w:t>
            </w:r>
            <w:r>
              <w:rPr>
                <w:lang w:val="es-ES"/>
              </w:rPr>
              <w:tab/>
            </w:r>
            <w:r w:rsidR="00761AE2" w:rsidRPr="00761AE2">
              <w:rPr>
                <w:lang w:val="es-ES"/>
              </w:rPr>
              <w:t>Por añadidura, los bienes, equipos, materiales y servicios ya adquiridos específicamente para la Conferencia de Doha podrían no ser transferibles, reutilizables o recuperables en caso de traslado.</w:t>
            </w:r>
          </w:p>
          <w:p w14:paraId="67BB5012" w14:textId="18BC947A" w:rsidR="00761AE2" w:rsidRPr="00761AE2" w:rsidRDefault="009A3919" w:rsidP="002E4F07">
            <w:pPr>
              <w:pStyle w:val="Tabletext"/>
              <w:ind w:left="284" w:hanging="284"/>
              <w:cnfStyle w:val="000000000000" w:firstRow="0" w:lastRow="0" w:firstColumn="0" w:lastColumn="0" w:oddVBand="0" w:evenVBand="0" w:oddHBand="0" w:evenHBand="0" w:firstRowFirstColumn="0" w:firstRowLastColumn="0" w:lastRowFirstColumn="0" w:lastRowLastColumn="0"/>
              <w:rPr>
                <w:lang w:val="es-ES"/>
              </w:rPr>
            </w:pPr>
            <w:r w:rsidRPr="009A3919">
              <w:rPr>
                <w:lang w:val="es-ES"/>
              </w:rPr>
              <w:t>•</w:t>
            </w:r>
            <w:r>
              <w:rPr>
                <w:lang w:val="es-ES"/>
              </w:rPr>
              <w:tab/>
            </w:r>
            <w:r w:rsidR="00761AE2" w:rsidRPr="00761AE2">
              <w:rPr>
                <w:lang w:val="es-ES"/>
              </w:rPr>
              <w:t>Las entidades gubernamentales y las autoridades nacionales competentes, incluidas las encargadas de la seguridad, la inmigración, las aduanas, el transporte, la atención médica y otros aspectos prácticos, han realizado también una considerable labor preparatoria.</w:t>
            </w:r>
          </w:p>
          <w:p w14:paraId="17FBAD64" w14:textId="1598CE69" w:rsidR="00761AE2" w:rsidRPr="00761AE2" w:rsidRDefault="009A3919" w:rsidP="002E4F07">
            <w:pPr>
              <w:pStyle w:val="Tabletext"/>
              <w:ind w:left="284" w:hanging="284"/>
              <w:cnfStyle w:val="000000000000" w:firstRow="0" w:lastRow="0" w:firstColumn="0" w:lastColumn="0" w:oddVBand="0" w:evenVBand="0" w:oddHBand="0" w:evenHBand="0" w:firstRowFirstColumn="0" w:firstRowLastColumn="0" w:lastRowFirstColumn="0" w:lastRowLastColumn="0"/>
              <w:rPr>
                <w:lang w:val="es-ES"/>
              </w:rPr>
            </w:pPr>
            <w:r w:rsidRPr="009A3919">
              <w:rPr>
                <w:lang w:val="es-ES"/>
              </w:rPr>
              <w:t>•</w:t>
            </w:r>
            <w:r>
              <w:rPr>
                <w:lang w:val="es-ES"/>
              </w:rPr>
              <w:tab/>
            </w:r>
            <w:r w:rsidR="00761AE2" w:rsidRPr="00761AE2">
              <w:rPr>
                <w:lang w:val="es-ES"/>
              </w:rPr>
              <w:t>El traslado en esta fase avanzada también supondría costos adicionales relacionados con la adopción de nuevas disposiciones en Ginebra, mientras que seguiría siendo necesario atender los compromisos contractuales y financieros ya contraídos por Qatar. La atribución de los costos derivados de un traslado a Ginebra y la responsabilidad correspondiente tendrían que examinarse por separado entre las partes interesadas.</w:t>
            </w:r>
          </w:p>
        </w:tc>
        <w:tc>
          <w:tcPr>
            <w:tcW w:w="70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2D37898E" w14:textId="77777777"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p>
        </w:tc>
      </w:tr>
      <w:tr w:rsidR="00761AE2" w:rsidRPr="000F6D86" w14:paraId="203F80C8" w14:textId="77777777" w:rsidTr="002E4F07">
        <w:trPr>
          <w:jc w:val="center"/>
        </w:trPr>
        <w:tc>
          <w:tcPr>
            <w:cnfStyle w:val="001000000000" w:firstRow="0" w:lastRow="0" w:firstColumn="1" w:lastColumn="0" w:oddVBand="0" w:evenVBand="0" w:oddHBand="0" w:evenHBand="0" w:firstRowFirstColumn="0" w:firstRowLastColumn="0" w:lastRowFirstColumn="0" w:lastRowLastColumn="0"/>
            <w:tcW w:w="112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CE12F86" w14:textId="77777777" w:rsidR="00761AE2" w:rsidRPr="00761AE2" w:rsidRDefault="00761AE2" w:rsidP="002E4F07">
            <w:pPr>
              <w:pStyle w:val="Tabletext"/>
              <w:rPr>
                <w:lang w:val="es-ES"/>
              </w:rPr>
            </w:pPr>
            <w:r w:rsidRPr="00761AE2">
              <w:rPr>
                <w:lang w:val="es-ES"/>
              </w:rPr>
              <w:t>Lugares disponibles en Ginebra</w:t>
            </w:r>
          </w:p>
        </w:tc>
        <w:tc>
          <w:tcPr>
            <w:tcW w:w="3172"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5E8F9A7" w14:textId="1AD9857F" w:rsidR="00761AE2" w:rsidRPr="00761AE2" w:rsidRDefault="009A3919" w:rsidP="002E4F07">
            <w:pPr>
              <w:pStyle w:val="Tabletext"/>
              <w:ind w:left="284" w:hanging="284"/>
              <w:cnfStyle w:val="000000000000" w:firstRow="0" w:lastRow="0" w:firstColumn="0" w:lastColumn="0" w:oddVBand="0" w:evenVBand="0" w:oddHBand="0" w:evenHBand="0" w:firstRowFirstColumn="0" w:firstRowLastColumn="0" w:lastRowFirstColumn="0" w:lastRowLastColumn="0"/>
              <w:rPr>
                <w:lang w:val="es-ES"/>
              </w:rPr>
            </w:pPr>
            <w:r w:rsidRPr="009A3919">
              <w:rPr>
                <w:lang w:val="es-ES"/>
              </w:rPr>
              <w:t>•</w:t>
            </w:r>
            <w:r>
              <w:rPr>
                <w:lang w:val="es-ES"/>
              </w:rPr>
              <w:tab/>
            </w:r>
            <w:r w:rsidR="00761AE2" w:rsidRPr="00761AE2">
              <w:rPr>
                <w:lang w:val="es-ES"/>
              </w:rPr>
              <w:t>La Secretaría ha estudiado todas las opciones en Ginebra para</w:t>
            </w:r>
            <w:r w:rsidR="00B72D72">
              <w:rPr>
                <w:lang w:val="es-ES"/>
              </w:rPr>
              <w:t> </w:t>
            </w:r>
            <w:r w:rsidR="00761AE2" w:rsidRPr="00761AE2">
              <w:rPr>
                <w:lang w:val="es-ES"/>
              </w:rPr>
              <w:t>2026 y principios de</w:t>
            </w:r>
            <w:r w:rsidR="00B72D72">
              <w:rPr>
                <w:lang w:val="es-ES"/>
              </w:rPr>
              <w:t> </w:t>
            </w:r>
            <w:r w:rsidR="00761AE2" w:rsidRPr="00761AE2">
              <w:rPr>
                <w:lang w:val="es-ES"/>
              </w:rPr>
              <w:t>2027. No hay recintos con capacidad para acoger la</w:t>
            </w:r>
            <w:r w:rsidR="00B72D72">
              <w:rPr>
                <w:lang w:val="es-ES"/>
              </w:rPr>
              <w:t> </w:t>
            </w:r>
            <w:r w:rsidR="00761AE2" w:rsidRPr="00761AE2">
              <w:rPr>
                <w:lang w:val="es-ES"/>
              </w:rPr>
              <w:t>PP que estén disponibles en 2026 durante tres semanas consecutivas. La primera disponibilidad es la del</w:t>
            </w:r>
            <w:r w:rsidR="00AE1A4E">
              <w:rPr>
                <w:lang w:val="es-ES"/>
              </w:rPr>
              <w:t> </w:t>
            </w:r>
            <w:r w:rsidR="00761AE2" w:rsidRPr="00761AE2">
              <w:rPr>
                <w:lang w:val="es-ES"/>
              </w:rPr>
              <w:t>CICG en enero de</w:t>
            </w:r>
            <w:r w:rsidR="00B72D72">
              <w:rPr>
                <w:lang w:val="es-ES"/>
              </w:rPr>
              <w:t> </w:t>
            </w:r>
            <w:r w:rsidR="00761AE2" w:rsidRPr="00761AE2">
              <w:rPr>
                <w:lang w:val="es-ES"/>
              </w:rPr>
              <w:t>2027. Se ha efectuado una reserva provisional del 4 al 29 de enero de</w:t>
            </w:r>
            <w:r w:rsidR="00B72D72" w:rsidRPr="00B72D72">
              <w:rPr>
                <w:lang w:val="es-ES"/>
              </w:rPr>
              <w:t> </w:t>
            </w:r>
            <w:r w:rsidR="00761AE2" w:rsidRPr="00761AE2">
              <w:rPr>
                <w:lang w:val="es-ES"/>
              </w:rPr>
              <w:t>2027, en el entendimiento de que, si el</w:t>
            </w:r>
            <w:r w:rsidR="00B72D72">
              <w:rPr>
                <w:lang w:val="es-ES"/>
              </w:rPr>
              <w:t> </w:t>
            </w:r>
            <w:r w:rsidR="00761AE2" w:rsidRPr="00761AE2">
              <w:rPr>
                <w:lang w:val="es-ES"/>
              </w:rPr>
              <w:t>CICG recibiera una contraoferta, la</w:t>
            </w:r>
            <w:r w:rsidR="00B72D72" w:rsidRPr="00B72D72">
              <w:rPr>
                <w:lang w:val="es-ES"/>
              </w:rPr>
              <w:t> </w:t>
            </w:r>
            <w:r w:rsidR="00761AE2" w:rsidRPr="00761AE2">
              <w:rPr>
                <w:lang w:val="es-ES"/>
              </w:rPr>
              <w:t>UIT deberá firmar, en un plazo de dos días, un contrato de utilización del espacio si desea celebrar en él la</w:t>
            </w:r>
            <w:r w:rsidR="00B72D72">
              <w:rPr>
                <w:lang w:val="es-ES"/>
              </w:rPr>
              <w:t> </w:t>
            </w:r>
            <w:r w:rsidR="00761AE2" w:rsidRPr="00761AE2">
              <w:rPr>
                <w:lang w:val="es-ES"/>
              </w:rPr>
              <w:t>PP.</w:t>
            </w:r>
          </w:p>
        </w:tc>
        <w:tc>
          <w:tcPr>
            <w:tcW w:w="70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75BE4A91" w14:textId="77777777"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p>
        </w:tc>
      </w:tr>
      <w:tr w:rsidR="00761AE2" w:rsidRPr="000F6D86" w14:paraId="23976B64" w14:textId="77777777" w:rsidTr="002E4F07">
        <w:trPr>
          <w:jc w:val="center"/>
        </w:trPr>
        <w:tc>
          <w:tcPr>
            <w:cnfStyle w:val="001000000000" w:firstRow="0" w:lastRow="0" w:firstColumn="1" w:lastColumn="0" w:oddVBand="0" w:evenVBand="0" w:oddHBand="0" w:evenHBand="0" w:firstRowFirstColumn="0" w:firstRowLastColumn="0" w:lastRowFirstColumn="0" w:lastRowLastColumn="0"/>
            <w:tcW w:w="112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F3C45E8" w14:textId="77777777" w:rsidR="00761AE2" w:rsidRPr="00761AE2" w:rsidRDefault="00761AE2" w:rsidP="002E4F07">
            <w:pPr>
              <w:pStyle w:val="Tabletext"/>
              <w:rPr>
                <w:lang w:val="es-ES"/>
              </w:rPr>
            </w:pPr>
            <w:r w:rsidRPr="00761AE2">
              <w:rPr>
                <w:lang w:val="es-ES"/>
              </w:rPr>
              <w:t>Otras consideraciones prácticas</w:t>
            </w:r>
          </w:p>
        </w:tc>
        <w:tc>
          <w:tcPr>
            <w:tcW w:w="3172"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0652B98A" w14:textId="1C0ECAFE" w:rsidR="00761AE2" w:rsidRPr="00761AE2" w:rsidRDefault="009A3919" w:rsidP="002E4F07">
            <w:pPr>
              <w:pStyle w:val="Tabletext"/>
              <w:ind w:left="284" w:hanging="284"/>
              <w:cnfStyle w:val="000000000000" w:firstRow="0" w:lastRow="0" w:firstColumn="0" w:lastColumn="0" w:oddVBand="0" w:evenVBand="0" w:oddHBand="0" w:evenHBand="0" w:firstRowFirstColumn="0" w:firstRowLastColumn="0" w:lastRowFirstColumn="0" w:lastRowLastColumn="0"/>
              <w:rPr>
                <w:lang w:val="es-ES"/>
              </w:rPr>
            </w:pPr>
            <w:r w:rsidRPr="009A3919">
              <w:rPr>
                <w:lang w:val="es-ES"/>
              </w:rPr>
              <w:t>•</w:t>
            </w:r>
            <w:r>
              <w:rPr>
                <w:lang w:val="es-ES"/>
              </w:rPr>
              <w:tab/>
            </w:r>
            <w:r w:rsidR="00761AE2" w:rsidRPr="00761AE2">
              <w:rPr>
                <w:lang w:val="es-ES"/>
              </w:rPr>
              <w:t>Los acuerdos contractuales del país anfitrión con el lugar de celebración de la Conferencia y otros proveedores importantes se encuentran ya en una fase avanzada, habiéndose firmado varios contratos, finalizado o en trámite la contratación pública y efectuado los pagos correspondientes. Por consiguiente, un traslado en esta fase tendría repercusiones financieras directas, entre las que se incluyen gastos potencialmente irrecuperables, gastos de cancelación o rescisión y otras obligaciones contractuales.</w:t>
            </w:r>
          </w:p>
          <w:p w14:paraId="2EA497F5" w14:textId="7E8E29F1" w:rsidR="00761AE2" w:rsidRPr="00761AE2" w:rsidRDefault="009A3919" w:rsidP="002E4F07">
            <w:pPr>
              <w:pStyle w:val="Tabletext"/>
              <w:ind w:left="284" w:hanging="284"/>
              <w:cnfStyle w:val="000000000000" w:firstRow="0" w:lastRow="0" w:firstColumn="0" w:lastColumn="0" w:oddVBand="0" w:evenVBand="0" w:oddHBand="0" w:evenHBand="0" w:firstRowFirstColumn="0" w:firstRowLastColumn="0" w:lastRowFirstColumn="0" w:lastRowLastColumn="0"/>
              <w:rPr>
                <w:lang w:val="es-ES"/>
              </w:rPr>
            </w:pPr>
            <w:r w:rsidRPr="009A3919">
              <w:rPr>
                <w:lang w:val="es-ES"/>
              </w:rPr>
              <w:t>•</w:t>
            </w:r>
            <w:r>
              <w:rPr>
                <w:lang w:val="es-ES"/>
              </w:rPr>
              <w:tab/>
            </w:r>
            <w:r w:rsidR="00761AE2" w:rsidRPr="00761AE2">
              <w:rPr>
                <w:lang w:val="es-ES"/>
              </w:rPr>
              <w:t>La</w:t>
            </w:r>
            <w:r w:rsidR="00B72D72" w:rsidRPr="00B72D72">
              <w:rPr>
                <w:lang w:val="es-ES"/>
              </w:rPr>
              <w:t> </w:t>
            </w:r>
            <w:r w:rsidR="00761AE2" w:rsidRPr="00761AE2">
              <w:rPr>
                <w:lang w:val="es-ES"/>
              </w:rPr>
              <w:t>UIT necesita contratar a intérpretes y redactores de actas resumidas con tres meses de antelación a la Conferencia, es decir, en agosto si se mantienen las fechas actuales.</w:t>
            </w:r>
          </w:p>
        </w:tc>
        <w:tc>
          <w:tcPr>
            <w:tcW w:w="70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7B666E03" w14:textId="77777777"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p>
        </w:tc>
      </w:tr>
      <w:tr w:rsidR="00761AE2" w:rsidRPr="000F6D86" w14:paraId="261E0C92" w14:textId="77777777" w:rsidTr="002E4F07">
        <w:trPr>
          <w:jc w:val="center"/>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F2F2F2" w:themeFill="background1" w:themeFillShade="F2"/>
            <w:hideMark/>
          </w:tcPr>
          <w:p w14:paraId="02FFB060" w14:textId="581CA2DB" w:rsidR="00761AE2" w:rsidRPr="00761AE2" w:rsidRDefault="00761AE2" w:rsidP="002E4F07">
            <w:pPr>
              <w:pStyle w:val="Tabletext"/>
              <w:keepNext/>
              <w:keepLines/>
              <w:rPr>
                <w:lang w:val="es-ES"/>
              </w:rPr>
            </w:pPr>
            <w:r w:rsidRPr="00761AE2">
              <w:rPr>
                <w:lang w:val="es-ES"/>
              </w:rPr>
              <w:lastRenderedPageBreak/>
              <w:t>Consideraciones financieras en caso de traslado de la</w:t>
            </w:r>
            <w:r w:rsidR="00B72D72">
              <w:rPr>
                <w:lang w:val="es-ES"/>
              </w:rPr>
              <w:t> </w:t>
            </w:r>
            <w:r w:rsidRPr="00761AE2">
              <w:rPr>
                <w:lang w:val="es-ES"/>
              </w:rPr>
              <w:t>PP a Ginebra</w:t>
            </w:r>
          </w:p>
        </w:tc>
      </w:tr>
      <w:tr w:rsidR="00761AE2" w:rsidRPr="000F6D86" w14:paraId="29495A23" w14:textId="77777777" w:rsidTr="002E4F07">
        <w:trPr>
          <w:jc w:val="center"/>
        </w:trPr>
        <w:tc>
          <w:tcPr>
            <w:cnfStyle w:val="001000000000" w:firstRow="0" w:lastRow="0" w:firstColumn="1" w:lastColumn="0" w:oddVBand="0" w:evenVBand="0" w:oddHBand="0" w:evenHBand="0" w:firstRowFirstColumn="0" w:firstRowLastColumn="0" w:lastRowFirstColumn="0" w:lastRowLastColumn="0"/>
            <w:tcW w:w="112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E126778" w14:textId="1D5510C7" w:rsidR="00761AE2" w:rsidRPr="00761AE2" w:rsidRDefault="00761AE2" w:rsidP="002E4F07">
            <w:pPr>
              <w:pStyle w:val="Tabletext"/>
              <w:rPr>
                <w:lang w:val="es-ES"/>
              </w:rPr>
            </w:pPr>
            <w:r w:rsidRPr="00761AE2">
              <w:rPr>
                <w:lang w:val="es-ES"/>
              </w:rPr>
              <w:t>Presupuesto aprobado en el presupuesto ordinario de</w:t>
            </w:r>
            <w:r w:rsidR="00B72D72">
              <w:rPr>
                <w:lang w:val="es-ES"/>
              </w:rPr>
              <w:t> </w:t>
            </w:r>
            <w:r w:rsidRPr="00761AE2">
              <w:rPr>
                <w:lang w:val="es-ES"/>
              </w:rPr>
              <w:t xml:space="preserve">2026 </w:t>
            </w:r>
            <w:r w:rsidR="00B72D72">
              <w:rPr>
                <w:lang w:val="es-ES"/>
              </w:rPr>
              <w:br/>
            </w:r>
            <w:r w:rsidRPr="00761AE2">
              <w:rPr>
                <w:lang w:val="es-ES"/>
              </w:rPr>
              <w:t>(Resolución</w:t>
            </w:r>
            <w:r w:rsidR="009274D6">
              <w:rPr>
                <w:lang w:val="es-ES"/>
              </w:rPr>
              <w:t> </w:t>
            </w:r>
            <w:r w:rsidRPr="00761AE2">
              <w:rPr>
                <w:lang w:val="es-ES"/>
              </w:rPr>
              <w:t>1435 del Consejo)</w:t>
            </w:r>
          </w:p>
        </w:tc>
        <w:tc>
          <w:tcPr>
            <w:tcW w:w="3172"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318247D" w14:textId="77777777"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r w:rsidRPr="00761AE2">
              <w:rPr>
                <w:lang w:val="es-ES"/>
              </w:rPr>
              <w:t xml:space="preserve">Costo directo: </w:t>
            </w:r>
            <w:r w:rsidRPr="00761AE2">
              <w:rPr>
                <w:b/>
                <w:bCs/>
                <w:lang w:val="es-ES"/>
              </w:rPr>
              <w:t>1 069 000,00 CHF</w:t>
            </w:r>
          </w:p>
          <w:p w14:paraId="203C843D" w14:textId="77777777"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r w:rsidRPr="00761AE2">
              <w:rPr>
                <w:lang w:val="es-ES"/>
              </w:rPr>
              <w:t xml:space="preserve">Costos indirectos (tratamiento de textos, documentación): </w:t>
            </w:r>
            <w:r w:rsidRPr="00761AE2">
              <w:rPr>
                <w:b/>
                <w:bCs/>
                <w:lang w:val="es-ES"/>
              </w:rPr>
              <w:t>2 845 000,00 CHF</w:t>
            </w:r>
          </w:p>
        </w:tc>
        <w:tc>
          <w:tcPr>
            <w:tcW w:w="70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4CA9CDCF" w14:textId="77777777"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p>
        </w:tc>
      </w:tr>
      <w:tr w:rsidR="00761AE2" w:rsidRPr="00761AE2" w14:paraId="49F5C5AE" w14:textId="77777777" w:rsidTr="002E4F07">
        <w:trPr>
          <w:jc w:val="center"/>
        </w:trPr>
        <w:tc>
          <w:tcPr>
            <w:cnfStyle w:val="001000000000" w:firstRow="0" w:lastRow="0" w:firstColumn="1" w:lastColumn="0" w:oddVBand="0" w:evenVBand="0" w:oddHBand="0" w:evenHBand="0" w:firstRowFirstColumn="0" w:firstRowLastColumn="0" w:lastRowFirstColumn="0" w:lastRowLastColumn="0"/>
            <w:tcW w:w="112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E13C5AE" w14:textId="77777777" w:rsidR="00761AE2" w:rsidRPr="00761AE2" w:rsidRDefault="00761AE2" w:rsidP="002E4F07">
            <w:pPr>
              <w:pStyle w:val="Tabletext"/>
              <w:rPr>
                <w:lang w:val="es-ES"/>
              </w:rPr>
            </w:pPr>
            <w:r w:rsidRPr="00761AE2">
              <w:rPr>
                <w:lang w:val="es-ES"/>
              </w:rPr>
              <w:t>Costo adicional de organizar una PP en Ginebra</w:t>
            </w:r>
          </w:p>
        </w:tc>
        <w:tc>
          <w:tcPr>
            <w:tcW w:w="3172"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793A3AA" w14:textId="77777777"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b/>
                <w:bCs/>
                <w:lang w:val="es-ES"/>
              </w:rPr>
            </w:pPr>
            <w:r w:rsidRPr="00761AE2">
              <w:rPr>
                <w:lang w:val="es-ES"/>
              </w:rPr>
              <w:t xml:space="preserve">Los costos adicionales se estiman en </w:t>
            </w:r>
            <w:r w:rsidRPr="00761AE2">
              <w:rPr>
                <w:b/>
                <w:bCs/>
                <w:lang w:val="es-ES"/>
              </w:rPr>
              <w:t>1 510 000 CHF, a saber:</w:t>
            </w:r>
          </w:p>
          <w:p w14:paraId="55FA898C" w14:textId="22A2921B" w:rsidR="00761AE2" w:rsidRPr="00761AE2" w:rsidRDefault="009A3919" w:rsidP="002E4F07">
            <w:pPr>
              <w:pStyle w:val="Tabletext"/>
              <w:tabs>
                <w:tab w:val="right" w:pos="5250"/>
              </w:tabs>
              <w:cnfStyle w:val="000000000000" w:firstRow="0" w:lastRow="0" w:firstColumn="0" w:lastColumn="0" w:oddVBand="0" w:evenVBand="0" w:oddHBand="0" w:evenHBand="0" w:firstRowFirstColumn="0" w:firstRowLastColumn="0" w:lastRowFirstColumn="0" w:lastRowLastColumn="0"/>
              <w:rPr>
                <w:lang w:val="es-ES"/>
              </w:rPr>
            </w:pPr>
            <w:r w:rsidRPr="009A3919">
              <w:rPr>
                <w:lang w:val="es-ES"/>
              </w:rPr>
              <w:t>•</w:t>
            </w:r>
            <w:r>
              <w:rPr>
                <w:lang w:val="es-ES"/>
              </w:rPr>
              <w:tab/>
            </w:r>
            <w:r w:rsidR="00761AE2" w:rsidRPr="00761AE2">
              <w:rPr>
                <w:lang w:val="es-ES"/>
              </w:rPr>
              <w:t>TI y audiovisuales</w:t>
            </w:r>
            <w:r w:rsidR="00761AE2" w:rsidRPr="00761AE2">
              <w:rPr>
                <w:lang w:val="es-ES"/>
              </w:rPr>
              <w:tab/>
              <w:t>725 000,00</w:t>
            </w:r>
          </w:p>
          <w:p w14:paraId="077BA311" w14:textId="67474EEB" w:rsidR="00761AE2" w:rsidRPr="00761AE2" w:rsidRDefault="009A3919" w:rsidP="002E4F07">
            <w:pPr>
              <w:pStyle w:val="Tabletext"/>
              <w:tabs>
                <w:tab w:val="right" w:pos="5250"/>
              </w:tabs>
              <w:cnfStyle w:val="000000000000" w:firstRow="0" w:lastRow="0" w:firstColumn="0" w:lastColumn="0" w:oddVBand="0" w:evenVBand="0" w:oddHBand="0" w:evenHBand="0" w:firstRowFirstColumn="0" w:firstRowLastColumn="0" w:lastRowFirstColumn="0" w:lastRowLastColumn="0"/>
              <w:rPr>
                <w:lang w:val="es-ES"/>
              </w:rPr>
            </w:pPr>
            <w:r w:rsidRPr="009A3919">
              <w:rPr>
                <w:lang w:val="es-ES"/>
              </w:rPr>
              <w:t>•</w:t>
            </w:r>
            <w:r>
              <w:rPr>
                <w:lang w:val="es-ES"/>
              </w:rPr>
              <w:tab/>
            </w:r>
            <w:r w:rsidR="00761AE2" w:rsidRPr="00761AE2">
              <w:rPr>
                <w:lang w:val="es-ES"/>
              </w:rPr>
              <w:t>Alquiler de local, logística, ujieres</w:t>
            </w:r>
            <w:r w:rsidR="00761AE2" w:rsidRPr="00761AE2">
              <w:rPr>
                <w:lang w:val="es-ES"/>
              </w:rPr>
              <w:tab/>
              <w:t>275 000,00</w:t>
            </w:r>
          </w:p>
          <w:p w14:paraId="2D2B8989" w14:textId="0D8BFE4F" w:rsidR="00761AE2" w:rsidRPr="00761AE2" w:rsidRDefault="009A3919" w:rsidP="002E4F07">
            <w:pPr>
              <w:pStyle w:val="Tabletext"/>
              <w:tabs>
                <w:tab w:val="right" w:pos="5250"/>
              </w:tabs>
              <w:cnfStyle w:val="000000000000" w:firstRow="0" w:lastRow="0" w:firstColumn="0" w:lastColumn="0" w:oddVBand="0" w:evenVBand="0" w:oddHBand="0" w:evenHBand="0" w:firstRowFirstColumn="0" w:firstRowLastColumn="0" w:lastRowFirstColumn="0" w:lastRowLastColumn="0"/>
              <w:rPr>
                <w:lang w:val="es-ES"/>
              </w:rPr>
            </w:pPr>
            <w:r w:rsidRPr="009A3919">
              <w:rPr>
                <w:lang w:val="es-ES"/>
              </w:rPr>
              <w:t>•</w:t>
            </w:r>
            <w:r>
              <w:rPr>
                <w:lang w:val="es-ES"/>
              </w:rPr>
              <w:tab/>
            </w:r>
            <w:r w:rsidR="00761AE2" w:rsidRPr="00761AE2">
              <w:rPr>
                <w:lang w:val="es-ES"/>
              </w:rPr>
              <w:t>Seguridad</w:t>
            </w:r>
            <w:r w:rsidR="00761AE2" w:rsidRPr="00761AE2">
              <w:rPr>
                <w:lang w:val="es-ES"/>
              </w:rPr>
              <w:tab/>
              <w:t>386 000,00</w:t>
            </w:r>
          </w:p>
          <w:p w14:paraId="7A4815BF" w14:textId="4EA7C5AF" w:rsidR="00761AE2" w:rsidRPr="00761AE2" w:rsidRDefault="009A3919" w:rsidP="002E4F07">
            <w:pPr>
              <w:pStyle w:val="Tabletext"/>
              <w:tabs>
                <w:tab w:val="right" w:pos="5250"/>
              </w:tabs>
              <w:cnfStyle w:val="000000000000" w:firstRow="0" w:lastRow="0" w:firstColumn="0" w:lastColumn="0" w:oddVBand="0" w:evenVBand="0" w:oddHBand="0" w:evenHBand="0" w:firstRowFirstColumn="0" w:firstRowLastColumn="0" w:lastRowFirstColumn="0" w:lastRowLastColumn="0"/>
              <w:rPr>
                <w:lang w:val="es-ES"/>
              </w:rPr>
            </w:pPr>
            <w:r w:rsidRPr="009A3919">
              <w:rPr>
                <w:lang w:val="es-ES"/>
              </w:rPr>
              <w:t>•</w:t>
            </w:r>
            <w:r>
              <w:rPr>
                <w:lang w:val="es-ES"/>
              </w:rPr>
              <w:tab/>
            </w:r>
            <w:r w:rsidR="00761AE2" w:rsidRPr="00761AE2">
              <w:rPr>
                <w:lang w:val="es-ES"/>
              </w:rPr>
              <w:t>Inscripción y acreditación</w:t>
            </w:r>
            <w:r w:rsidR="00761AE2" w:rsidRPr="00761AE2">
              <w:rPr>
                <w:lang w:val="es-ES"/>
              </w:rPr>
              <w:tab/>
              <w:t>36 000,00</w:t>
            </w:r>
          </w:p>
          <w:p w14:paraId="3A773D71" w14:textId="1557B221" w:rsidR="00761AE2" w:rsidRPr="00761AE2" w:rsidRDefault="009A3919" w:rsidP="002E4F07">
            <w:pPr>
              <w:pStyle w:val="Tabletext"/>
              <w:tabs>
                <w:tab w:val="right" w:pos="5250"/>
              </w:tabs>
              <w:cnfStyle w:val="000000000000" w:firstRow="0" w:lastRow="0" w:firstColumn="0" w:lastColumn="0" w:oddVBand="0" w:evenVBand="0" w:oddHBand="0" w:evenHBand="0" w:firstRowFirstColumn="0" w:firstRowLastColumn="0" w:lastRowFirstColumn="0" w:lastRowLastColumn="0"/>
              <w:rPr>
                <w:lang w:val="es-ES"/>
              </w:rPr>
            </w:pPr>
            <w:r w:rsidRPr="009A3919">
              <w:rPr>
                <w:lang w:val="es-ES"/>
              </w:rPr>
              <w:t>•</w:t>
            </w:r>
            <w:r>
              <w:rPr>
                <w:lang w:val="es-ES"/>
              </w:rPr>
              <w:tab/>
            </w:r>
            <w:r w:rsidR="00761AE2" w:rsidRPr="00761AE2">
              <w:rPr>
                <w:lang w:val="es-ES"/>
              </w:rPr>
              <w:t>Comunicaciones</w:t>
            </w:r>
            <w:r w:rsidR="00761AE2" w:rsidRPr="00761AE2">
              <w:rPr>
                <w:lang w:val="es-ES"/>
              </w:rPr>
              <w:tab/>
              <w:t>68 000,00</w:t>
            </w:r>
          </w:p>
          <w:p w14:paraId="0B7CF80A" w14:textId="60595083" w:rsidR="00761AE2" w:rsidRPr="00761AE2" w:rsidRDefault="009A3919" w:rsidP="002E4F07">
            <w:pPr>
              <w:pStyle w:val="Tabletext"/>
              <w:tabs>
                <w:tab w:val="right" w:pos="5250"/>
              </w:tabs>
              <w:cnfStyle w:val="000000000000" w:firstRow="0" w:lastRow="0" w:firstColumn="0" w:lastColumn="0" w:oddVBand="0" w:evenVBand="0" w:oddHBand="0" w:evenHBand="0" w:firstRowFirstColumn="0" w:firstRowLastColumn="0" w:lastRowFirstColumn="0" w:lastRowLastColumn="0"/>
              <w:rPr>
                <w:lang w:val="es-ES"/>
              </w:rPr>
            </w:pPr>
            <w:r w:rsidRPr="009A3919">
              <w:rPr>
                <w:lang w:val="es-ES"/>
              </w:rPr>
              <w:t>•</w:t>
            </w:r>
            <w:r>
              <w:rPr>
                <w:lang w:val="es-ES"/>
              </w:rPr>
              <w:tab/>
            </w:r>
            <w:r w:rsidR="00761AE2" w:rsidRPr="00761AE2">
              <w:rPr>
                <w:lang w:val="es-ES"/>
              </w:rPr>
              <w:t>Protocolo</w:t>
            </w:r>
            <w:r w:rsidR="00761AE2" w:rsidRPr="00761AE2">
              <w:rPr>
                <w:lang w:val="es-ES"/>
              </w:rPr>
              <w:tab/>
              <w:t>20 000,00</w:t>
            </w:r>
          </w:p>
          <w:p w14:paraId="54443EE5" w14:textId="104196C8" w:rsidR="00761AE2" w:rsidRPr="00761AE2" w:rsidRDefault="00761AE2" w:rsidP="002E4F07">
            <w:pPr>
              <w:pStyle w:val="Tabletext"/>
              <w:tabs>
                <w:tab w:val="clear" w:pos="284"/>
                <w:tab w:val="clear" w:pos="567"/>
                <w:tab w:val="clear" w:pos="851"/>
                <w:tab w:val="left" w:pos="3408"/>
                <w:tab w:val="right" w:pos="5250"/>
              </w:tabs>
              <w:cnfStyle w:val="000000000000" w:firstRow="0" w:lastRow="0" w:firstColumn="0" w:lastColumn="0" w:oddVBand="0" w:evenVBand="0" w:oddHBand="0" w:evenHBand="0" w:firstRowFirstColumn="0" w:firstRowLastColumn="0" w:lastRowFirstColumn="0" w:lastRowLastColumn="0"/>
              <w:rPr>
                <w:lang w:val="es-ES"/>
              </w:rPr>
            </w:pPr>
            <w:r w:rsidRPr="00761AE2">
              <w:rPr>
                <w:lang w:val="es-ES"/>
              </w:rPr>
              <w:tab/>
              <w:t>Total</w:t>
            </w:r>
            <w:r w:rsidRPr="00761AE2">
              <w:rPr>
                <w:lang w:val="es-ES"/>
              </w:rPr>
              <w:tab/>
              <w:t>1 510 000,00</w:t>
            </w:r>
          </w:p>
        </w:tc>
        <w:tc>
          <w:tcPr>
            <w:tcW w:w="70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592DB7EC" w14:textId="77777777"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p>
        </w:tc>
      </w:tr>
      <w:tr w:rsidR="00761AE2" w:rsidRPr="000F6D86" w14:paraId="09F34FFE" w14:textId="77777777" w:rsidTr="002E4F07">
        <w:trPr>
          <w:jc w:val="center"/>
        </w:trPr>
        <w:tc>
          <w:tcPr>
            <w:cnfStyle w:val="001000000000" w:firstRow="0" w:lastRow="0" w:firstColumn="1" w:lastColumn="0" w:oddVBand="0" w:evenVBand="0" w:oddHBand="0" w:evenHBand="0" w:firstRowFirstColumn="0" w:firstRowLastColumn="0" w:lastRowFirstColumn="0" w:lastRowLastColumn="0"/>
            <w:tcW w:w="112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4AD8218" w14:textId="7320F461" w:rsidR="00761AE2" w:rsidRPr="00761AE2" w:rsidRDefault="00761AE2" w:rsidP="002E4F07">
            <w:pPr>
              <w:pStyle w:val="Tabletext"/>
              <w:rPr>
                <w:lang w:val="es-ES"/>
              </w:rPr>
            </w:pPr>
            <w:r w:rsidRPr="00761AE2">
              <w:rPr>
                <w:lang w:val="es-ES"/>
              </w:rPr>
              <w:t>Gastos de cancelación del</w:t>
            </w:r>
            <w:r w:rsidR="00AE1A4E">
              <w:rPr>
                <w:lang w:val="es-ES"/>
              </w:rPr>
              <w:t> </w:t>
            </w:r>
            <w:r w:rsidRPr="00761AE2">
              <w:rPr>
                <w:lang w:val="es-ES"/>
              </w:rPr>
              <w:t>CICG</w:t>
            </w:r>
          </w:p>
        </w:tc>
        <w:tc>
          <w:tcPr>
            <w:tcW w:w="3172"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F64C369" w14:textId="77777777"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r w:rsidRPr="00761AE2">
              <w:rPr>
                <w:lang w:val="es-ES"/>
              </w:rPr>
              <w:t xml:space="preserve">Los costos de alquiler se han reducido. No obstante, los descuentos no son aplicables a los gastos de cancelación. Así pues, si se firmase un contrato para alquilar el lugar de celebración, los gastos de cancelación correspondientes serían los siguientes: </w:t>
            </w:r>
          </w:p>
          <w:p w14:paraId="17A9742E" w14:textId="41B4EBEA" w:rsidR="00761AE2" w:rsidRPr="00761AE2" w:rsidRDefault="009A3919" w:rsidP="002E4F07">
            <w:pPr>
              <w:pStyle w:val="Tabletext"/>
              <w:ind w:left="284" w:hanging="284"/>
              <w:cnfStyle w:val="000000000000" w:firstRow="0" w:lastRow="0" w:firstColumn="0" w:lastColumn="0" w:oddVBand="0" w:evenVBand="0" w:oddHBand="0" w:evenHBand="0" w:firstRowFirstColumn="0" w:firstRowLastColumn="0" w:lastRowFirstColumn="0" w:lastRowLastColumn="0"/>
              <w:rPr>
                <w:lang w:val="es-ES"/>
              </w:rPr>
            </w:pPr>
            <w:r>
              <w:rPr>
                <w:lang w:val="es-ES"/>
              </w:rPr>
              <w:t>1</w:t>
            </w:r>
            <w:r>
              <w:rPr>
                <w:lang w:val="es-ES"/>
              </w:rPr>
              <w:tab/>
            </w:r>
            <w:r w:rsidR="00761AE2" w:rsidRPr="00761AE2">
              <w:rPr>
                <w:lang w:val="es-ES"/>
              </w:rPr>
              <w:t>50 por ciento del costo total de alquiler si la cancelación se produce entre 3 y 6</w:t>
            </w:r>
            <w:r w:rsidR="00B72D72">
              <w:rPr>
                <w:lang w:val="es-ES"/>
              </w:rPr>
              <w:t> </w:t>
            </w:r>
            <w:r w:rsidR="00761AE2" w:rsidRPr="00761AE2">
              <w:rPr>
                <w:lang w:val="es-ES"/>
              </w:rPr>
              <w:t>meses antes del evento (</w:t>
            </w:r>
            <w:r w:rsidR="00761AE2" w:rsidRPr="00761AE2">
              <w:rPr>
                <w:b/>
                <w:bCs/>
                <w:i/>
                <w:iCs/>
                <w:lang w:val="es-ES"/>
              </w:rPr>
              <w:t>501 975,00 CHF</w:t>
            </w:r>
            <w:r w:rsidR="00761AE2" w:rsidRPr="00761AE2">
              <w:rPr>
                <w:i/>
                <w:iCs/>
                <w:lang w:val="es-ES"/>
              </w:rPr>
              <w:t>)</w:t>
            </w:r>
            <w:r w:rsidR="00761AE2" w:rsidRPr="00761AE2">
              <w:rPr>
                <w:lang w:val="es-ES"/>
              </w:rPr>
              <w:t>.</w:t>
            </w:r>
          </w:p>
          <w:p w14:paraId="5ADAC4CD" w14:textId="54CB383D" w:rsidR="00761AE2" w:rsidRPr="00761AE2" w:rsidRDefault="009A3919" w:rsidP="002E4F07">
            <w:pPr>
              <w:pStyle w:val="Tabletext"/>
              <w:ind w:left="284" w:hanging="284"/>
              <w:cnfStyle w:val="000000000000" w:firstRow="0" w:lastRow="0" w:firstColumn="0" w:lastColumn="0" w:oddVBand="0" w:evenVBand="0" w:oddHBand="0" w:evenHBand="0" w:firstRowFirstColumn="0" w:firstRowLastColumn="0" w:lastRowFirstColumn="0" w:lastRowLastColumn="0"/>
              <w:rPr>
                <w:lang w:val="es-ES"/>
              </w:rPr>
            </w:pPr>
            <w:r>
              <w:rPr>
                <w:lang w:val="es-ES"/>
              </w:rPr>
              <w:t>2</w:t>
            </w:r>
            <w:r>
              <w:rPr>
                <w:lang w:val="es-ES"/>
              </w:rPr>
              <w:tab/>
            </w:r>
            <w:r w:rsidR="00761AE2" w:rsidRPr="00761AE2">
              <w:rPr>
                <w:lang w:val="es-ES"/>
              </w:rPr>
              <w:t>100 por ciento del costo total de alquiler si la cancelación se produce en los 3</w:t>
            </w:r>
            <w:r w:rsidR="00B72D72">
              <w:rPr>
                <w:lang w:val="es-ES"/>
              </w:rPr>
              <w:t> </w:t>
            </w:r>
            <w:r w:rsidR="00761AE2" w:rsidRPr="00761AE2">
              <w:rPr>
                <w:lang w:val="es-ES"/>
              </w:rPr>
              <w:t>meses anteriores al evento (</w:t>
            </w:r>
            <w:r w:rsidR="00761AE2" w:rsidRPr="00761AE2">
              <w:rPr>
                <w:b/>
                <w:bCs/>
                <w:i/>
                <w:iCs/>
                <w:lang w:val="es-ES"/>
              </w:rPr>
              <w:t>1 003 950,00 CHF</w:t>
            </w:r>
            <w:r w:rsidR="00761AE2" w:rsidRPr="00761AE2">
              <w:rPr>
                <w:i/>
                <w:iCs/>
                <w:lang w:val="es-ES"/>
              </w:rPr>
              <w:t>)</w:t>
            </w:r>
            <w:r w:rsidR="00761AE2" w:rsidRPr="00761AE2">
              <w:rPr>
                <w:lang w:val="es-ES"/>
              </w:rPr>
              <w:t>.</w:t>
            </w:r>
          </w:p>
        </w:tc>
        <w:tc>
          <w:tcPr>
            <w:tcW w:w="70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15BCE03D" w14:textId="77777777"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p>
        </w:tc>
      </w:tr>
      <w:tr w:rsidR="00761AE2" w:rsidRPr="000F6D86" w14:paraId="4DFF1B80" w14:textId="77777777" w:rsidTr="002E4F07">
        <w:trPr>
          <w:jc w:val="center"/>
        </w:trPr>
        <w:tc>
          <w:tcPr>
            <w:cnfStyle w:val="001000000000" w:firstRow="0" w:lastRow="0" w:firstColumn="1" w:lastColumn="0" w:oddVBand="0" w:evenVBand="0" w:oddHBand="0" w:evenHBand="0" w:firstRowFirstColumn="0" w:firstRowLastColumn="0" w:lastRowFirstColumn="0" w:lastRowLastColumn="0"/>
            <w:tcW w:w="112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6506FDB" w14:textId="77777777" w:rsidR="00761AE2" w:rsidRPr="00761AE2" w:rsidRDefault="00761AE2" w:rsidP="002E4F07">
            <w:pPr>
              <w:pStyle w:val="Tabletext"/>
              <w:rPr>
                <w:lang w:val="es-ES"/>
              </w:rPr>
            </w:pPr>
            <w:r w:rsidRPr="00761AE2">
              <w:rPr>
                <w:lang w:val="es-ES"/>
              </w:rPr>
              <w:t>Repercusiones financieras generales</w:t>
            </w:r>
          </w:p>
        </w:tc>
        <w:tc>
          <w:tcPr>
            <w:tcW w:w="3172"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6E00151" w14:textId="4E1E7051"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r w:rsidRPr="00761AE2">
              <w:rPr>
                <w:lang w:val="es-ES"/>
              </w:rPr>
              <w:t>El presupuesto de la</w:t>
            </w:r>
            <w:r w:rsidR="00B72D72">
              <w:rPr>
                <w:lang w:val="es-ES"/>
              </w:rPr>
              <w:t> </w:t>
            </w:r>
            <w:r w:rsidRPr="00761AE2">
              <w:rPr>
                <w:lang w:val="es-ES"/>
              </w:rPr>
              <w:t>PP aprobado para 2026 podrá prorrogarse a 2027.</w:t>
            </w:r>
          </w:p>
          <w:p w14:paraId="3A9F7BAF" w14:textId="77777777" w:rsidR="00761AE2" w:rsidRPr="00761AE2" w:rsidRDefault="00761AE2" w:rsidP="00665381">
            <w:pPr>
              <w:pStyle w:val="Tabletext"/>
              <w:cnfStyle w:val="000000000000" w:firstRow="0" w:lastRow="0" w:firstColumn="0" w:lastColumn="0" w:oddVBand="0" w:evenVBand="0" w:oddHBand="0" w:evenHBand="0" w:firstRowFirstColumn="0" w:firstRowLastColumn="0" w:lastRowFirstColumn="0" w:lastRowLastColumn="0"/>
              <w:rPr>
                <w:lang w:val="es-ES"/>
              </w:rPr>
            </w:pPr>
            <w:r w:rsidRPr="00761AE2">
              <w:rPr>
                <w:lang w:val="es-ES"/>
              </w:rPr>
              <w:t>Con la autorización del Consejo, podría utilizarse la Cuenta de Provisión para sufragar el gasto adicional de 1 510 000 CHF en caso de que no haya contribuciones voluntarias que compensen dicho importe adicional. El nivel actual de la Cuenta de Provisión es suficiente para sufragar este gasto.</w:t>
            </w:r>
          </w:p>
        </w:tc>
        <w:tc>
          <w:tcPr>
            <w:tcW w:w="70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358BAB3" w14:textId="75BAB555" w:rsidR="00761AE2" w:rsidRPr="00761AE2" w:rsidRDefault="00761AE2" w:rsidP="002E4F07">
            <w:pPr>
              <w:pStyle w:val="Tabletext"/>
              <w:cnfStyle w:val="000000000000" w:firstRow="0" w:lastRow="0" w:firstColumn="0" w:lastColumn="0" w:oddVBand="0" w:evenVBand="0" w:oddHBand="0" w:evenHBand="0" w:firstRowFirstColumn="0" w:firstRowLastColumn="0" w:lastRowFirstColumn="0" w:lastRowLastColumn="0"/>
              <w:rPr>
                <w:lang w:val="es-ES"/>
              </w:rPr>
            </w:pPr>
            <w:r w:rsidRPr="00761AE2">
              <w:rPr>
                <w:lang w:val="es-ES"/>
              </w:rPr>
              <w:t>Reglamento Financiero y Reglas Financieras, número</w:t>
            </w:r>
            <w:r w:rsidR="00AE1A4E">
              <w:rPr>
                <w:lang w:val="es-ES"/>
              </w:rPr>
              <w:t> </w:t>
            </w:r>
            <w:r w:rsidRPr="00761AE2">
              <w:rPr>
                <w:lang w:val="es-ES"/>
              </w:rPr>
              <w:t>12.4</w:t>
            </w:r>
            <w:r w:rsidR="00AE1A4E">
              <w:rPr>
                <w:lang w:val="es-ES"/>
              </w:rPr>
              <w:t> </w:t>
            </w:r>
            <w:r w:rsidRPr="00761AE2">
              <w:rPr>
                <w:lang w:val="es-ES"/>
              </w:rPr>
              <w:t>a)</w:t>
            </w:r>
          </w:p>
        </w:tc>
      </w:tr>
    </w:tbl>
    <w:p w14:paraId="1AD34CEB" w14:textId="77777777" w:rsidR="00761AE2" w:rsidRPr="00761AE2" w:rsidRDefault="00761AE2" w:rsidP="00761AE2">
      <w:pPr>
        <w:rPr>
          <w:lang w:val="es-ES"/>
        </w:rPr>
      </w:pPr>
    </w:p>
    <w:p w14:paraId="1E86F8DF" w14:textId="77777777" w:rsidR="00761AE2" w:rsidRDefault="00761AE2" w:rsidP="00761AE2">
      <w:pPr>
        <w:rPr>
          <w:lang w:val="es-ES"/>
        </w:rPr>
        <w:sectPr w:rsidR="00761AE2" w:rsidSect="00761AE2">
          <w:footerReference w:type="default" r:id="rId30"/>
          <w:headerReference w:type="first" r:id="rId31"/>
          <w:footerReference w:type="first" r:id="rId32"/>
          <w:pgSz w:w="16834" w:h="11907" w:orient="landscape"/>
          <w:pgMar w:top="1418" w:right="1418" w:bottom="1418" w:left="1418" w:header="720" w:footer="720" w:gutter="0"/>
          <w:paperSrc w:first="286" w:other="286"/>
          <w:cols w:space="720"/>
          <w:titlePg/>
          <w:docGrid w:linePitch="326"/>
        </w:sectPr>
      </w:pPr>
    </w:p>
    <w:p w14:paraId="70955FF9" w14:textId="16CB691B" w:rsidR="00761AE2" w:rsidRPr="00761AE2" w:rsidRDefault="00761AE2" w:rsidP="00761AE2">
      <w:pPr>
        <w:pStyle w:val="Heading1"/>
        <w:rPr>
          <w:lang w:val="es-ES"/>
        </w:rPr>
      </w:pPr>
      <w:r>
        <w:rPr>
          <w:lang w:val="es-ES"/>
        </w:rPr>
        <w:lastRenderedPageBreak/>
        <w:t>5</w:t>
      </w:r>
      <w:r>
        <w:rPr>
          <w:lang w:val="es-ES"/>
        </w:rPr>
        <w:tab/>
      </w:r>
      <w:r w:rsidRPr="00761AE2">
        <w:rPr>
          <w:lang w:val="es-ES"/>
        </w:rPr>
        <w:t>Acciones solicitadas al Consejo</w:t>
      </w:r>
    </w:p>
    <w:p w14:paraId="2D8FC0EE" w14:textId="544DFB33" w:rsidR="00761AE2" w:rsidRPr="00761AE2" w:rsidRDefault="00761AE2" w:rsidP="00665381">
      <w:pPr>
        <w:jc w:val="both"/>
        <w:rPr>
          <w:lang w:val="es-ES"/>
        </w:rPr>
      </w:pPr>
      <w:r w:rsidRPr="00761AE2">
        <w:rPr>
          <w:lang w:val="es-ES"/>
        </w:rPr>
        <w:t>Se invita al Consejo a considerar si la Conferencia de Plenipotenciarios de</w:t>
      </w:r>
      <w:r w:rsidR="00B72D72">
        <w:rPr>
          <w:lang w:val="es-ES"/>
        </w:rPr>
        <w:t> </w:t>
      </w:r>
      <w:r w:rsidRPr="00761AE2">
        <w:rPr>
          <w:lang w:val="es-ES"/>
        </w:rPr>
        <w:t>2026 debería celebrarse en Doha (Qatar) según lo previsto actualmente. En concreto:</w:t>
      </w:r>
    </w:p>
    <w:p w14:paraId="7EE92C78" w14:textId="62092C31" w:rsidR="00761AE2" w:rsidRPr="00761AE2" w:rsidRDefault="00761AE2" w:rsidP="00761AE2">
      <w:pPr>
        <w:pStyle w:val="Headingb"/>
        <w:rPr>
          <w:lang w:val="es-ES"/>
        </w:rPr>
      </w:pPr>
      <w:r>
        <w:rPr>
          <w:lang w:val="es-ES"/>
        </w:rPr>
        <w:t>A)</w:t>
      </w:r>
      <w:r>
        <w:rPr>
          <w:lang w:val="es-ES"/>
        </w:rPr>
        <w:tab/>
      </w:r>
      <w:r w:rsidRPr="00761AE2">
        <w:rPr>
          <w:lang w:val="es-ES"/>
        </w:rPr>
        <w:t>Si el Consejo decide mantener la</w:t>
      </w:r>
      <w:r w:rsidR="00B72D72">
        <w:rPr>
          <w:lang w:val="es-ES"/>
        </w:rPr>
        <w:t> </w:t>
      </w:r>
      <w:r w:rsidRPr="00761AE2">
        <w:rPr>
          <w:lang w:val="es-ES"/>
        </w:rPr>
        <w:t>PP-26 en Doha según lo previsto</w:t>
      </w:r>
    </w:p>
    <w:p w14:paraId="525BF8C5" w14:textId="148BE197" w:rsidR="00761AE2" w:rsidRPr="00761AE2" w:rsidRDefault="00761AE2" w:rsidP="00665381">
      <w:pPr>
        <w:jc w:val="both"/>
        <w:rPr>
          <w:lang w:val="es-ES"/>
        </w:rPr>
      </w:pPr>
      <w:r w:rsidRPr="00761AE2">
        <w:rPr>
          <w:lang w:val="es-ES"/>
        </w:rPr>
        <w:t>Se invita al Consejo a:</w:t>
      </w:r>
    </w:p>
    <w:p w14:paraId="2D637D1A" w14:textId="6A8591F7" w:rsidR="00761AE2" w:rsidRPr="00761AE2" w:rsidRDefault="00761AE2" w:rsidP="00665381">
      <w:pPr>
        <w:pStyle w:val="enumlev1"/>
        <w:jc w:val="both"/>
        <w:rPr>
          <w:lang w:val="es-ES"/>
        </w:rPr>
      </w:pPr>
      <w:r w:rsidRPr="00761AE2">
        <w:rPr>
          <w:lang w:val="es-ES"/>
        </w:rPr>
        <w:t>–</w:t>
      </w:r>
      <w:r>
        <w:rPr>
          <w:lang w:val="es-ES"/>
        </w:rPr>
        <w:tab/>
      </w:r>
      <w:r w:rsidRPr="00761AE2">
        <w:rPr>
          <w:lang w:val="es-ES"/>
        </w:rPr>
        <w:t>Encargar a la Secretaría que siga adelante con los preparativos de la Conferencia de Plenipotenciarios, que tendría lugar en Doha (Qatar) del lunes 9 de noviembre al viernes 27 de noviembre de</w:t>
      </w:r>
      <w:r w:rsidR="00B72D72">
        <w:rPr>
          <w:lang w:val="es-ES"/>
        </w:rPr>
        <w:t> </w:t>
      </w:r>
      <w:r w:rsidRPr="00761AE2">
        <w:rPr>
          <w:lang w:val="es-ES"/>
        </w:rPr>
        <w:t>2026.</w:t>
      </w:r>
    </w:p>
    <w:p w14:paraId="5CC3189F" w14:textId="69D41DF7" w:rsidR="00761AE2" w:rsidRPr="00761AE2" w:rsidRDefault="00761AE2" w:rsidP="00665381">
      <w:pPr>
        <w:pStyle w:val="enumlev1"/>
        <w:jc w:val="both"/>
        <w:rPr>
          <w:lang w:val="es-ES"/>
        </w:rPr>
      </w:pPr>
      <w:r w:rsidRPr="00761AE2">
        <w:rPr>
          <w:lang w:val="es-ES"/>
        </w:rPr>
        <w:t>–</w:t>
      </w:r>
      <w:r>
        <w:rPr>
          <w:lang w:val="es-ES"/>
        </w:rPr>
        <w:tab/>
      </w:r>
      <w:r w:rsidRPr="00761AE2">
        <w:rPr>
          <w:lang w:val="es-ES"/>
        </w:rPr>
        <w:t>Autorizar a la Secretaria General a cancelar la Conferencia en Qatar en caso de que determinase que, debido a la evolución de las circunstancias, la Conferencia ya no puede celebrarse en Doha de manera segura y eficaz.</w:t>
      </w:r>
    </w:p>
    <w:p w14:paraId="43948538" w14:textId="555A1AD9" w:rsidR="00761AE2" w:rsidRPr="00761AE2" w:rsidRDefault="00761AE2" w:rsidP="00665381">
      <w:pPr>
        <w:pStyle w:val="enumlev1"/>
        <w:jc w:val="both"/>
        <w:rPr>
          <w:lang w:val="es-ES"/>
        </w:rPr>
      </w:pPr>
      <w:r w:rsidRPr="00761AE2">
        <w:rPr>
          <w:lang w:val="es-ES"/>
        </w:rPr>
        <w:t>–</w:t>
      </w:r>
      <w:r>
        <w:rPr>
          <w:lang w:val="es-ES"/>
        </w:rPr>
        <w:tab/>
      </w:r>
      <w:r w:rsidRPr="00761AE2">
        <w:rPr>
          <w:lang w:val="es-ES"/>
        </w:rPr>
        <w:t>Pedir a la Secretaría y a Qatar que ultimen y firmen el Acuerdo de País Anfitrión a más tardar el 10 de septiembre de</w:t>
      </w:r>
      <w:r w:rsidR="00B72D72">
        <w:rPr>
          <w:lang w:val="es-ES"/>
        </w:rPr>
        <w:t> </w:t>
      </w:r>
      <w:r w:rsidRPr="00761AE2">
        <w:rPr>
          <w:lang w:val="es-ES"/>
        </w:rPr>
        <w:t>2026, en el que se incluyan disposiciones que permitan a la Secretaria General cancelar la Conferencia sin costo ni responsabilidad para la</w:t>
      </w:r>
      <w:r w:rsidR="00B72D72">
        <w:rPr>
          <w:lang w:val="es-ES"/>
        </w:rPr>
        <w:t> </w:t>
      </w:r>
      <w:r w:rsidRPr="00761AE2">
        <w:rPr>
          <w:lang w:val="es-ES"/>
        </w:rPr>
        <w:t>UIT si ésta determinase que, debido a la evolución de las circunstancias, la Conferencia ya no puede celebrarse en Doha de manera segura y eficaz.</w:t>
      </w:r>
    </w:p>
    <w:p w14:paraId="33C7A00B" w14:textId="3B93AC13" w:rsidR="00761AE2" w:rsidRPr="00761AE2" w:rsidRDefault="00761AE2" w:rsidP="00665381">
      <w:pPr>
        <w:pStyle w:val="enumlev1"/>
        <w:jc w:val="both"/>
        <w:rPr>
          <w:lang w:val="es-ES"/>
        </w:rPr>
      </w:pPr>
      <w:r w:rsidRPr="00761AE2">
        <w:rPr>
          <w:lang w:val="es-ES"/>
        </w:rPr>
        <w:t>–</w:t>
      </w:r>
      <w:r>
        <w:rPr>
          <w:lang w:val="es-ES"/>
        </w:rPr>
        <w:tab/>
      </w:r>
      <w:r w:rsidRPr="00761AE2">
        <w:rPr>
          <w:lang w:val="es-ES"/>
        </w:rPr>
        <w:t>Examinar si convendría mantener un plan de contingencia para el caso de que la Secretaria General cancele la Conferencia. Más concretamente:</w:t>
      </w:r>
    </w:p>
    <w:p w14:paraId="0C5392A7" w14:textId="00809426" w:rsidR="00761AE2" w:rsidRPr="00761AE2" w:rsidRDefault="00761AE2" w:rsidP="00665381">
      <w:pPr>
        <w:pStyle w:val="enumlev2"/>
        <w:jc w:val="both"/>
        <w:rPr>
          <w:lang w:val="es-ES"/>
        </w:rPr>
      </w:pPr>
      <w:r w:rsidRPr="00761AE2">
        <w:rPr>
          <w:lang w:val="es-ES"/>
        </w:rPr>
        <w:t>i</w:t>
      </w:r>
      <w:r>
        <w:rPr>
          <w:lang w:val="es-ES"/>
        </w:rPr>
        <w:t>)</w:t>
      </w:r>
      <w:r w:rsidRPr="00761AE2">
        <w:rPr>
          <w:lang w:val="es-ES"/>
        </w:rPr>
        <w:tab/>
        <w:t>Si se mantiene un plan de contingencia, se invita al Consejo a:</w:t>
      </w:r>
    </w:p>
    <w:p w14:paraId="7D2DBD2C" w14:textId="22C07FF5" w:rsidR="00761AE2" w:rsidRPr="00761AE2" w:rsidRDefault="00761AE2" w:rsidP="00665381">
      <w:pPr>
        <w:pStyle w:val="enumlev3"/>
        <w:jc w:val="both"/>
        <w:rPr>
          <w:lang w:val="es-ES"/>
        </w:rPr>
      </w:pPr>
      <w:r w:rsidRPr="00761AE2">
        <w:rPr>
          <w:lang w:val="es-ES"/>
        </w:rPr>
        <w:t>a)</w:t>
      </w:r>
      <w:r w:rsidRPr="00761AE2">
        <w:rPr>
          <w:lang w:val="es-ES"/>
        </w:rPr>
        <w:tab/>
      </w:r>
      <w:r w:rsidR="00AE1A4E" w:rsidRPr="00761AE2">
        <w:rPr>
          <w:lang w:val="es-ES"/>
        </w:rPr>
        <w:t xml:space="preserve">Aprobar </w:t>
      </w:r>
      <w:r w:rsidRPr="00761AE2">
        <w:rPr>
          <w:lang w:val="es-ES"/>
        </w:rPr>
        <w:t>la utilización de la Cuenta de Provisión de la</w:t>
      </w:r>
      <w:r w:rsidR="00B72D72">
        <w:rPr>
          <w:lang w:val="es-ES"/>
        </w:rPr>
        <w:t> </w:t>
      </w:r>
      <w:r w:rsidRPr="00761AE2">
        <w:rPr>
          <w:lang w:val="es-ES"/>
        </w:rPr>
        <w:t xml:space="preserve">UIT (a menos que se encuentren otras fuentes de financiación) para sufragar los gastos de cancelación, por un importe máximo de </w:t>
      </w:r>
      <w:r w:rsidRPr="00761AE2">
        <w:rPr>
          <w:b/>
          <w:bCs/>
          <w:lang w:val="es-ES"/>
        </w:rPr>
        <w:t>1 003 950,00 CHF</w:t>
      </w:r>
      <w:r w:rsidRPr="00761AE2">
        <w:rPr>
          <w:lang w:val="es-ES"/>
        </w:rPr>
        <w:t>, con objeto de confirmar la reserva del</w:t>
      </w:r>
      <w:r w:rsidR="00B72D72">
        <w:rPr>
          <w:lang w:val="es-ES"/>
        </w:rPr>
        <w:t> </w:t>
      </w:r>
      <w:r w:rsidRPr="00761AE2">
        <w:rPr>
          <w:lang w:val="es-ES"/>
        </w:rPr>
        <w:t>CICG del 4 al 29 de enero de</w:t>
      </w:r>
      <w:r w:rsidR="00B72D72">
        <w:rPr>
          <w:lang w:val="es-ES"/>
        </w:rPr>
        <w:t> </w:t>
      </w:r>
      <w:r w:rsidRPr="00761AE2">
        <w:rPr>
          <w:lang w:val="es-ES"/>
        </w:rPr>
        <w:t>2027 (fechas que incluyen el tiempo de preparación de las instalaciones).</w:t>
      </w:r>
    </w:p>
    <w:p w14:paraId="5EBF3D24" w14:textId="24B171BA" w:rsidR="00761AE2" w:rsidRPr="00761AE2" w:rsidRDefault="00761AE2" w:rsidP="00665381">
      <w:pPr>
        <w:pStyle w:val="enumlev3"/>
        <w:jc w:val="both"/>
        <w:rPr>
          <w:lang w:val="es-ES"/>
        </w:rPr>
      </w:pPr>
      <w:r w:rsidRPr="00761AE2">
        <w:rPr>
          <w:lang w:val="es-ES"/>
        </w:rPr>
        <w:t>b)</w:t>
      </w:r>
      <w:r w:rsidRPr="00761AE2">
        <w:rPr>
          <w:lang w:val="es-ES"/>
        </w:rPr>
        <w:tab/>
        <w:t>Acordar que, si la Secretaria General cancelase el evento en Qatar debido al deterioro de la situación de seguridad, la</w:t>
      </w:r>
      <w:r w:rsidR="00B72D72">
        <w:rPr>
          <w:lang w:val="es-ES"/>
        </w:rPr>
        <w:t> </w:t>
      </w:r>
      <w:r w:rsidRPr="00761AE2">
        <w:rPr>
          <w:lang w:val="es-ES"/>
        </w:rPr>
        <w:t>PP se convocaría en Ginebra del lunes 11 al viernes 29 de enero de</w:t>
      </w:r>
      <w:r w:rsidR="00B72D72">
        <w:rPr>
          <w:lang w:val="es-ES"/>
        </w:rPr>
        <w:t> </w:t>
      </w:r>
      <w:r w:rsidRPr="00761AE2">
        <w:rPr>
          <w:lang w:val="es-ES"/>
        </w:rPr>
        <w:t>2027, a reserva de obtener el acuerdo de la mayoría de los Estados Miembros de la</w:t>
      </w:r>
      <w:r w:rsidR="00B72D72">
        <w:rPr>
          <w:lang w:val="es-ES"/>
        </w:rPr>
        <w:t> </w:t>
      </w:r>
      <w:r w:rsidRPr="00761AE2">
        <w:rPr>
          <w:lang w:val="es-ES"/>
        </w:rPr>
        <w:t>UIT mediante una consulta de dos semanas.</w:t>
      </w:r>
    </w:p>
    <w:p w14:paraId="6999672A" w14:textId="1254F26E" w:rsidR="00761AE2" w:rsidRPr="00761AE2" w:rsidRDefault="00761AE2" w:rsidP="00665381">
      <w:pPr>
        <w:pStyle w:val="enumlev1"/>
        <w:jc w:val="both"/>
        <w:rPr>
          <w:lang w:val="es-ES"/>
        </w:rPr>
      </w:pPr>
      <w:r w:rsidRPr="00761AE2">
        <w:rPr>
          <w:lang w:val="es-ES"/>
        </w:rPr>
        <w:t>–</w:t>
      </w:r>
      <w:r>
        <w:rPr>
          <w:lang w:val="es-ES"/>
        </w:rPr>
        <w:tab/>
      </w:r>
      <w:r w:rsidRPr="00761AE2">
        <w:rPr>
          <w:lang w:val="es-ES"/>
        </w:rPr>
        <w:t>O bien</w:t>
      </w:r>
    </w:p>
    <w:p w14:paraId="3D17B556" w14:textId="7CE20751" w:rsidR="00761AE2" w:rsidRPr="00761AE2" w:rsidRDefault="00761AE2" w:rsidP="00665381">
      <w:pPr>
        <w:pStyle w:val="enumlev2"/>
        <w:jc w:val="both"/>
        <w:rPr>
          <w:lang w:val="es-ES"/>
        </w:rPr>
      </w:pPr>
      <w:r w:rsidRPr="00761AE2">
        <w:rPr>
          <w:lang w:val="es-ES"/>
        </w:rPr>
        <w:t>ii</w:t>
      </w:r>
      <w:r>
        <w:rPr>
          <w:lang w:val="es-ES"/>
        </w:rPr>
        <w:t>)</w:t>
      </w:r>
      <w:r w:rsidRPr="00761AE2">
        <w:rPr>
          <w:lang w:val="es-ES"/>
        </w:rPr>
        <w:tab/>
        <w:t>Si no se mantiene el plan de contingencia y la Secretaria General cancela la Conferencia en Qatar, se invita al Consejo a:</w:t>
      </w:r>
    </w:p>
    <w:p w14:paraId="5194807A" w14:textId="262C0E59" w:rsidR="00761AE2" w:rsidRPr="00761AE2" w:rsidRDefault="000427FD" w:rsidP="00665381">
      <w:pPr>
        <w:pStyle w:val="enumlev3"/>
        <w:jc w:val="both"/>
        <w:rPr>
          <w:lang w:val="es-ES"/>
        </w:rPr>
      </w:pPr>
      <w:r>
        <w:rPr>
          <w:lang w:val="es-ES"/>
        </w:rPr>
        <w:tab/>
      </w:r>
      <w:r w:rsidRPr="00761AE2">
        <w:rPr>
          <w:lang w:val="es-ES"/>
        </w:rPr>
        <w:t xml:space="preserve">Pedir </w:t>
      </w:r>
      <w:r w:rsidR="00761AE2" w:rsidRPr="00761AE2">
        <w:rPr>
          <w:lang w:val="es-ES"/>
        </w:rPr>
        <w:t>al Presidente del Consejo que convoque una reunión extraordinaria del Consejo para decidir cómo proceder. Si en esa reunión se decidieran una nueva fecha y un nuevo lugar, tal decisión requerirá el acuerdo de la mayoría de los Estados Miembros de la</w:t>
      </w:r>
      <w:r w:rsidR="00B72D72">
        <w:rPr>
          <w:lang w:val="es-ES"/>
        </w:rPr>
        <w:t> </w:t>
      </w:r>
      <w:r w:rsidR="00761AE2" w:rsidRPr="00761AE2">
        <w:rPr>
          <w:lang w:val="es-ES"/>
        </w:rPr>
        <w:t>UIT obtenido mediante consulta.</w:t>
      </w:r>
    </w:p>
    <w:p w14:paraId="4911B929" w14:textId="25ECF969" w:rsidR="00761AE2" w:rsidRPr="00761AE2" w:rsidRDefault="00761AE2" w:rsidP="00761AE2">
      <w:pPr>
        <w:pStyle w:val="Headingb"/>
        <w:rPr>
          <w:lang w:val="es-ES"/>
        </w:rPr>
      </w:pPr>
      <w:r>
        <w:rPr>
          <w:lang w:val="es-ES"/>
        </w:rPr>
        <w:lastRenderedPageBreak/>
        <w:t>B)</w:t>
      </w:r>
      <w:r>
        <w:rPr>
          <w:lang w:val="es-ES"/>
        </w:rPr>
        <w:tab/>
      </w:r>
      <w:r w:rsidRPr="00761AE2">
        <w:rPr>
          <w:lang w:val="es-ES"/>
        </w:rPr>
        <w:t>Si el Consejo decide no mantener la</w:t>
      </w:r>
      <w:r w:rsidR="00B72D72">
        <w:rPr>
          <w:lang w:val="es-ES"/>
        </w:rPr>
        <w:t> </w:t>
      </w:r>
      <w:r w:rsidRPr="00761AE2">
        <w:rPr>
          <w:lang w:val="es-ES"/>
        </w:rPr>
        <w:t>PP-26 en Doha</w:t>
      </w:r>
      <w:bookmarkStart w:id="1" w:name="OpenAt"/>
      <w:bookmarkEnd w:id="1"/>
    </w:p>
    <w:p w14:paraId="47F948DD" w14:textId="204DE498" w:rsidR="00761AE2" w:rsidRPr="00761AE2" w:rsidRDefault="00761AE2" w:rsidP="00665381">
      <w:pPr>
        <w:keepNext/>
        <w:keepLines/>
        <w:jc w:val="both"/>
        <w:rPr>
          <w:lang w:val="es-ES"/>
        </w:rPr>
      </w:pPr>
      <w:r w:rsidRPr="00761AE2">
        <w:rPr>
          <w:lang w:val="es-ES"/>
        </w:rPr>
        <w:t>Se invita al Consejo a decidir si la Conferencia de Plenipotenciarios de la</w:t>
      </w:r>
      <w:r w:rsidR="00B72D72">
        <w:rPr>
          <w:lang w:val="es-ES"/>
        </w:rPr>
        <w:t> </w:t>
      </w:r>
      <w:r w:rsidRPr="00761AE2">
        <w:rPr>
          <w:lang w:val="es-ES"/>
        </w:rPr>
        <w:t>UIT de</w:t>
      </w:r>
      <w:r w:rsidR="00B72D72">
        <w:rPr>
          <w:lang w:val="es-ES"/>
        </w:rPr>
        <w:t> </w:t>
      </w:r>
      <w:r w:rsidRPr="00761AE2">
        <w:rPr>
          <w:lang w:val="es-ES"/>
        </w:rPr>
        <w:t>2026 se traslada a Ginebra del lunes 11 al viernes 29 de enero de</w:t>
      </w:r>
      <w:r w:rsidR="00B72D72">
        <w:rPr>
          <w:lang w:val="es-ES"/>
        </w:rPr>
        <w:t> </w:t>
      </w:r>
      <w:r w:rsidRPr="00761AE2">
        <w:rPr>
          <w:lang w:val="es-ES"/>
        </w:rPr>
        <w:t>2027. En tal caso, se invita al Consejo a autorizar a la Secretaria General a utilizar la Cuenta de Provisión para sufragar el gasto adicional de hasta</w:t>
      </w:r>
      <w:r w:rsidRPr="00761AE2">
        <w:rPr>
          <w:b/>
          <w:bCs/>
          <w:lang w:val="es-ES"/>
        </w:rPr>
        <w:t xml:space="preserve"> 1 510 000 CHF</w:t>
      </w:r>
      <w:r w:rsidRPr="00761AE2">
        <w:rPr>
          <w:lang w:val="es-ES"/>
        </w:rPr>
        <w:t xml:space="preserve"> en caso de que no haya contribuciones voluntarias o de que éstas no basten para compensar dicho importe adicional.</w:t>
      </w:r>
    </w:p>
    <w:p w14:paraId="416D2080" w14:textId="6499888B" w:rsidR="00761AE2" w:rsidRPr="00665381" w:rsidRDefault="00761AE2" w:rsidP="00665381">
      <w:pPr>
        <w:jc w:val="both"/>
        <w:rPr>
          <w:spacing w:val="-2"/>
          <w:lang w:val="es-ES"/>
        </w:rPr>
      </w:pPr>
      <w:r w:rsidRPr="00665381">
        <w:rPr>
          <w:spacing w:val="-2"/>
          <w:lang w:val="es-ES"/>
        </w:rPr>
        <w:t>De conformidad con el Artículo</w:t>
      </w:r>
      <w:r w:rsidR="009A3919" w:rsidRPr="00665381">
        <w:rPr>
          <w:spacing w:val="-2"/>
          <w:lang w:val="es-ES"/>
        </w:rPr>
        <w:t> </w:t>
      </w:r>
      <w:r w:rsidRPr="00665381">
        <w:rPr>
          <w:spacing w:val="-2"/>
          <w:lang w:val="es-ES"/>
        </w:rPr>
        <w:t>12.4</w:t>
      </w:r>
      <w:r w:rsidR="00B72D72" w:rsidRPr="00665381">
        <w:rPr>
          <w:spacing w:val="-2"/>
          <w:lang w:val="es-ES"/>
        </w:rPr>
        <w:t> </w:t>
      </w:r>
      <w:r w:rsidRPr="00665381">
        <w:rPr>
          <w:spacing w:val="-2"/>
          <w:lang w:val="es-ES"/>
        </w:rPr>
        <w:t>a) del Reglamento Financiero y las Reglas Financieras, el presupuesto de la</w:t>
      </w:r>
      <w:r w:rsidR="009A3919" w:rsidRPr="00665381">
        <w:rPr>
          <w:spacing w:val="-2"/>
          <w:lang w:val="es-ES"/>
        </w:rPr>
        <w:t> </w:t>
      </w:r>
      <w:r w:rsidRPr="00665381">
        <w:rPr>
          <w:spacing w:val="-2"/>
          <w:lang w:val="es-ES"/>
        </w:rPr>
        <w:t>PP aprobado en el presupuesto ordinario de</w:t>
      </w:r>
      <w:r w:rsidR="00B72D72" w:rsidRPr="00665381">
        <w:rPr>
          <w:spacing w:val="-2"/>
          <w:lang w:val="es-ES"/>
        </w:rPr>
        <w:t> </w:t>
      </w:r>
      <w:r w:rsidRPr="00665381">
        <w:rPr>
          <w:spacing w:val="-2"/>
          <w:lang w:val="es-ES"/>
        </w:rPr>
        <w:t>2026 podrá prorrogarse a</w:t>
      </w:r>
      <w:r w:rsidR="009A3919" w:rsidRPr="00665381">
        <w:rPr>
          <w:spacing w:val="-2"/>
          <w:lang w:val="es-ES"/>
        </w:rPr>
        <w:t> </w:t>
      </w:r>
      <w:r w:rsidRPr="00665381">
        <w:rPr>
          <w:spacing w:val="-2"/>
          <w:lang w:val="es-ES"/>
        </w:rPr>
        <w:t>2027.</w:t>
      </w:r>
    </w:p>
    <w:p w14:paraId="7BBF6981" w14:textId="58CC18F5" w:rsidR="00F92BED" w:rsidRPr="00761AE2" w:rsidRDefault="00761AE2" w:rsidP="00665381">
      <w:pPr>
        <w:jc w:val="both"/>
        <w:rPr>
          <w:lang w:val="es-ES"/>
        </w:rPr>
      </w:pPr>
      <w:r w:rsidRPr="00761AE2">
        <w:rPr>
          <w:lang w:val="es-ES"/>
        </w:rPr>
        <w:t>En caso de que el Consejo adopte la decisión anterior, se llevará a cabo una consulta a los Estados Miembros de la</w:t>
      </w:r>
      <w:r w:rsidR="00B72D72">
        <w:rPr>
          <w:lang w:val="es-ES"/>
        </w:rPr>
        <w:t> </w:t>
      </w:r>
      <w:r w:rsidRPr="00761AE2">
        <w:rPr>
          <w:lang w:val="es-ES"/>
        </w:rPr>
        <w:t>UIT de dos semanas, que se prolongará hasta el 15 de septiembre, a fin de determinar si la decisión del Consejo relativa a ese cambio de fechas y de lugar de la</w:t>
      </w:r>
      <w:r w:rsidR="009A3919">
        <w:rPr>
          <w:lang w:val="es-ES"/>
        </w:rPr>
        <w:t> </w:t>
      </w:r>
      <w:r w:rsidRPr="00761AE2">
        <w:rPr>
          <w:lang w:val="es-ES"/>
        </w:rPr>
        <w:t>PP cuenta con el acuerdo de la mayoría de los Estados Miembros de la</w:t>
      </w:r>
      <w:r w:rsidR="00B72D72">
        <w:rPr>
          <w:lang w:val="es-ES"/>
        </w:rPr>
        <w:t> </w:t>
      </w:r>
      <w:r w:rsidRPr="00761AE2">
        <w:rPr>
          <w:lang w:val="es-ES"/>
        </w:rPr>
        <w:t>UIT.</w:t>
      </w:r>
    </w:p>
    <w:p w14:paraId="1DCEDB55" w14:textId="77777777" w:rsidR="00761AE2" w:rsidRPr="00761AE2" w:rsidRDefault="00761AE2" w:rsidP="00411C49">
      <w:pPr>
        <w:pStyle w:val="Reasons"/>
        <w:rPr>
          <w:lang w:val="es-ES"/>
        </w:rPr>
      </w:pPr>
    </w:p>
    <w:p w14:paraId="23C0FC49" w14:textId="77777777" w:rsidR="00761AE2" w:rsidRDefault="00761AE2">
      <w:pPr>
        <w:jc w:val="center"/>
      </w:pPr>
      <w:r>
        <w:t>______________</w:t>
      </w:r>
    </w:p>
    <w:sectPr w:rsidR="00761AE2" w:rsidSect="00C538FC">
      <w:footerReference w:type="default" r:id="rId33"/>
      <w:headerReference w:type="first" r:id="rId34"/>
      <w:footerReference w:type="first" r:id="rId35"/>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27B59" w14:textId="77777777" w:rsidR="00300387" w:rsidRDefault="00300387">
      <w:r>
        <w:separator/>
      </w:r>
    </w:p>
  </w:endnote>
  <w:endnote w:type="continuationSeparator" w:id="0">
    <w:p w14:paraId="42024117" w14:textId="77777777" w:rsidR="00300387" w:rsidRDefault="00300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3273A4" w:rsidRPr="00784011" w14:paraId="73F54452" w14:textId="77777777" w:rsidTr="00E31DCE">
      <w:trPr>
        <w:jc w:val="center"/>
      </w:trPr>
      <w:tc>
        <w:tcPr>
          <w:tcW w:w="1803" w:type="dxa"/>
          <w:vAlign w:val="center"/>
        </w:tcPr>
        <w:p w14:paraId="5C17A37A" w14:textId="220DBAD1" w:rsidR="003273A4" w:rsidRDefault="00761AE2" w:rsidP="003273A4">
          <w:pPr>
            <w:pStyle w:val="Header"/>
            <w:jc w:val="left"/>
            <w:rPr>
              <w:noProof/>
            </w:rPr>
          </w:pPr>
          <w:r>
            <w:rPr>
              <w:noProof/>
            </w:rPr>
            <w:t>2602066S</w:t>
          </w:r>
        </w:p>
      </w:tc>
      <w:tc>
        <w:tcPr>
          <w:tcW w:w="8261" w:type="dxa"/>
        </w:tcPr>
        <w:p w14:paraId="11E75D5C" w14:textId="2B24573C" w:rsidR="003273A4" w:rsidRPr="00E06FD5" w:rsidRDefault="003273A4" w:rsidP="00F679A7">
          <w:pPr>
            <w:pStyle w:val="Header"/>
            <w:tabs>
              <w:tab w:val="left" w:pos="6175"/>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00F679A7">
            <w:rPr>
              <w:bCs/>
            </w:rPr>
            <w:t>-EXT</w:t>
          </w:r>
          <w:r w:rsidRPr="00623AE3">
            <w:rPr>
              <w:bCs/>
            </w:rPr>
            <w:t>/</w:t>
          </w:r>
          <w:r w:rsidR="00761AE2">
            <w:rPr>
              <w:bCs/>
            </w:rPr>
            <w:t>2</w:t>
          </w:r>
          <w:r w:rsidRPr="00623AE3">
            <w:rPr>
              <w:bCs/>
            </w:rPr>
            <w:t>-</w:t>
          </w:r>
          <w:r>
            <w:rPr>
              <w:bCs/>
            </w:rPr>
            <w:t>S</w:t>
          </w:r>
          <w:r>
            <w:rPr>
              <w:bCs/>
            </w:rPr>
            <w:tab/>
          </w:r>
          <w:r>
            <w:fldChar w:fldCharType="begin"/>
          </w:r>
          <w:r>
            <w:instrText>PAGE</w:instrText>
          </w:r>
          <w:r>
            <w:fldChar w:fldCharType="separate"/>
          </w:r>
          <w:r>
            <w:t>1</w:t>
          </w:r>
          <w:r>
            <w:rPr>
              <w:noProof/>
            </w:rPr>
            <w:fldChar w:fldCharType="end"/>
          </w:r>
        </w:p>
      </w:tc>
    </w:tr>
  </w:tbl>
  <w:p w14:paraId="234AFCF2" w14:textId="77777777" w:rsidR="00760F1C" w:rsidRPr="003273A4" w:rsidRDefault="00760F1C" w:rsidP="003273A4">
    <w:pPr>
      <w:pStyle w:val="Footer"/>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F24B71" w:rsidRPr="00784011" w14:paraId="76BDF6CB" w14:textId="77777777" w:rsidTr="00E31DCE">
      <w:trPr>
        <w:jc w:val="center"/>
      </w:trPr>
      <w:tc>
        <w:tcPr>
          <w:tcW w:w="1803" w:type="dxa"/>
          <w:vAlign w:val="center"/>
        </w:tcPr>
        <w:p w14:paraId="51FF661A" w14:textId="39BBD604" w:rsidR="00F24B71" w:rsidRPr="002946E2" w:rsidRDefault="00F85E5C" w:rsidP="00F24B71">
          <w:pPr>
            <w:pStyle w:val="Header"/>
            <w:jc w:val="left"/>
            <w:rPr>
              <w:noProof/>
            </w:rPr>
          </w:pPr>
          <w:hyperlink r:id="rId1" w:anchor="/es" w:history="1">
            <w:r>
              <w:rPr>
                <w:rStyle w:val="Hyperlink"/>
                <w:noProof/>
              </w:rPr>
              <w:t>council.itu.int/2026</w:t>
            </w:r>
          </w:hyperlink>
        </w:p>
      </w:tc>
      <w:tc>
        <w:tcPr>
          <w:tcW w:w="8261" w:type="dxa"/>
        </w:tcPr>
        <w:p w14:paraId="4DFCCFD5" w14:textId="6C6A012C" w:rsidR="00F24B71" w:rsidRPr="00E06FD5" w:rsidRDefault="00F24B71" w:rsidP="00F679A7">
          <w:pPr>
            <w:pStyle w:val="Header"/>
            <w:tabs>
              <w:tab w:val="left" w:pos="6175"/>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00F679A7">
            <w:rPr>
              <w:bCs/>
            </w:rPr>
            <w:t>-EXT</w:t>
          </w:r>
          <w:r w:rsidRPr="00623AE3">
            <w:rPr>
              <w:bCs/>
            </w:rPr>
            <w:t>/</w:t>
          </w:r>
          <w:r w:rsidR="00761AE2">
            <w:rPr>
              <w:bCs/>
            </w:rPr>
            <w:t>2</w:t>
          </w:r>
          <w:r w:rsidRPr="00623AE3">
            <w:rPr>
              <w:bCs/>
            </w:rPr>
            <w:t>-</w:t>
          </w:r>
          <w:r w:rsidR="003273A4">
            <w:rPr>
              <w:bCs/>
            </w:rPr>
            <w:t>S</w:t>
          </w:r>
          <w:r>
            <w:rPr>
              <w:bCs/>
            </w:rPr>
            <w:tab/>
          </w:r>
          <w:r>
            <w:fldChar w:fldCharType="begin"/>
          </w:r>
          <w:r>
            <w:instrText>PAGE</w:instrText>
          </w:r>
          <w:r>
            <w:fldChar w:fldCharType="separate"/>
          </w:r>
          <w:r>
            <w:t>1</w:t>
          </w:r>
          <w:r>
            <w:rPr>
              <w:noProof/>
            </w:rPr>
            <w:fldChar w:fldCharType="end"/>
          </w:r>
        </w:p>
      </w:tc>
    </w:tr>
  </w:tbl>
  <w:p w14:paraId="70B1B078" w14:textId="77777777" w:rsidR="00760F1C" w:rsidRPr="00F24B71" w:rsidRDefault="00760F1C" w:rsidP="00F24B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0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5"/>
      <w:gridCol w:w="12100"/>
    </w:tblGrid>
    <w:tr w:rsidR="009A3919" w14:paraId="42B7C3BE" w14:textId="77777777" w:rsidTr="00912B58">
      <w:trPr>
        <w:jc w:val="center"/>
      </w:trPr>
      <w:tc>
        <w:tcPr>
          <w:tcW w:w="1905" w:type="dxa"/>
          <w:vAlign w:val="center"/>
          <w:hideMark/>
        </w:tcPr>
        <w:p w14:paraId="76E952FA" w14:textId="73441038" w:rsidR="009A3919" w:rsidRDefault="009A3919" w:rsidP="009A3919">
          <w:pPr>
            <w:pStyle w:val="Header"/>
            <w:jc w:val="left"/>
            <w:rPr>
              <w:noProof/>
            </w:rPr>
          </w:pPr>
          <w:r>
            <w:rPr>
              <w:noProof/>
            </w:rPr>
            <w:t>2602066S</w:t>
          </w:r>
        </w:p>
      </w:tc>
      <w:tc>
        <w:tcPr>
          <w:tcW w:w="12100" w:type="dxa"/>
          <w:hideMark/>
        </w:tcPr>
        <w:p w14:paraId="702125E5" w14:textId="0E916674" w:rsidR="009A3919" w:rsidRDefault="009A3919" w:rsidP="00FB79EB">
          <w:pPr>
            <w:pStyle w:val="Header"/>
            <w:tabs>
              <w:tab w:val="left" w:pos="10317"/>
              <w:tab w:val="right" w:pos="11876"/>
            </w:tabs>
            <w:jc w:val="left"/>
            <w:rPr>
              <w:rFonts w:ascii="Arial" w:hAnsi="Arial" w:cs="Arial"/>
              <w:b/>
              <w:bCs/>
              <w:szCs w:val="18"/>
            </w:rPr>
          </w:pPr>
          <w:r>
            <w:rPr>
              <w:bCs/>
            </w:rPr>
            <w:tab/>
          </w:r>
          <w:r w:rsidRPr="00623AE3">
            <w:rPr>
              <w:bCs/>
            </w:rPr>
            <w:t>C</w:t>
          </w:r>
          <w:r>
            <w:rPr>
              <w:bCs/>
            </w:rPr>
            <w:t>26-EXT</w:t>
          </w:r>
          <w:r w:rsidRPr="00623AE3">
            <w:rPr>
              <w:bCs/>
            </w:rPr>
            <w:t>/</w:t>
          </w:r>
          <w:r>
            <w:rPr>
              <w:bCs/>
            </w:rPr>
            <w:t>2</w:t>
          </w:r>
          <w:r w:rsidRPr="00623AE3">
            <w:rPr>
              <w:bCs/>
            </w:rPr>
            <w:t>-</w:t>
          </w:r>
          <w:r>
            <w:rPr>
              <w:bCs/>
            </w:rPr>
            <w:t>S</w:t>
          </w:r>
          <w:r>
            <w:rPr>
              <w:bCs/>
            </w:rPr>
            <w:tab/>
          </w:r>
          <w:r>
            <w:fldChar w:fldCharType="begin"/>
          </w:r>
          <w:r>
            <w:instrText>PAGE</w:instrText>
          </w:r>
          <w:r>
            <w:fldChar w:fldCharType="separate"/>
          </w:r>
          <w:r>
            <w:t>3</w:t>
          </w:r>
          <w:r>
            <w:rPr>
              <w:noProof/>
            </w:rPr>
            <w:fldChar w:fldCharType="end"/>
          </w:r>
        </w:p>
      </w:tc>
    </w:tr>
  </w:tbl>
  <w:p w14:paraId="1EDD2C1D" w14:textId="77777777" w:rsidR="009A3919" w:rsidRPr="003B244C" w:rsidRDefault="009A3919" w:rsidP="009A391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0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5"/>
      <w:gridCol w:w="12100"/>
    </w:tblGrid>
    <w:tr w:rsidR="009A3919" w14:paraId="3716F138" w14:textId="77777777" w:rsidTr="00912B58">
      <w:trPr>
        <w:jc w:val="center"/>
      </w:trPr>
      <w:tc>
        <w:tcPr>
          <w:tcW w:w="1905" w:type="dxa"/>
          <w:vAlign w:val="center"/>
          <w:hideMark/>
        </w:tcPr>
        <w:p w14:paraId="296003D5" w14:textId="77777777" w:rsidR="009A3919" w:rsidRDefault="009A3919" w:rsidP="009A3919">
          <w:pPr>
            <w:pStyle w:val="Header"/>
            <w:jc w:val="left"/>
            <w:rPr>
              <w:noProof/>
            </w:rPr>
          </w:pPr>
          <w:r>
            <w:rPr>
              <w:noProof/>
            </w:rPr>
            <w:t>2602066S</w:t>
          </w:r>
        </w:p>
      </w:tc>
      <w:tc>
        <w:tcPr>
          <w:tcW w:w="12100" w:type="dxa"/>
          <w:hideMark/>
        </w:tcPr>
        <w:p w14:paraId="637FC0DE" w14:textId="77777777" w:rsidR="009A3919" w:rsidRDefault="009A3919" w:rsidP="00FB79EB">
          <w:pPr>
            <w:pStyle w:val="Header"/>
            <w:tabs>
              <w:tab w:val="left" w:pos="10317"/>
              <w:tab w:val="right" w:pos="11876"/>
            </w:tabs>
            <w:jc w:val="left"/>
            <w:rPr>
              <w:rFonts w:ascii="Arial" w:hAnsi="Arial" w:cs="Arial"/>
              <w:b/>
              <w:bCs/>
              <w:szCs w:val="18"/>
            </w:rPr>
          </w:pPr>
          <w:r>
            <w:rPr>
              <w:bCs/>
            </w:rPr>
            <w:tab/>
          </w:r>
          <w:r w:rsidRPr="00623AE3">
            <w:rPr>
              <w:bCs/>
            </w:rPr>
            <w:t>C</w:t>
          </w:r>
          <w:r>
            <w:rPr>
              <w:bCs/>
            </w:rPr>
            <w:t>26-EXT</w:t>
          </w:r>
          <w:r w:rsidRPr="00623AE3">
            <w:rPr>
              <w:bCs/>
            </w:rPr>
            <w:t>/</w:t>
          </w:r>
          <w:r>
            <w:rPr>
              <w:bCs/>
            </w:rPr>
            <w:t>2</w:t>
          </w:r>
          <w:r w:rsidRPr="00623AE3">
            <w:rPr>
              <w:bCs/>
            </w:rPr>
            <w:t>-</w:t>
          </w:r>
          <w:r>
            <w:rPr>
              <w:bCs/>
            </w:rPr>
            <w:t>S</w:t>
          </w:r>
          <w:r>
            <w:rPr>
              <w:bCs/>
            </w:rPr>
            <w:tab/>
          </w:r>
          <w:r>
            <w:fldChar w:fldCharType="begin"/>
          </w:r>
          <w:r>
            <w:instrText>PAGE</w:instrText>
          </w:r>
          <w:r>
            <w:fldChar w:fldCharType="separate"/>
          </w:r>
          <w:r>
            <w:t>5</w:t>
          </w:r>
          <w:r>
            <w:rPr>
              <w:noProof/>
            </w:rPr>
            <w:fldChar w:fldCharType="end"/>
          </w:r>
        </w:p>
      </w:tc>
    </w:tr>
  </w:tbl>
  <w:p w14:paraId="1D373B0B" w14:textId="77777777" w:rsidR="00761AE2" w:rsidRPr="009A3919" w:rsidRDefault="00761AE2" w:rsidP="009A391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761AE2" w:rsidRPr="00784011" w14:paraId="30A754D6" w14:textId="77777777" w:rsidTr="00912B58">
      <w:trPr>
        <w:jc w:val="center"/>
      </w:trPr>
      <w:tc>
        <w:tcPr>
          <w:tcW w:w="1803" w:type="dxa"/>
          <w:vAlign w:val="center"/>
        </w:tcPr>
        <w:p w14:paraId="02576F4A" w14:textId="77777777" w:rsidR="00761AE2" w:rsidRDefault="00761AE2" w:rsidP="00761AE2">
          <w:pPr>
            <w:pStyle w:val="Header"/>
            <w:jc w:val="left"/>
            <w:rPr>
              <w:noProof/>
            </w:rPr>
          </w:pPr>
          <w:r>
            <w:rPr>
              <w:noProof/>
            </w:rPr>
            <w:t>2602066S</w:t>
          </w:r>
        </w:p>
      </w:tc>
      <w:tc>
        <w:tcPr>
          <w:tcW w:w="8261" w:type="dxa"/>
        </w:tcPr>
        <w:p w14:paraId="6F552633" w14:textId="77777777" w:rsidR="00761AE2" w:rsidRPr="00E06FD5" w:rsidRDefault="00761AE2" w:rsidP="00761AE2">
          <w:pPr>
            <w:pStyle w:val="Header"/>
            <w:tabs>
              <w:tab w:val="left" w:pos="6175"/>
              <w:tab w:val="right" w:pos="8505"/>
              <w:tab w:val="right" w:pos="9639"/>
            </w:tabs>
            <w:jc w:val="left"/>
            <w:rPr>
              <w:rFonts w:ascii="Arial" w:hAnsi="Arial" w:cs="Arial"/>
              <w:b/>
              <w:bCs/>
              <w:szCs w:val="18"/>
            </w:rPr>
          </w:pPr>
          <w:r>
            <w:rPr>
              <w:bCs/>
            </w:rPr>
            <w:tab/>
          </w:r>
          <w:r w:rsidRPr="00623AE3">
            <w:rPr>
              <w:bCs/>
            </w:rPr>
            <w:t>C</w:t>
          </w:r>
          <w:r>
            <w:rPr>
              <w:bCs/>
            </w:rPr>
            <w:t>26-EXT</w:t>
          </w:r>
          <w:r w:rsidRPr="00623AE3">
            <w:rPr>
              <w:bCs/>
            </w:rPr>
            <w:t>/</w:t>
          </w:r>
          <w:r>
            <w:rPr>
              <w:bCs/>
            </w:rPr>
            <w:t>2</w:t>
          </w:r>
          <w:r w:rsidRPr="00623AE3">
            <w:rPr>
              <w:bCs/>
            </w:rPr>
            <w:t>-</w:t>
          </w:r>
          <w:r>
            <w:rPr>
              <w:bCs/>
            </w:rPr>
            <w:t>S</w:t>
          </w:r>
          <w:r>
            <w:rPr>
              <w:bCs/>
            </w:rPr>
            <w:tab/>
          </w:r>
          <w:r>
            <w:fldChar w:fldCharType="begin"/>
          </w:r>
          <w:r>
            <w:instrText>PAGE</w:instrText>
          </w:r>
          <w:r>
            <w:fldChar w:fldCharType="separate"/>
          </w:r>
          <w:r>
            <w:t>4</w:t>
          </w:r>
          <w:r>
            <w:rPr>
              <w:noProof/>
            </w:rPr>
            <w:fldChar w:fldCharType="end"/>
          </w:r>
        </w:p>
      </w:tc>
    </w:tr>
  </w:tbl>
  <w:p w14:paraId="3AC71402" w14:textId="77777777" w:rsidR="00761AE2" w:rsidRPr="00761AE2" w:rsidRDefault="00761AE2" w:rsidP="00761AE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761AE2" w:rsidRPr="00784011" w14:paraId="481DBE32" w14:textId="77777777" w:rsidTr="00912B58">
      <w:trPr>
        <w:jc w:val="center"/>
      </w:trPr>
      <w:tc>
        <w:tcPr>
          <w:tcW w:w="1803" w:type="dxa"/>
          <w:vAlign w:val="center"/>
        </w:tcPr>
        <w:p w14:paraId="26AAC518" w14:textId="77777777" w:rsidR="00761AE2" w:rsidRDefault="00761AE2" w:rsidP="00761AE2">
          <w:pPr>
            <w:pStyle w:val="Header"/>
            <w:jc w:val="left"/>
            <w:rPr>
              <w:noProof/>
            </w:rPr>
          </w:pPr>
          <w:r>
            <w:rPr>
              <w:noProof/>
            </w:rPr>
            <w:t>2602066S</w:t>
          </w:r>
        </w:p>
      </w:tc>
      <w:tc>
        <w:tcPr>
          <w:tcW w:w="8261" w:type="dxa"/>
        </w:tcPr>
        <w:p w14:paraId="0057ECA2" w14:textId="77777777" w:rsidR="00761AE2" w:rsidRPr="00E06FD5" w:rsidRDefault="00761AE2" w:rsidP="00761AE2">
          <w:pPr>
            <w:pStyle w:val="Header"/>
            <w:tabs>
              <w:tab w:val="left" w:pos="6175"/>
              <w:tab w:val="right" w:pos="8505"/>
              <w:tab w:val="right" w:pos="9639"/>
            </w:tabs>
            <w:jc w:val="left"/>
            <w:rPr>
              <w:rFonts w:ascii="Arial" w:hAnsi="Arial" w:cs="Arial"/>
              <w:b/>
              <w:bCs/>
              <w:szCs w:val="18"/>
            </w:rPr>
          </w:pPr>
          <w:r>
            <w:rPr>
              <w:bCs/>
            </w:rPr>
            <w:tab/>
          </w:r>
          <w:r w:rsidRPr="00623AE3">
            <w:rPr>
              <w:bCs/>
            </w:rPr>
            <w:t>C</w:t>
          </w:r>
          <w:r>
            <w:rPr>
              <w:bCs/>
            </w:rPr>
            <w:t>26-EXT</w:t>
          </w:r>
          <w:r w:rsidRPr="00623AE3">
            <w:rPr>
              <w:bCs/>
            </w:rPr>
            <w:t>/</w:t>
          </w:r>
          <w:r>
            <w:rPr>
              <w:bCs/>
            </w:rPr>
            <w:t>2</w:t>
          </w:r>
          <w:r w:rsidRPr="00623AE3">
            <w:rPr>
              <w:bCs/>
            </w:rPr>
            <w:t>-</w:t>
          </w:r>
          <w:r>
            <w:rPr>
              <w:bCs/>
            </w:rPr>
            <w:t>S</w:t>
          </w:r>
          <w:r>
            <w:rPr>
              <w:bCs/>
            </w:rPr>
            <w:tab/>
          </w:r>
          <w:r>
            <w:fldChar w:fldCharType="begin"/>
          </w:r>
          <w:r>
            <w:instrText>PAGE</w:instrText>
          </w:r>
          <w:r>
            <w:fldChar w:fldCharType="separate"/>
          </w:r>
          <w:r>
            <w:t>4</w:t>
          </w:r>
          <w:r>
            <w:rPr>
              <w:noProof/>
            </w:rPr>
            <w:fldChar w:fldCharType="end"/>
          </w:r>
        </w:p>
      </w:tc>
    </w:tr>
  </w:tbl>
  <w:p w14:paraId="6A206098" w14:textId="77777777" w:rsidR="00761AE2" w:rsidRPr="00761AE2" w:rsidRDefault="00761AE2" w:rsidP="00761A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F4F39" w14:textId="77777777" w:rsidR="00300387" w:rsidRDefault="00300387">
      <w:r>
        <w:t>____________________</w:t>
      </w:r>
    </w:p>
  </w:footnote>
  <w:footnote w:type="continuationSeparator" w:id="0">
    <w:p w14:paraId="25FC9ACF" w14:textId="77777777" w:rsidR="00300387" w:rsidRDefault="00300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94B4" w14:textId="77777777" w:rsidR="001559F5" w:rsidRPr="00F679A7" w:rsidRDefault="00F679A7" w:rsidP="00F679A7">
    <w:pPr>
      <w:pStyle w:val="Header"/>
      <w:jc w:val="left"/>
    </w:pPr>
    <w:r>
      <w:rPr>
        <w:noProof/>
      </w:rPr>
      <w:drawing>
        <wp:inline distT="0" distB="0" distL="0" distR="0" wp14:anchorId="53A3CA3E" wp14:editId="4D928397">
          <wp:extent cx="3105505" cy="936000"/>
          <wp:effectExtent l="0" t="0" r="0" b="0"/>
          <wp:docPr id="1827020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20446" name="Picture 1827020446"/>
                  <pic:cNvPicPr/>
                </pic:nvPicPr>
                <pic:blipFill>
                  <a:blip r:embed="rId1">
                    <a:extLst>
                      <a:ext uri="{28A0092B-C50C-407E-A947-70E740481C1C}">
                        <a14:useLocalDpi xmlns:a14="http://schemas.microsoft.com/office/drawing/2010/main" val="0"/>
                      </a:ext>
                    </a:extLst>
                  </a:blip>
                  <a:stretch>
                    <a:fillRect/>
                  </a:stretch>
                </pic:blipFill>
                <pic:spPr>
                  <a:xfrm>
                    <a:off x="0" y="0"/>
                    <a:ext cx="3105505" cy="936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06411" w14:textId="7726A685" w:rsidR="00761AE2" w:rsidRPr="00761AE2" w:rsidRDefault="00761AE2" w:rsidP="00761A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FC0F7" w14:textId="3645D32D" w:rsidR="00761AE2" w:rsidRPr="00761AE2" w:rsidRDefault="00761AE2" w:rsidP="00761A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A8605"/>
    <w:multiLevelType w:val="hybridMultilevel"/>
    <w:tmpl w:val="FFFFFFFF"/>
    <w:lvl w:ilvl="0" w:tplc="C838CA9E">
      <w:start w:val="1"/>
      <w:numFmt w:val="bullet"/>
      <w:lvlText w:val=""/>
      <w:lvlJc w:val="left"/>
      <w:pPr>
        <w:ind w:left="1080" w:hanging="360"/>
      </w:pPr>
      <w:rPr>
        <w:rFonts w:ascii="Symbol" w:hAnsi="Symbol" w:hint="default"/>
      </w:rPr>
    </w:lvl>
    <w:lvl w:ilvl="1" w:tplc="8DA81074">
      <w:start w:val="1"/>
      <w:numFmt w:val="bullet"/>
      <w:lvlText w:val="o"/>
      <w:lvlJc w:val="left"/>
      <w:pPr>
        <w:ind w:left="1800" w:hanging="360"/>
      </w:pPr>
      <w:rPr>
        <w:rFonts w:ascii="Courier New" w:hAnsi="Courier New" w:cs="Times New Roman" w:hint="default"/>
      </w:rPr>
    </w:lvl>
    <w:lvl w:ilvl="2" w:tplc="8B06DD56">
      <w:start w:val="1"/>
      <w:numFmt w:val="bullet"/>
      <w:lvlText w:val=""/>
      <w:lvlJc w:val="left"/>
      <w:pPr>
        <w:ind w:left="2520" w:hanging="360"/>
      </w:pPr>
      <w:rPr>
        <w:rFonts w:ascii="Wingdings" w:hAnsi="Wingdings" w:hint="default"/>
      </w:rPr>
    </w:lvl>
    <w:lvl w:ilvl="3" w:tplc="D516258C">
      <w:start w:val="1"/>
      <w:numFmt w:val="bullet"/>
      <w:lvlText w:val=""/>
      <w:lvlJc w:val="left"/>
      <w:pPr>
        <w:ind w:left="3240" w:hanging="360"/>
      </w:pPr>
      <w:rPr>
        <w:rFonts w:ascii="Symbol" w:hAnsi="Symbol" w:hint="default"/>
      </w:rPr>
    </w:lvl>
    <w:lvl w:ilvl="4" w:tplc="D5BE53C6">
      <w:start w:val="1"/>
      <w:numFmt w:val="bullet"/>
      <w:lvlText w:val="o"/>
      <w:lvlJc w:val="left"/>
      <w:pPr>
        <w:ind w:left="3960" w:hanging="360"/>
      </w:pPr>
      <w:rPr>
        <w:rFonts w:ascii="Courier New" w:hAnsi="Courier New" w:cs="Times New Roman" w:hint="default"/>
      </w:rPr>
    </w:lvl>
    <w:lvl w:ilvl="5" w:tplc="34B0B29E">
      <w:start w:val="1"/>
      <w:numFmt w:val="bullet"/>
      <w:lvlText w:val=""/>
      <w:lvlJc w:val="left"/>
      <w:pPr>
        <w:ind w:left="4680" w:hanging="360"/>
      </w:pPr>
      <w:rPr>
        <w:rFonts w:ascii="Wingdings" w:hAnsi="Wingdings" w:hint="default"/>
      </w:rPr>
    </w:lvl>
    <w:lvl w:ilvl="6" w:tplc="FEE64294">
      <w:start w:val="1"/>
      <w:numFmt w:val="bullet"/>
      <w:lvlText w:val=""/>
      <w:lvlJc w:val="left"/>
      <w:pPr>
        <w:ind w:left="5400" w:hanging="360"/>
      </w:pPr>
      <w:rPr>
        <w:rFonts w:ascii="Symbol" w:hAnsi="Symbol" w:hint="default"/>
      </w:rPr>
    </w:lvl>
    <w:lvl w:ilvl="7" w:tplc="98961B66">
      <w:start w:val="1"/>
      <w:numFmt w:val="bullet"/>
      <w:lvlText w:val="o"/>
      <w:lvlJc w:val="left"/>
      <w:pPr>
        <w:ind w:left="6120" w:hanging="360"/>
      </w:pPr>
      <w:rPr>
        <w:rFonts w:ascii="Courier New" w:hAnsi="Courier New" w:cs="Times New Roman" w:hint="default"/>
      </w:rPr>
    </w:lvl>
    <w:lvl w:ilvl="8" w:tplc="6C020550">
      <w:start w:val="1"/>
      <w:numFmt w:val="bullet"/>
      <w:lvlText w:val=""/>
      <w:lvlJc w:val="left"/>
      <w:pPr>
        <w:ind w:left="6840" w:hanging="360"/>
      </w:pPr>
      <w:rPr>
        <w:rFonts w:ascii="Wingdings" w:hAnsi="Wingdings" w:hint="default"/>
      </w:rPr>
    </w:lvl>
  </w:abstractNum>
  <w:abstractNum w:abstractNumId="1" w15:restartNumberingAfterBreak="0">
    <w:nsid w:val="0ABEECB4"/>
    <w:multiLevelType w:val="hybridMultilevel"/>
    <w:tmpl w:val="02ACD1B4"/>
    <w:lvl w:ilvl="0" w:tplc="87F0863C">
      <w:start w:val="1"/>
      <w:numFmt w:val="bullet"/>
      <w:lvlText w:val=""/>
      <w:lvlJc w:val="left"/>
      <w:pPr>
        <w:ind w:left="927" w:hanging="360"/>
      </w:pPr>
      <w:rPr>
        <w:rFonts w:ascii="Symbol" w:hAnsi="Symbol" w:hint="default"/>
      </w:rPr>
    </w:lvl>
    <w:lvl w:ilvl="1" w:tplc="14F68442">
      <w:start w:val="1"/>
      <w:numFmt w:val="bullet"/>
      <w:lvlText w:val="o"/>
      <w:lvlJc w:val="left"/>
      <w:pPr>
        <w:ind w:left="1647" w:hanging="360"/>
      </w:pPr>
      <w:rPr>
        <w:rFonts w:ascii="Courier New" w:hAnsi="Courier New" w:cs="Times New Roman" w:hint="default"/>
      </w:rPr>
    </w:lvl>
    <w:lvl w:ilvl="2" w:tplc="5AC8245C">
      <w:start w:val="1"/>
      <w:numFmt w:val="bullet"/>
      <w:lvlText w:val=""/>
      <w:lvlJc w:val="left"/>
      <w:pPr>
        <w:ind w:left="2367" w:hanging="360"/>
      </w:pPr>
      <w:rPr>
        <w:rFonts w:ascii="Wingdings" w:hAnsi="Wingdings" w:hint="default"/>
      </w:rPr>
    </w:lvl>
    <w:lvl w:ilvl="3" w:tplc="3B6CFEBE">
      <w:start w:val="1"/>
      <w:numFmt w:val="bullet"/>
      <w:lvlText w:val=""/>
      <w:lvlJc w:val="left"/>
      <w:pPr>
        <w:ind w:left="3087" w:hanging="360"/>
      </w:pPr>
      <w:rPr>
        <w:rFonts w:ascii="Symbol" w:hAnsi="Symbol" w:hint="default"/>
      </w:rPr>
    </w:lvl>
    <w:lvl w:ilvl="4" w:tplc="41E688A8">
      <w:start w:val="1"/>
      <w:numFmt w:val="bullet"/>
      <w:lvlText w:val="o"/>
      <w:lvlJc w:val="left"/>
      <w:pPr>
        <w:ind w:left="3807" w:hanging="360"/>
      </w:pPr>
      <w:rPr>
        <w:rFonts w:ascii="Courier New" w:hAnsi="Courier New" w:cs="Times New Roman" w:hint="default"/>
      </w:rPr>
    </w:lvl>
    <w:lvl w:ilvl="5" w:tplc="FA1C9E8E">
      <w:start w:val="1"/>
      <w:numFmt w:val="bullet"/>
      <w:lvlText w:val=""/>
      <w:lvlJc w:val="left"/>
      <w:pPr>
        <w:ind w:left="4527" w:hanging="360"/>
      </w:pPr>
      <w:rPr>
        <w:rFonts w:ascii="Wingdings" w:hAnsi="Wingdings" w:hint="default"/>
      </w:rPr>
    </w:lvl>
    <w:lvl w:ilvl="6" w:tplc="22C2BB00">
      <w:start w:val="1"/>
      <w:numFmt w:val="bullet"/>
      <w:lvlText w:val=""/>
      <w:lvlJc w:val="left"/>
      <w:pPr>
        <w:ind w:left="5247" w:hanging="360"/>
      </w:pPr>
      <w:rPr>
        <w:rFonts w:ascii="Symbol" w:hAnsi="Symbol" w:hint="default"/>
      </w:rPr>
    </w:lvl>
    <w:lvl w:ilvl="7" w:tplc="A01615EC">
      <w:start w:val="1"/>
      <w:numFmt w:val="bullet"/>
      <w:lvlText w:val="o"/>
      <w:lvlJc w:val="left"/>
      <w:pPr>
        <w:ind w:left="5967" w:hanging="360"/>
      </w:pPr>
      <w:rPr>
        <w:rFonts w:ascii="Courier New" w:hAnsi="Courier New" w:cs="Times New Roman" w:hint="default"/>
      </w:rPr>
    </w:lvl>
    <w:lvl w:ilvl="8" w:tplc="65DACE06">
      <w:start w:val="1"/>
      <w:numFmt w:val="bullet"/>
      <w:lvlText w:val=""/>
      <w:lvlJc w:val="left"/>
      <w:pPr>
        <w:ind w:left="6687" w:hanging="360"/>
      </w:pPr>
      <w:rPr>
        <w:rFonts w:ascii="Wingdings" w:hAnsi="Wingdings" w:hint="default"/>
      </w:rPr>
    </w:lvl>
  </w:abstractNum>
  <w:abstractNum w:abstractNumId="2" w15:restartNumberingAfterBreak="0">
    <w:nsid w:val="1CE41E08"/>
    <w:multiLevelType w:val="hybridMultilevel"/>
    <w:tmpl w:val="C818F7D6"/>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6870EA9"/>
    <w:multiLevelType w:val="hybridMultilevel"/>
    <w:tmpl w:val="A3766510"/>
    <w:lvl w:ilvl="0" w:tplc="16F632F0">
      <w:start w:val="3"/>
      <w:numFmt w:val="bullet"/>
      <w:lvlText w:val="-"/>
      <w:lvlJc w:val="left"/>
      <w:pPr>
        <w:ind w:left="1647" w:hanging="360"/>
      </w:pPr>
      <w:rPr>
        <w:rFonts w:ascii="Calibri" w:eastAsia="Times New Roman" w:hAnsi="Calibri" w:cs="Calibri" w:hint="default"/>
      </w:rPr>
    </w:lvl>
    <w:lvl w:ilvl="1" w:tplc="08090003">
      <w:start w:val="1"/>
      <w:numFmt w:val="bullet"/>
      <w:lvlText w:val="o"/>
      <w:lvlJc w:val="left"/>
      <w:pPr>
        <w:ind w:left="2367" w:hanging="360"/>
      </w:pPr>
      <w:rPr>
        <w:rFonts w:ascii="Courier New" w:hAnsi="Courier New" w:cs="Courier New" w:hint="default"/>
      </w:rPr>
    </w:lvl>
    <w:lvl w:ilvl="2" w:tplc="08090005">
      <w:start w:val="1"/>
      <w:numFmt w:val="bullet"/>
      <w:lvlText w:val=""/>
      <w:lvlJc w:val="left"/>
      <w:pPr>
        <w:ind w:left="3087" w:hanging="360"/>
      </w:pPr>
      <w:rPr>
        <w:rFonts w:ascii="Wingdings" w:hAnsi="Wingdings" w:hint="default"/>
      </w:rPr>
    </w:lvl>
    <w:lvl w:ilvl="3" w:tplc="08090001">
      <w:start w:val="1"/>
      <w:numFmt w:val="bullet"/>
      <w:lvlText w:val=""/>
      <w:lvlJc w:val="left"/>
      <w:pPr>
        <w:ind w:left="3807" w:hanging="360"/>
      </w:pPr>
      <w:rPr>
        <w:rFonts w:ascii="Symbol" w:hAnsi="Symbol" w:hint="default"/>
      </w:rPr>
    </w:lvl>
    <w:lvl w:ilvl="4" w:tplc="08090003">
      <w:start w:val="1"/>
      <w:numFmt w:val="bullet"/>
      <w:lvlText w:val="o"/>
      <w:lvlJc w:val="left"/>
      <w:pPr>
        <w:ind w:left="4527" w:hanging="360"/>
      </w:pPr>
      <w:rPr>
        <w:rFonts w:ascii="Courier New" w:hAnsi="Courier New" w:cs="Courier New" w:hint="default"/>
      </w:rPr>
    </w:lvl>
    <w:lvl w:ilvl="5" w:tplc="08090005">
      <w:start w:val="1"/>
      <w:numFmt w:val="bullet"/>
      <w:lvlText w:val=""/>
      <w:lvlJc w:val="left"/>
      <w:pPr>
        <w:ind w:left="5247" w:hanging="360"/>
      </w:pPr>
      <w:rPr>
        <w:rFonts w:ascii="Wingdings" w:hAnsi="Wingdings" w:hint="default"/>
      </w:rPr>
    </w:lvl>
    <w:lvl w:ilvl="6" w:tplc="08090001">
      <w:start w:val="1"/>
      <w:numFmt w:val="bullet"/>
      <w:lvlText w:val=""/>
      <w:lvlJc w:val="left"/>
      <w:pPr>
        <w:ind w:left="5967" w:hanging="360"/>
      </w:pPr>
      <w:rPr>
        <w:rFonts w:ascii="Symbol" w:hAnsi="Symbol" w:hint="default"/>
      </w:rPr>
    </w:lvl>
    <w:lvl w:ilvl="7" w:tplc="08090003">
      <w:start w:val="1"/>
      <w:numFmt w:val="bullet"/>
      <w:lvlText w:val="o"/>
      <w:lvlJc w:val="left"/>
      <w:pPr>
        <w:ind w:left="6687" w:hanging="360"/>
      </w:pPr>
      <w:rPr>
        <w:rFonts w:ascii="Courier New" w:hAnsi="Courier New" w:cs="Courier New" w:hint="default"/>
      </w:rPr>
    </w:lvl>
    <w:lvl w:ilvl="8" w:tplc="08090005">
      <w:start w:val="1"/>
      <w:numFmt w:val="bullet"/>
      <w:lvlText w:val=""/>
      <w:lvlJc w:val="left"/>
      <w:pPr>
        <w:ind w:left="7407" w:hanging="360"/>
      </w:pPr>
      <w:rPr>
        <w:rFonts w:ascii="Wingdings" w:hAnsi="Wingdings" w:hint="default"/>
      </w:rPr>
    </w:lvl>
  </w:abstractNum>
  <w:abstractNum w:abstractNumId="4" w15:restartNumberingAfterBreak="0">
    <w:nsid w:val="43BC3BBE"/>
    <w:multiLevelType w:val="multilevel"/>
    <w:tmpl w:val="A3EE58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49054FC"/>
    <w:multiLevelType w:val="hybridMultilevel"/>
    <w:tmpl w:val="FFFFFFFF"/>
    <w:lvl w:ilvl="0" w:tplc="F8D252A0">
      <w:start w:val="1"/>
      <w:numFmt w:val="bullet"/>
      <w:lvlText w:val=""/>
      <w:lvlJc w:val="left"/>
      <w:pPr>
        <w:ind w:left="360" w:hanging="360"/>
      </w:pPr>
      <w:rPr>
        <w:rFonts w:ascii="Symbol" w:hAnsi="Symbol" w:hint="default"/>
      </w:rPr>
    </w:lvl>
    <w:lvl w:ilvl="1" w:tplc="35124A20">
      <w:start w:val="1"/>
      <w:numFmt w:val="bullet"/>
      <w:lvlText w:val="o"/>
      <w:lvlJc w:val="left"/>
      <w:pPr>
        <w:ind w:left="1080" w:hanging="360"/>
      </w:pPr>
      <w:rPr>
        <w:rFonts w:ascii="Courier New" w:hAnsi="Courier New" w:cs="Times New Roman" w:hint="default"/>
      </w:rPr>
    </w:lvl>
    <w:lvl w:ilvl="2" w:tplc="2B7C7858">
      <w:start w:val="1"/>
      <w:numFmt w:val="bullet"/>
      <w:lvlText w:val=""/>
      <w:lvlJc w:val="left"/>
      <w:pPr>
        <w:ind w:left="1800" w:hanging="360"/>
      </w:pPr>
      <w:rPr>
        <w:rFonts w:ascii="Wingdings" w:hAnsi="Wingdings" w:hint="default"/>
      </w:rPr>
    </w:lvl>
    <w:lvl w:ilvl="3" w:tplc="4CD263EC">
      <w:start w:val="1"/>
      <w:numFmt w:val="bullet"/>
      <w:lvlText w:val=""/>
      <w:lvlJc w:val="left"/>
      <w:pPr>
        <w:ind w:left="2520" w:hanging="360"/>
      </w:pPr>
      <w:rPr>
        <w:rFonts w:ascii="Symbol" w:hAnsi="Symbol" w:hint="default"/>
      </w:rPr>
    </w:lvl>
    <w:lvl w:ilvl="4" w:tplc="C4CE9FB4">
      <w:start w:val="1"/>
      <w:numFmt w:val="bullet"/>
      <w:lvlText w:val="o"/>
      <w:lvlJc w:val="left"/>
      <w:pPr>
        <w:ind w:left="3240" w:hanging="360"/>
      </w:pPr>
      <w:rPr>
        <w:rFonts w:ascii="Courier New" w:hAnsi="Courier New" w:cs="Times New Roman" w:hint="default"/>
      </w:rPr>
    </w:lvl>
    <w:lvl w:ilvl="5" w:tplc="545CB406">
      <w:start w:val="1"/>
      <w:numFmt w:val="bullet"/>
      <w:lvlText w:val=""/>
      <w:lvlJc w:val="left"/>
      <w:pPr>
        <w:ind w:left="3960" w:hanging="360"/>
      </w:pPr>
      <w:rPr>
        <w:rFonts w:ascii="Wingdings" w:hAnsi="Wingdings" w:hint="default"/>
      </w:rPr>
    </w:lvl>
    <w:lvl w:ilvl="6" w:tplc="DE840E9E">
      <w:start w:val="1"/>
      <w:numFmt w:val="bullet"/>
      <w:lvlText w:val=""/>
      <w:lvlJc w:val="left"/>
      <w:pPr>
        <w:ind w:left="4680" w:hanging="360"/>
      </w:pPr>
      <w:rPr>
        <w:rFonts w:ascii="Symbol" w:hAnsi="Symbol" w:hint="default"/>
      </w:rPr>
    </w:lvl>
    <w:lvl w:ilvl="7" w:tplc="0D76AE54">
      <w:start w:val="1"/>
      <w:numFmt w:val="bullet"/>
      <w:lvlText w:val="o"/>
      <w:lvlJc w:val="left"/>
      <w:pPr>
        <w:ind w:left="5400" w:hanging="360"/>
      </w:pPr>
      <w:rPr>
        <w:rFonts w:ascii="Courier New" w:hAnsi="Courier New" w:cs="Times New Roman" w:hint="default"/>
      </w:rPr>
    </w:lvl>
    <w:lvl w:ilvl="8" w:tplc="420A025A">
      <w:start w:val="1"/>
      <w:numFmt w:val="bullet"/>
      <w:lvlText w:val=""/>
      <w:lvlJc w:val="left"/>
      <w:pPr>
        <w:ind w:left="6120" w:hanging="360"/>
      </w:pPr>
      <w:rPr>
        <w:rFonts w:ascii="Wingdings" w:hAnsi="Wingdings" w:hint="default"/>
      </w:rPr>
    </w:lvl>
  </w:abstractNum>
  <w:abstractNum w:abstractNumId="6" w15:restartNumberingAfterBreak="0">
    <w:nsid w:val="4E833684"/>
    <w:multiLevelType w:val="hybridMultilevel"/>
    <w:tmpl w:val="276A98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5A3B42C3"/>
    <w:multiLevelType w:val="hybridMultilevel"/>
    <w:tmpl w:val="CF7449E6"/>
    <w:lvl w:ilvl="0" w:tplc="FFFFFFF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 w15:restartNumberingAfterBreak="0">
    <w:nsid w:val="60810070"/>
    <w:multiLevelType w:val="hybridMultilevel"/>
    <w:tmpl w:val="EBB28D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117E2D6"/>
    <w:multiLevelType w:val="hybridMultilevel"/>
    <w:tmpl w:val="C5689BBE"/>
    <w:lvl w:ilvl="0" w:tplc="4FA4D67E">
      <w:start w:val="1"/>
      <w:numFmt w:val="bullet"/>
      <w:lvlText w:val="-"/>
      <w:lvlJc w:val="left"/>
      <w:pPr>
        <w:ind w:left="720" w:hanging="360"/>
      </w:pPr>
      <w:rPr>
        <w:rFonts w:ascii="Aptos" w:hAnsi="Aptos" w:hint="default"/>
      </w:rPr>
    </w:lvl>
    <w:lvl w:ilvl="1" w:tplc="1D662B94">
      <w:start w:val="1"/>
      <w:numFmt w:val="bullet"/>
      <w:lvlText w:val="o"/>
      <w:lvlJc w:val="left"/>
      <w:pPr>
        <w:ind w:left="1440" w:hanging="360"/>
      </w:pPr>
      <w:rPr>
        <w:rFonts w:ascii="Courier New" w:hAnsi="Courier New" w:cs="Times New Roman" w:hint="default"/>
      </w:rPr>
    </w:lvl>
    <w:lvl w:ilvl="2" w:tplc="25BCE01A">
      <w:start w:val="1"/>
      <w:numFmt w:val="bullet"/>
      <w:lvlText w:val=""/>
      <w:lvlJc w:val="left"/>
      <w:pPr>
        <w:ind w:left="2160" w:hanging="360"/>
      </w:pPr>
      <w:rPr>
        <w:rFonts w:ascii="Wingdings" w:hAnsi="Wingdings" w:hint="default"/>
      </w:rPr>
    </w:lvl>
    <w:lvl w:ilvl="3" w:tplc="08505300">
      <w:start w:val="1"/>
      <w:numFmt w:val="bullet"/>
      <w:lvlText w:val=""/>
      <w:lvlJc w:val="left"/>
      <w:pPr>
        <w:ind w:left="2880" w:hanging="360"/>
      </w:pPr>
      <w:rPr>
        <w:rFonts w:ascii="Symbol" w:hAnsi="Symbol" w:hint="default"/>
      </w:rPr>
    </w:lvl>
    <w:lvl w:ilvl="4" w:tplc="967EECCE">
      <w:start w:val="1"/>
      <w:numFmt w:val="bullet"/>
      <w:lvlText w:val="o"/>
      <w:lvlJc w:val="left"/>
      <w:pPr>
        <w:ind w:left="3600" w:hanging="360"/>
      </w:pPr>
      <w:rPr>
        <w:rFonts w:ascii="Courier New" w:hAnsi="Courier New" w:cs="Times New Roman" w:hint="default"/>
      </w:rPr>
    </w:lvl>
    <w:lvl w:ilvl="5" w:tplc="4D44A614">
      <w:start w:val="1"/>
      <w:numFmt w:val="bullet"/>
      <w:lvlText w:val=""/>
      <w:lvlJc w:val="left"/>
      <w:pPr>
        <w:ind w:left="4320" w:hanging="360"/>
      </w:pPr>
      <w:rPr>
        <w:rFonts w:ascii="Wingdings" w:hAnsi="Wingdings" w:hint="default"/>
      </w:rPr>
    </w:lvl>
    <w:lvl w:ilvl="6" w:tplc="F01AD89C">
      <w:start w:val="1"/>
      <w:numFmt w:val="bullet"/>
      <w:lvlText w:val=""/>
      <w:lvlJc w:val="left"/>
      <w:pPr>
        <w:ind w:left="5040" w:hanging="360"/>
      </w:pPr>
      <w:rPr>
        <w:rFonts w:ascii="Symbol" w:hAnsi="Symbol" w:hint="default"/>
      </w:rPr>
    </w:lvl>
    <w:lvl w:ilvl="7" w:tplc="8E40AA3C">
      <w:start w:val="1"/>
      <w:numFmt w:val="bullet"/>
      <w:lvlText w:val="o"/>
      <w:lvlJc w:val="left"/>
      <w:pPr>
        <w:ind w:left="5760" w:hanging="360"/>
      </w:pPr>
      <w:rPr>
        <w:rFonts w:ascii="Courier New" w:hAnsi="Courier New" w:cs="Times New Roman" w:hint="default"/>
      </w:rPr>
    </w:lvl>
    <w:lvl w:ilvl="8" w:tplc="52304AF2">
      <w:start w:val="1"/>
      <w:numFmt w:val="bullet"/>
      <w:lvlText w:val=""/>
      <w:lvlJc w:val="left"/>
      <w:pPr>
        <w:ind w:left="6480" w:hanging="360"/>
      </w:pPr>
      <w:rPr>
        <w:rFonts w:ascii="Wingdings" w:hAnsi="Wingdings" w:hint="default"/>
      </w:rPr>
    </w:lvl>
  </w:abstractNum>
  <w:abstractNum w:abstractNumId="10" w15:restartNumberingAfterBreak="0">
    <w:nsid w:val="66A64222"/>
    <w:multiLevelType w:val="hybridMultilevel"/>
    <w:tmpl w:val="2F5C4AC8"/>
    <w:lvl w:ilvl="0" w:tplc="12C2D98C">
      <w:start w:val="1"/>
      <w:numFmt w:val="bullet"/>
      <w:lvlText w:val="-"/>
      <w:lvlJc w:val="left"/>
      <w:pPr>
        <w:ind w:left="720" w:hanging="360"/>
      </w:pPr>
      <w:rPr>
        <w:rFonts w:ascii="Aptos" w:hAnsi="Aptos" w:hint="default"/>
      </w:rPr>
    </w:lvl>
    <w:lvl w:ilvl="1" w:tplc="645222B4">
      <w:start w:val="1"/>
      <w:numFmt w:val="bullet"/>
      <w:lvlText w:val="o"/>
      <w:lvlJc w:val="left"/>
      <w:pPr>
        <w:ind w:left="1440" w:hanging="360"/>
      </w:pPr>
      <w:rPr>
        <w:rFonts w:ascii="Courier New" w:hAnsi="Courier New" w:cs="Times New Roman" w:hint="default"/>
      </w:rPr>
    </w:lvl>
    <w:lvl w:ilvl="2" w:tplc="B148CA10">
      <w:start w:val="1"/>
      <w:numFmt w:val="bullet"/>
      <w:lvlText w:val=""/>
      <w:lvlJc w:val="left"/>
      <w:pPr>
        <w:ind w:left="2160" w:hanging="360"/>
      </w:pPr>
      <w:rPr>
        <w:rFonts w:ascii="Wingdings" w:hAnsi="Wingdings" w:hint="default"/>
      </w:rPr>
    </w:lvl>
    <w:lvl w:ilvl="3" w:tplc="7F42AAA0">
      <w:start w:val="1"/>
      <w:numFmt w:val="bullet"/>
      <w:lvlText w:val=""/>
      <w:lvlJc w:val="left"/>
      <w:pPr>
        <w:ind w:left="2880" w:hanging="360"/>
      </w:pPr>
      <w:rPr>
        <w:rFonts w:ascii="Symbol" w:hAnsi="Symbol" w:hint="default"/>
      </w:rPr>
    </w:lvl>
    <w:lvl w:ilvl="4" w:tplc="278C9608">
      <w:start w:val="1"/>
      <w:numFmt w:val="bullet"/>
      <w:lvlText w:val="o"/>
      <w:lvlJc w:val="left"/>
      <w:pPr>
        <w:ind w:left="3600" w:hanging="360"/>
      </w:pPr>
      <w:rPr>
        <w:rFonts w:ascii="Courier New" w:hAnsi="Courier New" w:cs="Times New Roman" w:hint="default"/>
      </w:rPr>
    </w:lvl>
    <w:lvl w:ilvl="5" w:tplc="47EE00AA">
      <w:start w:val="1"/>
      <w:numFmt w:val="bullet"/>
      <w:lvlText w:val=""/>
      <w:lvlJc w:val="left"/>
      <w:pPr>
        <w:ind w:left="4320" w:hanging="360"/>
      </w:pPr>
      <w:rPr>
        <w:rFonts w:ascii="Wingdings" w:hAnsi="Wingdings" w:hint="default"/>
      </w:rPr>
    </w:lvl>
    <w:lvl w:ilvl="6" w:tplc="DFD8E58A">
      <w:start w:val="1"/>
      <w:numFmt w:val="bullet"/>
      <w:lvlText w:val=""/>
      <w:lvlJc w:val="left"/>
      <w:pPr>
        <w:ind w:left="5040" w:hanging="360"/>
      </w:pPr>
      <w:rPr>
        <w:rFonts w:ascii="Symbol" w:hAnsi="Symbol" w:hint="default"/>
      </w:rPr>
    </w:lvl>
    <w:lvl w:ilvl="7" w:tplc="6F0A3FA6">
      <w:start w:val="1"/>
      <w:numFmt w:val="bullet"/>
      <w:lvlText w:val="o"/>
      <w:lvlJc w:val="left"/>
      <w:pPr>
        <w:ind w:left="5760" w:hanging="360"/>
      </w:pPr>
      <w:rPr>
        <w:rFonts w:ascii="Courier New" w:hAnsi="Courier New" w:cs="Times New Roman" w:hint="default"/>
      </w:rPr>
    </w:lvl>
    <w:lvl w:ilvl="8" w:tplc="4AD8D734">
      <w:start w:val="1"/>
      <w:numFmt w:val="bullet"/>
      <w:lvlText w:val=""/>
      <w:lvlJc w:val="left"/>
      <w:pPr>
        <w:ind w:left="6480" w:hanging="360"/>
      </w:pPr>
      <w:rPr>
        <w:rFonts w:ascii="Wingdings" w:hAnsi="Wingdings" w:hint="default"/>
      </w:rPr>
    </w:lvl>
  </w:abstractNum>
  <w:abstractNum w:abstractNumId="11" w15:restartNumberingAfterBreak="0">
    <w:nsid w:val="70275BAD"/>
    <w:multiLevelType w:val="hybridMultilevel"/>
    <w:tmpl w:val="1AEC1CEE"/>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2" w15:restartNumberingAfterBreak="0">
    <w:nsid w:val="71AA5630"/>
    <w:multiLevelType w:val="hybridMultilevel"/>
    <w:tmpl w:val="930E0E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8585895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5099715">
    <w:abstractNumId w:val="12"/>
  </w:num>
  <w:num w:numId="3" w16cid:durableId="6914187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3281240">
    <w:abstractNumId w:val="9"/>
  </w:num>
  <w:num w:numId="5" w16cid:durableId="1461999259">
    <w:abstractNumId w:val="10"/>
  </w:num>
  <w:num w:numId="6" w16cid:durableId="129057426">
    <w:abstractNumId w:val="1"/>
  </w:num>
  <w:num w:numId="7" w16cid:durableId="529493762">
    <w:abstractNumId w:val="11"/>
  </w:num>
  <w:num w:numId="8" w16cid:durableId="1481189408">
    <w:abstractNumId w:val="3"/>
  </w:num>
  <w:num w:numId="9" w16cid:durableId="1942763718">
    <w:abstractNumId w:val="0"/>
  </w:num>
  <w:num w:numId="10" w16cid:durableId="295567864">
    <w:abstractNumId w:val="5"/>
  </w:num>
  <w:num w:numId="11" w16cid:durableId="590048460">
    <w:abstractNumId w:val="6"/>
  </w:num>
  <w:num w:numId="12" w16cid:durableId="934509539">
    <w:abstractNumId w:val="8"/>
  </w:num>
  <w:num w:numId="13" w16cid:durableId="6056200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FAB"/>
    <w:rsid w:val="000007D1"/>
    <w:rsid w:val="0001696F"/>
    <w:rsid w:val="000427FD"/>
    <w:rsid w:val="0006007D"/>
    <w:rsid w:val="00093EEB"/>
    <w:rsid w:val="000B0D00"/>
    <w:rsid w:val="000B7C15"/>
    <w:rsid w:val="000D1D0F"/>
    <w:rsid w:val="000E3F07"/>
    <w:rsid w:val="000F5290"/>
    <w:rsid w:val="000F5A95"/>
    <w:rsid w:val="000F6D86"/>
    <w:rsid w:val="0010165C"/>
    <w:rsid w:val="00146BFB"/>
    <w:rsid w:val="001559F5"/>
    <w:rsid w:val="00157AC4"/>
    <w:rsid w:val="0016169C"/>
    <w:rsid w:val="001958F5"/>
    <w:rsid w:val="001B6E2B"/>
    <w:rsid w:val="001E4A3B"/>
    <w:rsid w:val="001F14A2"/>
    <w:rsid w:val="00277DEA"/>
    <w:rsid w:val="002801AA"/>
    <w:rsid w:val="002946E2"/>
    <w:rsid w:val="002A6852"/>
    <w:rsid w:val="002C3F32"/>
    <w:rsid w:val="002C4676"/>
    <w:rsid w:val="002C70B0"/>
    <w:rsid w:val="002E3519"/>
    <w:rsid w:val="002E4F07"/>
    <w:rsid w:val="002F3CC4"/>
    <w:rsid w:val="00300387"/>
    <w:rsid w:val="003032E2"/>
    <w:rsid w:val="0031300A"/>
    <w:rsid w:val="003273A4"/>
    <w:rsid w:val="0034796E"/>
    <w:rsid w:val="00353C00"/>
    <w:rsid w:val="004571B0"/>
    <w:rsid w:val="00465C35"/>
    <w:rsid w:val="00473962"/>
    <w:rsid w:val="004B5D49"/>
    <w:rsid w:val="004D3A3C"/>
    <w:rsid w:val="00513630"/>
    <w:rsid w:val="00560125"/>
    <w:rsid w:val="00575FAB"/>
    <w:rsid w:val="00585553"/>
    <w:rsid w:val="005B34D9"/>
    <w:rsid w:val="005D0CCF"/>
    <w:rsid w:val="005E507D"/>
    <w:rsid w:val="005F0915"/>
    <w:rsid w:val="005F3BCB"/>
    <w:rsid w:val="005F410F"/>
    <w:rsid w:val="0060149A"/>
    <w:rsid w:val="00601924"/>
    <w:rsid w:val="006447EA"/>
    <w:rsid w:val="0064481D"/>
    <w:rsid w:val="0064731F"/>
    <w:rsid w:val="0066245D"/>
    <w:rsid w:val="00664572"/>
    <w:rsid w:val="00665381"/>
    <w:rsid w:val="00666D09"/>
    <w:rsid w:val="00670579"/>
    <w:rsid w:val="006710F6"/>
    <w:rsid w:val="00677A97"/>
    <w:rsid w:val="006B3E2D"/>
    <w:rsid w:val="006C1B56"/>
    <w:rsid w:val="006D4761"/>
    <w:rsid w:val="00726872"/>
    <w:rsid w:val="00744356"/>
    <w:rsid w:val="00760F1C"/>
    <w:rsid w:val="00761AE2"/>
    <w:rsid w:val="007657F0"/>
    <w:rsid w:val="0077110E"/>
    <w:rsid w:val="0077252D"/>
    <w:rsid w:val="007955DA"/>
    <w:rsid w:val="007E5DD3"/>
    <w:rsid w:val="007F350B"/>
    <w:rsid w:val="00820BE4"/>
    <w:rsid w:val="008451E8"/>
    <w:rsid w:val="0084546D"/>
    <w:rsid w:val="008F6ABC"/>
    <w:rsid w:val="00913B9C"/>
    <w:rsid w:val="009274D6"/>
    <w:rsid w:val="00927F93"/>
    <w:rsid w:val="00956E77"/>
    <w:rsid w:val="009A338E"/>
    <w:rsid w:val="009A3919"/>
    <w:rsid w:val="009A76A8"/>
    <w:rsid w:val="009F4811"/>
    <w:rsid w:val="00A01F4F"/>
    <w:rsid w:val="00A109AF"/>
    <w:rsid w:val="00A83048"/>
    <w:rsid w:val="00A94438"/>
    <w:rsid w:val="00AA390C"/>
    <w:rsid w:val="00AD5A4D"/>
    <w:rsid w:val="00AE1A4E"/>
    <w:rsid w:val="00AF0EAC"/>
    <w:rsid w:val="00B0200A"/>
    <w:rsid w:val="00B060DF"/>
    <w:rsid w:val="00B1560D"/>
    <w:rsid w:val="00B574DB"/>
    <w:rsid w:val="00B72D72"/>
    <w:rsid w:val="00B826C2"/>
    <w:rsid w:val="00B8298E"/>
    <w:rsid w:val="00BB6FD8"/>
    <w:rsid w:val="00BD0723"/>
    <w:rsid w:val="00BD2518"/>
    <w:rsid w:val="00BF1D1C"/>
    <w:rsid w:val="00C20C59"/>
    <w:rsid w:val="00C2727F"/>
    <w:rsid w:val="00C4421B"/>
    <w:rsid w:val="00C538FC"/>
    <w:rsid w:val="00C55B1F"/>
    <w:rsid w:val="00CF1A67"/>
    <w:rsid w:val="00D2750E"/>
    <w:rsid w:val="00D375E0"/>
    <w:rsid w:val="00D50A36"/>
    <w:rsid w:val="00D62446"/>
    <w:rsid w:val="00DA4EA2"/>
    <w:rsid w:val="00DA4FB9"/>
    <w:rsid w:val="00DC3D3E"/>
    <w:rsid w:val="00DE2C90"/>
    <w:rsid w:val="00DE3B24"/>
    <w:rsid w:val="00DE7376"/>
    <w:rsid w:val="00E06947"/>
    <w:rsid w:val="00E11319"/>
    <w:rsid w:val="00E21444"/>
    <w:rsid w:val="00E34072"/>
    <w:rsid w:val="00E3592D"/>
    <w:rsid w:val="00E50D76"/>
    <w:rsid w:val="00E8018B"/>
    <w:rsid w:val="00E92DE8"/>
    <w:rsid w:val="00E93B05"/>
    <w:rsid w:val="00EB1212"/>
    <w:rsid w:val="00ED65AB"/>
    <w:rsid w:val="00F12850"/>
    <w:rsid w:val="00F24B71"/>
    <w:rsid w:val="00F26446"/>
    <w:rsid w:val="00F33BF4"/>
    <w:rsid w:val="00F679A7"/>
    <w:rsid w:val="00F7105E"/>
    <w:rsid w:val="00F75F57"/>
    <w:rsid w:val="00F81748"/>
    <w:rsid w:val="00F82FEE"/>
    <w:rsid w:val="00F85E5C"/>
    <w:rsid w:val="00F92BED"/>
    <w:rsid w:val="00FB79EB"/>
    <w:rsid w:val="00FD57D3"/>
    <w:rsid w:val="00FE57F6"/>
    <w:rsid w:val="00FF11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4866F1"/>
  <w15:docId w15:val="{8DCBB0DA-CFAA-451A-BEB6-2368B59E2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5A95"/>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0F5A95"/>
    <w:pPr>
      <w:keepNext/>
      <w:keepLines/>
      <w:spacing w:before="360"/>
      <w:ind w:left="567" w:hanging="567"/>
      <w:outlineLvl w:val="0"/>
    </w:pPr>
    <w:rPr>
      <w:b/>
      <w:sz w:val="28"/>
    </w:rPr>
  </w:style>
  <w:style w:type="paragraph" w:styleId="Heading2">
    <w:name w:val="heading 2"/>
    <w:basedOn w:val="Heading1"/>
    <w:next w:val="Normal"/>
    <w:qFormat/>
    <w:rsid w:val="000F5A95"/>
    <w:pPr>
      <w:spacing w:before="200"/>
      <w:outlineLvl w:val="1"/>
    </w:pPr>
    <w:rPr>
      <w:sz w:val="24"/>
    </w:rPr>
  </w:style>
  <w:style w:type="paragraph" w:styleId="Heading3">
    <w:name w:val="heading 3"/>
    <w:basedOn w:val="Heading1"/>
    <w:next w:val="Normal"/>
    <w:qFormat/>
    <w:rsid w:val="000F5A95"/>
    <w:pPr>
      <w:spacing w:before="200"/>
      <w:outlineLvl w:val="2"/>
    </w:pPr>
    <w:rPr>
      <w:sz w:val="24"/>
    </w:rPr>
  </w:style>
  <w:style w:type="paragraph" w:styleId="Heading4">
    <w:name w:val="heading 4"/>
    <w:basedOn w:val="Heading3"/>
    <w:next w:val="Normal"/>
    <w:qFormat/>
    <w:rsid w:val="000F5A95"/>
    <w:pPr>
      <w:ind w:left="1134" w:hanging="1134"/>
      <w:outlineLvl w:val="3"/>
    </w:pPr>
  </w:style>
  <w:style w:type="paragraph" w:styleId="Heading5">
    <w:name w:val="heading 5"/>
    <w:basedOn w:val="Heading4"/>
    <w:next w:val="Normal"/>
    <w:qFormat/>
    <w:rsid w:val="000F5A95"/>
    <w:pPr>
      <w:outlineLvl w:val="4"/>
    </w:pPr>
  </w:style>
  <w:style w:type="paragraph" w:styleId="Heading6">
    <w:name w:val="heading 6"/>
    <w:basedOn w:val="Heading4"/>
    <w:next w:val="Normal"/>
    <w:qFormat/>
    <w:rsid w:val="000F5A95"/>
    <w:pPr>
      <w:outlineLvl w:val="5"/>
    </w:pPr>
  </w:style>
  <w:style w:type="paragraph" w:styleId="Heading7">
    <w:name w:val="heading 7"/>
    <w:basedOn w:val="Heading4"/>
    <w:next w:val="Normal"/>
    <w:qFormat/>
    <w:rsid w:val="000F5A95"/>
    <w:pPr>
      <w:ind w:left="1701" w:hanging="1701"/>
      <w:outlineLvl w:val="6"/>
    </w:pPr>
  </w:style>
  <w:style w:type="paragraph" w:styleId="Heading8">
    <w:name w:val="heading 8"/>
    <w:basedOn w:val="Heading4"/>
    <w:next w:val="Normal"/>
    <w:qFormat/>
    <w:rsid w:val="000F5A95"/>
    <w:pPr>
      <w:ind w:left="1701" w:hanging="1701"/>
      <w:outlineLvl w:val="7"/>
    </w:pPr>
  </w:style>
  <w:style w:type="paragraph" w:styleId="Heading9">
    <w:name w:val="heading 9"/>
    <w:basedOn w:val="Heading4"/>
    <w:next w:val="Normal"/>
    <w:qFormat/>
    <w:rsid w:val="000F5A9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0F5A95"/>
  </w:style>
  <w:style w:type="paragraph" w:styleId="TOC4">
    <w:name w:val="toc 4"/>
    <w:basedOn w:val="TOC1"/>
    <w:next w:val="Normal"/>
    <w:rsid w:val="000F5A95"/>
  </w:style>
  <w:style w:type="paragraph" w:styleId="TOC3">
    <w:name w:val="toc 3"/>
    <w:basedOn w:val="TOC1"/>
    <w:next w:val="Normal"/>
    <w:rsid w:val="000F5A95"/>
  </w:style>
  <w:style w:type="paragraph" w:styleId="TOC2">
    <w:name w:val="toc 2"/>
    <w:basedOn w:val="TOC1"/>
    <w:next w:val="Normal"/>
    <w:rsid w:val="000F5A95"/>
    <w:pPr>
      <w:spacing w:before="160"/>
    </w:pPr>
  </w:style>
  <w:style w:type="paragraph" w:styleId="TOC1">
    <w:name w:val="toc 1"/>
    <w:basedOn w:val="Normal"/>
    <w:rsid w:val="000F5A95"/>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0F5A95"/>
  </w:style>
  <w:style w:type="paragraph" w:styleId="TOC6">
    <w:name w:val="toc 6"/>
    <w:basedOn w:val="TOC5"/>
    <w:next w:val="Normal"/>
    <w:rsid w:val="000F5A95"/>
  </w:style>
  <w:style w:type="paragraph" w:styleId="TOC5">
    <w:name w:val="toc 5"/>
    <w:basedOn w:val="TOC4"/>
    <w:next w:val="Normal"/>
    <w:rsid w:val="000F5A95"/>
    <w:rPr>
      <w:lang w:val="fr-CH"/>
    </w:rPr>
  </w:style>
  <w:style w:type="paragraph" w:styleId="Index7">
    <w:name w:val="index 7"/>
    <w:basedOn w:val="Normal"/>
    <w:next w:val="Normal"/>
    <w:rsid w:val="000F5A95"/>
    <w:pPr>
      <w:ind w:left="1698"/>
    </w:pPr>
  </w:style>
  <w:style w:type="paragraph" w:styleId="Index6">
    <w:name w:val="index 6"/>
    <w:basedOn w:val="Normal"/>
    <w:next w:val="Normal"/>
    <w:rsid w:val="000F5A95"/>
    <w:pPr>
      <w:ind w:left="1415"/>
    </w:pPr>
  </w:style>
  <w:style w:type="paragraph" w:styleId="Index5">
    <w:name w:val="index 5"/>
    <w:basedOn w:val="Normal"/>
    <w:next w:val="Normal"/>
    <w:rsid w:val="000F5A95"/>
    <w:pPr>
      <w:ind w:left="1132"/>
    </w:pPr>
  </w:style>
  <w:style w:type="paragraph" w:styleId="Index4">
    <w:name w:val="index 4"/>
    <w:basedOn w:val="Normal"/>
    <w:next w:val="Normal"/>
    <w:rsid w:val="000F5A95"/>
    <w:pPr>
      <w:ind w:left="849"/>
    </w:pPr>
  </w:style>
  <w:style w:type="paragraph" w:styleId="Index3">
    <w:name w:val="index 3"/>
    <w:basedOn w:val="Normal"/>
    <w:next w:val="Normal"/>
    <w:rsid w:val="000F5A95"/>
    <w:pPr>
      <w:ind w:left="566"/>
    </w:pPr>
  </w:style>
  <w:style w:type="paragraph" w:styleId="Index2">
    <w:name w:val="index 2"/>
    <w:basedOn w:val="Normal"/>
    <w:next w:val="Normal"/>
    <w:rsid w:val="000F5A95"/>
    <w:pPr>
      <w:ind w:left="283"/>
    </w:pPr>
  </w:style>
  <w:style w:type="paragraph" w:styleId="Index1">
    <w:name w:val="index 1"/>
    <w:basedOn w:val="Normal"/>
    <w:next w:val="Normal"/>
    <w:rsid w:val="000F5A95"/>
  </w:style>
  <w:style w:type="character" w:styleId="LineNumber">
    <w:name w:val="line number"/>
    <w:basedOn w:val="DefaultParagraphFont"/>
    <w:rsid w:val="000F5A95"/>
  </w:style>
  <w:style w:type="paragraph" w:styleId="IndexHeading">
    <w:name w:val="index heading"/>
    <w:basedOn w:val="Normal"/>
    <w:next w:val="Index1"/>
    <w:rsid w:val="000F5A95"/>
  </w:style>
  <w:style w:type="paragraph" w:styleId="Footer">
    <w:name w:val="footer"/>
    <w:basedOn w:val="Normal"/>
    <w:link w:val="FooterChar"/>
    <w:rsid w:val="000F5A9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0F5A9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0F5A95"/>
    <w:rPr>
      <w:rFonts w:ascii="Calibri" w:hAnsi="Calibri"/>
      <w:position w:val="6"/>
      <w:sz w:val="16"/>
    </w:rPr>
  </w:style>
  <w:style w:type="paragraph" w:styleId="FootnoteText">
    <w:name w:val="footnote text"/>
    <w:basedOn w:val="Normal"/>
    <w:rsid w:val="000F5A95"/>
    <w:pPr>
      <w:keepLines/>
      <w:tabs>
        <w:tab w:val="left" w:pos="256"/>
      </w:tabs>
      <w:ind w:left="256" w:hanging="256"/>
    </w:pPr>
    <w:rPr>
      <w:sz w:val="22"/>
    </w:rPr>
  </w:style>
  <w:style w:type="paragraph" w:styleId="NormalIndent">
    <w:name w:val="Normal Indent"/>
    <w:basedOn w:val="Normal"/>
    <w:rsid w:val="000F5A95"/>
    <w:pPr>
      <w:ind w:left="567"/>
    </w:pPr>
  </w:style>
  <w:style w:type="paragraph" w:customStyle="1" w:styleId="AnnexNo">
    <w:name w:val="Annex_No"/>
    <w:basedOn w:val="Normal"/>
    <w:next w:val="Annexref"/>
    <w:rsid w:val="000F5A95"/>
    <w:pPr>
      <w:keepNext/>
      <w:keepLines/>
      <w:spacing w:before="720"/>
      <w:jc w:val="center"/>
    </w:pPr>
    <w:rPr>
      <w:caps/>
      <w:sz w:val="28"/>
    </w:rPr>
  </w:style>
  <w:style w:type="paragraph" w:customStyle="1" w:styleId="Annextitle">
    <w:name w:val="Annex_title"/>
    <w:basedOn w:val="Normal"/>
    <w:next w:val="Normalaftertitle"/>
    <w:rsid w:val="000F5A95"/>
    <w:pPr>
      <w:keepNext/>
      <w:keepLines/>
      <w:spacing w:before="240" w:after="240"/>
      <w:jc w:val="center"/>
    </w:pPr>
    <w:rPr>
      <w:b/>
      <w:sz w:val="28"/>
    </w:rPr>
  </w:style>
  <w:style w:type="paragraph" w:customStyle="1" w:styleId="Annexref">
    <w:name w:val="Annex_ref"/>
    <w:basedOn w:val="Normal"/>
    <w:next w:val="Annextitle"/>
    <w:rsid w:val="000F5A95"/>
    <w:pPr>
      <w:keepNext/>
      <w:keepLines/>
      <w:jc w:val="center"/>
    </w:pPr>
    <w:rPr>
      <w:sz w:val="28"/>
    </w:rPr>
  </w:style>
  <w:style w:type="paragraph" w:customStyle="1" w:styleId="Normalaftertitle">
    <w:name w:val="Normal after title"/>
    <w:basedOn w:val="Normal"/>
    <w:next w:val="Normal"/>
    <w:rsid w:val="000F5A95"/>
    <w:pPr>
      <w:spacing w:before="240"/>
    </w:pPr>
  </w:style>
  <w:style w:type="paragraph" w:customStyle="1" w:styleId="AppendixNo">
    <w:name w:val="Appendix_No"/>
    <w:basedOn w:val="AnnexNo"/>
    <w:next w:val="Appendixref"/>
    <w:rsid w:val="000F5A95"/>
  </w:style>
  <w:style w:type="paragraph" w:customStyle="1" w:styleId="Appendixtitle">
    <w:name w:val="Appendix_title"/>
    <w:basedOn w:val="Annextitle"/>
    <w:next w:val="Normalaftertitle"/>
    <w:rsid w:val="000F5A95"/>
  </w:style>
  <w:style w:type="paragraph" w:customStyle="1" w:styleId="Appendixref">
    <w:name w:val="Appendix_ref"/>
    <w:basedOn w:val="Annexref"/>
    <w:next w:val="Appendixtitle"/>
    <w:rsid w:val="000F5A95"/>
  </w:style>
  <w:style w:type="paragraph" w:customStyle="1" w:styleId="enumlev1">
    <w:name w:val="enumlev1"/>
    <w:basedOn w:val="Normal"/>
    <w:rsid w:val="000F5A95"/>
    <w:pPr>
      <w:spacing w:before="80"/>
      <w:ind w:left="567" w:hanging="567"/>
    </w:pPr>
  </w:style>
  <w:style w:type="paragraph" w:customStyle="1" w:styleId="enumlev2">
    <w:name w:val="enumlev2"/>
    <w:basedOn w:val="enumlev1"/>
    <w:rsid w:val="000F5A95"/>
    <w:pPr>
      <w:ind w:left="1134"/>
    </w:pPr>
  </w:style>
  <w:style w:type="paragraph" w:customStyle="1" w:styleId="enumlev3">
    <w:name w:val="enumlev3"/>
    <w:basedOn w:val="enumlev2"/>
    <w:rsid w:val="000F5A95"/>
    <w:pPr>
      <w:ind w:left="1701"/>
    </w:pPr>
  </w:style>
  <w:style w:type="paragraph" w:customStyle="1" w:styleId="Artheading">
    <w:name w:val="Art_heading"/>
    <w:basedOn w:val="Normal"/>
    <w:next w:val="Normalaftertitle"/>
    <w:rsid w:val="000F5A9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0F5A95"/>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0F5A95"/>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all">
    <w:name w:val="Call"/>
    <w:basedOn w:val="Normal"/>
    <w:next w:val="Normal"/>
    <w:rsid w:val="000F5A95"/>
    <w:pPr>
      <w:keepNext/>
      <w:keepLines/>
      <w:tabs>
        <w:tab w:val="clear" w:pos="1134"/>
        <w:tab w:val="clear" w:pos="1701"/>
        <w:tab w:val="clear" w:pos="2268"/>
        <w:tab w:val="clear" w:pos="2835"/>
      </w:tabs>
      <w:spacing w:before="160"/>
      <w:ind w:left="567"/>
    </w:pPr>
    <w:rPr>
      <w:i/>
    </w:rPr>
  </w:style>
  <w:style w:type="paragraph" w:customStyle="1" w:styleId="ChapNo">
    <w:name w:val="Chap_No"/>
    <w:basedOn w:val="ArtNo"/>
    <w:next w:val="Chaptitle"/>
    <w:rsid w:val="000F5A95"/>
  </w:style>
  <w:style w:type="paragraph" w:customStyle="1" w:styleId="Chaptitle">
    <w:name w:val="Chap_title"/>
    <w:basedOn w:val="Arttitle"/>
    <w:next w:val="Normalaftertitle"/>
    <w:rsid w:val="000F5A95"/>
  </w:style>
  <w:style w:type="paragraph" w:customStyle="1" w:styleId="Equationlegend">
    <w:name w:val="Equation_legend"/>
    <w:basedOn w:val="NormalIndent"/>
    <w:rsid w:val="000F5A95"/>
    <w:pPr>
      <w:tabs>
        <w:tab w:val="right" w:pos="1531"/>
      </w:tabs>
      <w:spacing w:before="80"/>
      <w:ind w:left="1701" w:hanging="1701"/>
    </w:pPr>
  </w:style>
  <w:style w:type="paragraph" w:customStyle="1" w:styleId="Figure">
    <w:name w:val="Figure"/>
    <w:basedOn w:val="Normal"/>
    <w:next w:val="Normal"/>
    <w:rsid w:val="000F5A95"/>
    <w:pPr>
      <w:spacing w:after="240"/>
      <w:jc w:val="center"/>
    </w:pPr>
  </w:style>
  <w:style w:type="paragraph" w:customStyle="1" w:styleId="Figuretitle">
    <w:name w:val="Figure_title"/>
    <w:basedOn w:val="Tabletitle"/>
    <w:next w:val="Normalaftertitle"/>
    <w:rsid w:val="000F5A95"/>
    <w:pPr>
      <w:spacing w:before="120" w:after="0"/>
    </w:pPr>
  </w:style>
  <w:style w:type="paragraph" w:customStyle="1" w:styleId="Tabletitle">
    <w:name w:val="Table_title"/>
    <w:basedOn w:val="TableNo"/>
    <w:next w:val="Tabletext"/>
    <w:rsid w:val="000F5A95"/>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0F5A95"/>
    <w:pPr>
      <w:keepNext/>
      <w:keepLines/>
      <w:spacing w:before="480" w:after="120"/>
      <w:jc w:val="center"/>
    </w:pPr>
    <w:rPr>
      <w:caps/>
    </w:rPr>
  </w:style>
  <w:style w:type="paragraph" w:customStyle="1" w:styleId="Tabletext">
    <w:name w:val="Table_text"/>
    <w:basedOn w:val="Normal"/>
    <w:rsid w:val="000F5A95"/>
    <w:pPr>
      <w:tabs>
        <w:tab w:val="clear" w:pos="1134"/>
        <w:tab w:val="clear" w:pos="1701"/>
        <w:tab w:val="clear" w:pos="2268"/>
        <w:tab w:val="clear" w:pos="2835"/>
        <w:tab w:val="left" w:pos="284"/>
        <w:tab w:val="left" w:pos="851"/>
      </w:tabs>
      <w:spacing w:before="40" w:after="40"/>
    </w:pPr>
    <w:rPr>
      <w:sz w:val="22"/>
    </w:rPr>
  </w:style>
  <w:style w:type="paragraph" w:customStyle="1" w:styleId="Figurelegend">
    <w:name w:val="Figure_legend"/>
    <w:basedOn w:val="Normal"/>
    <w:next w:val="Normal"/>
    <w:rsid w:val="000F5A95"/>
    <w:pPr>
      <w:spacing w:before="20" w:after="240"/>
    </w:pPr>
    <w:rPr>
      <w:sz w:val="18"/>
    </w:rPr>
  </w:style>
  <w:style w:type="paragraph" w:customStyle="1" w:styleId="Equation">
    <w:name w:val="Equation"/>
    <w:basedOn w:val="Normal"/>
    <w:rsid w:val="000F5A95"/>
    <w:pPr>
      <w:tabs>
        <w:tab w:val="center" w:pos="4820"/>
        <w:tab w:val="right" w:pos="9639"/>
      </w:tabs>
    </w:pPr>
  </w:style>
  <w:style w:type="paragraph" w:customStyle="1" w:styleId="Head">
    <w:name w:val="Head"/>
    <w:basedOn w:val="Normal"/>
    <w:rsid w:val="000F5A95"/>
    <w:pPr>
      <w:tabs>
        <w:tab w:val="left" w:pos="6663"/>
      </w:tabs>
      <w:overflowPunct/>
      <w:autoSpaceDE/>
      <w:autoSpaceDN/>
      <w:adjustRightInd/>
      <w:spacing w:before="0"/>
      <w:textAlignment w:val="auto"/>
    </w:pPr>
  </w:style>
  <w:style w:type="paragraph" w:customStyle="1" w:styleId="toc0">
    <w:name w:val="toc 0"/>
    <w:basedOn w:val="Normal"/>
    <w:next w:val="TOC1"/>
    <w:rsid w:val="000F5A95"/>
    <w:pPr>
      <w:tabs>
        <w:tab w:val="clear" w:pos="567"/>
        <w:tab w:val="clear" w:pos="1134"/>
        <w:tab w:val="clear" w:pos="1701"/>
        <w:tab w:val="clear" w:pos="2268"/>
        <w:tab w:val="clear" w:pos="2835"/>
        <w:tab w:val="right" w:pos="9781"/>
      </w:tabs>
    </w:pPr>
    <w:rPr>
      <w:b/>
    </w:rPr>
  </w:style>
  <w:style w:type="paragraph" w:styleId="List">
    <w:name w:val="List"/>
    <w:basedOn w:val="Normal"/>
    <w:rsid w:val="000F5A95"/>
    <w:pPr>
      <w:tabs>
        <w:tab w:val="left" w:pos="2127"/>
      </w:tabs>
      <w:ind w:left="2127" w:hanging="2127"/>
    </w:pPr>
  </w:style>
  <w:style w:type="paragraph" w:customStyle="1" w:styleId="Part">
    <w:name w:val="Part"/>
    <w:basedOn w:val="Normal"/>
    <w:rsid w:val="000F5A95"/>
    <w:pPr>
      <w:tabs>
        <w:tab w:val="left" w:pos="1276"/>
      </w:tabs>
      <w:spacing w:before="199"/>
      <w:ind w:left="1701" w:hanging="1701"/>
    </w:pPr>
    <w:rPr>
      <w:caps/>
    </w:rPr>
  </w:style>
  <w:style w:type="paragraph" w:customStyle="1" w:styleId="Figurewithouttitle">
    <w:name w:val="Figure_without_title"/>
    <w:basedOn w:val="Figure"/>
    <w:next w:val="Normal"/>
    <w:rsid w:val="000F5A95"/>
  </w:style>
  <w:style w:type="character" w:styleId="PageNumber">
    <w:name w:val="page number"/>
    <w:basedOn w:val="DefaultParagraphFont"/>
    <w:rsid w:val="000F5A95"/>
    <w:rPr>
      <w:rFonts w:ascii="Calibri" w:hAnsi="Calibri"/>
    </w:rPr>
  </w:style>
  <w:style w:type="paragraph" w:customStyle="1" w:styleId="meeting">
    <w:name w:val="meeting"/>
    <w:basedOn w:val="Head"/>
    <w:next w:val="Head"/>
    <w:rsid w:val="000F5A95"/>
    <w:pPr>
      <w:tabs>
        <w:tab w:val="left" w:pos="7371"/>
      </w:tabs>
      <w:spacing w:after="567"/>
    </w:pPr>
  </w:style>
  <w:style w:type="paragraph" w:customStyle="1" w:styleId="PartNo">
    <w:name w:val="Part_No"/>
    <w:basedOn w:val="AnnexNo"/>
    <w:next w:val="Parttitle"/>
    <w:rsid w:val="000F5A95"/>
  </w:style>
  <w:style w:type="paragraph" w:customStyle="1" w:styleId="Parttitle">
    <w:name w:val="Part_title"/>
    <w:basedOn w:val="Annextitle"/>
    <w:next w:val="Partref"/>
    <w:rsid w:val="000F5A95"/>
  </w:style>
  <w:style w:type="paragraph" w:customStyle="1" w:styleId="Partref">
    <w:name w:val="Part_ref"/>
    <w:basedOn w:val="Annexref"/>
    <w:next w:val="Normalaftertitle"/>
    <w:rsid w:val="000F5A95"/>
  </w:style>
  <w:style w:type="paragraph" w:customStyle="1" w:styleId="Headingb">
    <w:name w:val="Heading_b"/>
    <w:basedOn w:val="Heading3"/>
    <w:next w:val="Normal"/>
    <w:rsid w:val="000F5A95"/>
    <w:pPr>
      <w:spacing w:before="160"/>
      <w:ind w:left="0" w:firstLine="0"/>
      <w:outlineLvl w:val="0"/>
    </w:pPr>
  </w:style>
  <w:style w:type="paragraph" w:customStyle="1" w:styleId="Subject">
    <w:name w:val="Subject"/>
    <w:basedOn w:val="Normal"/>
    <w:next w:val="Source"/>
    <w:rsid w:val="000F5A95"/>
    <w:pPr>
      <w:tabs>
        <w:tab w:val="left" w:pos="709"/>
      </w:tabs>
      <w:spacing w:before="0"/>
      <w:ind w:left="709" w:hanging="709"/>
    </w:pPr>
  </w:style>
  <w:style w:type="paragraph" w:customStyle="1" w:styleId="Source">
    <w:name w:val="Source"/>
    <w:basedOn w:val="Normal"/>
    <w:next w:val="Title1"/>
    <w:rsid w:val="00DA4FB9"/>
    <w:pPr>
      <w:framePr w:hSpace="181" w:wrap="around" w:vAnchor="page" w:hAnchor="page" w:x="1589" w:y="2314"/>
      <w:spacing w:before="840"/>
    </w:pPr>
    <w:rPr>
      <w:rFonts w:cstheme="minorHAnsi"/>
      <w:b/>
      <w:sz w:val="32"/>
      <w:szCs w:val="32"/>
      <w:lang w:val="es-ES_tradnl"/>
    </w:rPr>
  </w:style>
  <w:style w:type="paragraph" w:customStyle="1" w:styleId="Data">
    <w:name w:val="Data"/>
    <w:basedOn w:val="Subject"/>
    <w:next w:val="Subject"/>
    <w:rsid w:val="000F5A95"/>
  </w:style>
  <w:style w:type="character" w:styleId="Hyperlink">
    <w:name w:val="Hyperlink"/>
    <w:basedOn w:val="DefaultParagraphFont"/>
    <w:rsid w:val="006B3E2D"/>
    <w:rPr>
      <w:rFonts w:eastAsiaTheme="minorHAnsi" w:cstheme="minorBidi"/>
      <w:color w:val="4F81BD" w:themeColor="accent1"/>
      <w:szCs w:val="22"/>
      <w:u w:val="single"/>
    </w:rPr>
  </w:style>
  <w:style w:type="character" w:styleId="FollowedHyperlink">
    <w:name w:val="FollowedHyperlink"/>
    <w:basedOn w:val="DefaultParagraphFont"/>
    <w:rsid w:val="000F5A95"/>
    <w:rPr>
      <w:color w:val="800080"/>
      <w:u w:val="single"/>
    </w:rPr>
  </w:style>
  <w:style w:type="paragraph" w:customStyle="1" w:styleId="FirstFooter">
    <w:name w:val="FirstFooter"/>
    <w:basedOn w:val="Footer"/>
    <w:rsid w:val="000F5A95"/>
    <w:rPr>
      <w:caps w:val="0"/>
    </w:rPr>
  </w:style>
  <w:style w:type="paragraph" w:customStyle="1" w:styleId="Note">
    <w:name w:val="Note"/>
    <w:basedOn w:val="Normal"/>
    <w:rsid w:val="000F5A95"/>
    <w:pPr>
      <w:spacing w:before="80"/>
    </w:pPr>
    <w:rPr>
      <w:sz w:val="22"/>
    </w:rPr>
  </w:style>
  <w:style w:type="paragraph" w:styleId="TOC9">
    <w:name w:val="toc 9"/>
    <w:basedOn w:val="Normal"/>
    <w:next w:val="Normal"/>
    <w:rsid w:val="000F5A95"/>
    <w:pPr>
      <w:tabs>
        <w:tab w:val="clear" w:pos="567"/>
        <w:tab w:val="clear" w:pos="1134"/>
        <w:tab w:val="clear" w:pos="1701"/>
        <w:tab w:val="clear" w:pos="2268"/>
        <w:tab w:val="clear" w:pos="2835"/>
        <w:tab w:val="right" w:leader="dot" w:pos="9645"/>
      </w:tabs>
      <w:ind w:left="1920"/>
    </w:pPr>
  </w:style>
  <w:style w:type="paragraph" w:customStyle="1" w:styleId="Headingi">
    <w:name w:val="Heading_i"/>
    <w:basedOn w:val="Heading3"/>
    <w:next w:val="Normal"/>
    <w:rsid w:val="000F5A95"/>
    <w:pPr>
      <w:spacing w:before="160"/>
      <w:ind w:left="0" w:firstLine="0"/>
      <w:outlineLvl w:val="0"/>
    </w:pPr>
    <w:rPr>
      <w:b w:val="0"/>
      <w:i/>
    </w:rPr>
  </w:style>
  <w:style w:type="paragraph" w:customStyle="1" w:styleId="Title1">
    <w:name w:val="Title 1"/>
    <w:basedOn w:val="Normal"/>
    <w:next w:val="Normalaftertitle"/>
    <w:rsid w:val="000F5A95"/>
    <w:pPr>
      <w:spacing w:before="360"/>
      <w:jc w:val="center"/>
    </w:pPr>
    <w:rPr>
      <w:caps/>
    </w:rPr>
  </w:style>
  <w:style w:type="paragraph" w:customStyle="1" w:styleId="Title2">
    <w:name w:val="Title 2"/>
    <w:basedOn w:val="Title1"/>
    <w:next w:val="Normalaftertitle"/>
    <w:rsid w:val="000F5A95"/>
    <w:pPr>
      <w:keepNext/>
      <w:keepLines/>
      <w:spacing w:before="240"/>
    </w:pPr>
    <w:rPr>
      <w:b/>
      <w:caps w:val="0"/>
    </w:rPr>
  </w:style>
  <w:style w:type="paragraph" w:customStyle="1" w:styleId="Title3">
    <w:name w:val="Title 3"/>
    <w:basedOn w:val="Title2"/>
    <w:next w:val="Normalaftertitle"/>
    <w:rsid w:val="000F5A95"/>
    <w:rPr>
      <w:b w:val="0"/>
      <w:caps/>
    </w:rPr>
  </w:style>
  <w:style w:type="paragraph" w:customStyle="1" w:styleId="Title4">
    <w:name w:val="Title 4"/>
    <w:basedOn w:val="Annextitle"/>
    <w:next w:val="Normal"/>
    <w:rsid w:val="000F5A95"/>
    <w:pPr>
      <w:spacing w:after="120"/>
    </w:pPr>
    <w:rPr>
      <w:b w:val="0"/>
    </w:rPr>
  </w:style>
  <w:style w:type="paragraph" w:customStyle="1" w:styleId="dnum">
    <w:name w:val="dnum"/>
    <w:basedOn w:val="Normal"/>
    <w:rsid w:val="000F5A95"/>
    <w:pPr>
      <w:framePr w:hSpace="181" w:wrap="notBeside" w:vAnchor="page" w:hAnchor="margin" w:x="1" w:y="852"/>
      <w:shd w:val="solid" w:color="FFFFFF" w:fill="FFFFFF"/>
      <w:tabs>
        <w:tab w:val="left" w:pos="1871"/>
      </w:tabs>
    </w:pPr>
    <w:rPr>
      <w:b/>
      <w:bCs/>
    </w:rPr>
  </w:style>
  <w:style w:type="paragraph" w:customStyle="1" w:styleId="ddate">
    <w:name w:val="ddate"/>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RecNo">
    <w:name w:val="Rec_No"/>
    <w:basedOn w:val="Normal"/>
    <w:next w:val="Rectitle"/>
    <w:rsid w:val="000F5A95"/>
    <w:pPr>
      <w:keepNext/>
      <w:keepLines/>
      <w:spacing w:before="720"/>
      <w:jc w:val="center"/>
    </w:pPr>
    <w:rPr>
      <w:caps/>
      <w:sz w:val="28"/>
    </w:rPr>
  </w:style>
  <w:style w:type="paragraph" w:customStyle="1" w:styleId="Rectitle">
    <w:name w:val="Rec_title"/>
    <w:basedOn w:val="Normal"/>
    <w:next w:val="Heading1"/>
    <w:rsid w:val="000F5A95"/>
    <w:pPr>
      <w:keepNext/>
      <w:keepLines/>
      <w:jc w:val="center"/>
    </w:pPr>
    <w:rPr>
      <w:b/>
      <w:sz w:val="28"/>
    </w:rPr>
  </w:style>
  <w:style w:type="paragraph" w:customStyle="1" w:styleId="Recref">
    <w:name w:val="Rec_ref"/>
    <w:basedOn w:val="Rectitle"/>
    <w:next w:val="Recdate"/>
    <w:rsid w:val="000F5A95"/>
    <w:rPr>
      <w:rFonts w:ascii="Times New Roman" w:hAnsi="Times New Roman"/>
      <w:b w:val="0"/>
      <w:sz w:val="24"/>
    </w:rPr>
  </w:style>
  <w:style w:type="paragraph" w:customStyle="1" w:styleId="Recdate">
    <w:name w:val="Rec_date"/>
    <w:basedOn w:val="Recref"/>
    <w:next w:val="Normalaftertitle"/>
    <w:rsid w:val="000F5A95"/>
    <w:pPr>
      <w:jc w:val="right"/>
    </w:pPr>
    <w:rPr>
      <w:sz w:val="22"/>
    </w:rPr>
  </w:style>
  <w:style w:type="paragraph" w:customStyle="1" w:styleId="Questiondate">
    <w:name w:val="Question_date"/>
    <w:basedOn w:val="Recdate"/>
    <w:next w:val="Normalaftertitle"/>
    <w:rsid w:val="000F5A95"/>
  </w:style>
  <w:style w:type="paragraph" w:customStyle="1" w:styleId="QuestionNo">
    <w:name w:val="Question_No"/>
    <w:basedOn w:val="RecNo"/>
    <w:next w:val="Questiontitle"/>
    <w:rsid w:val="000F5A95"/>
  </w:style>
  <w:style w:type="paragraph" w:customStyle="1" w:styleId="Questiontitle">
    <w:name w:val="Question_title"/>
    <w:basedOn w:val="Rectitle"/>
    <w:next w:val="Questionref"/>
    <w:rsid w:val="000F5A95"/>
  </w:style>
  <w:style w:type="paragraph" w:customStyle="1" w:styleId="Questionref">
    <w:name w:val="Question_ref"/>
    <w:basedOn w:val="Recref"/>
    <w:next w:val="Questiondate"/>
    <w:rsid w:val="000F5A95"/>
  </w:style>
  <w:style w:type="paragraph" w:customStyle="1" w:styleId="Reftext">
    <w:name w:val="Ref_text"/>
    <w:basedOn w:val="Normal"/>
    <w:rsid w:val="000F5A95"/>
    <w:pPr>
      <w:ind w:left="567" w:hanging="567"/>
    </w:pPr>
  </w:style>
  <w:style w:type="paragraph" w:customStyle="1" w:styleId="Reftitle">
    <w:name w:val="Ref_title"/>
    <w:basedOn w:val="Normal"/>
    <w:next w:val="Reftext"/>
    <w:rsid w:val="000F5A95"/>
    <w:pPr>
      <w:spacing w:before="480"/>
      <w:jc w:val="center"/>
    </w:pPr>
    <w:rPr>
      <w:caps/>
      <w:sz w:val="28"/>
    </w:rPr>
  </w:style>
  <w:style w:type="paragraph" w:customStyle="1" w:styleId="Repdate">
    <w:name w:val="Rep_date"/>
    <w:basedOn w:val="Recdate"/>
    <w:next w:val="Normalaftertitle"/>
    <w:rsid w:val="000F5A95"/>
  </w:style>
  <w:style w:type="paragraph" w:customStyle="1" w:styleId="RepNo">
    <w:name w:val="Rep_No"/>
    <w:basedOn w:val="RecNo"/>
    <w:next w:val="Reptitle"/>
    <w:rsid w:val="000F5A95"/>
  </w:style>
  <w:style w:type="paragraph" w:customStyle="1" w:styleId="Reptitle">
    <w:name w:val="Rep_title"/>
    <w:basedOn w:val="Rectitle"/>
    <w:next w:val="Repref"/>
    <w:rsid w:val="000F5A95"/>
  </w:style>
  <w:style w:type="paragraph" w:customStyle="1" w:styleId="Repref">
    <w:name w:val="Rep_ref"/>
    <w:basedOn w:val="Recref"/>
    <w:next w:val="Repdate"/>
    <w:rsid w:val="000F5A95"/>
  </w:style>
  <w:style w:type="paragraph" w:customStyle="1" w:styleId="Resdate">
    <w:name w:val="Res_date"/>
    <w:basedOn w:val="Recdate"/>
    <w:next w:val="Normalaftertitle"/>
    <w:rsid w:val="000F5A95"/>
  </w:style>
  <w:style w:type="paragraph" w:customStyle="1" w:styleId="ResNo">
    <w:name w:val="Res_No"/>
    <w:basedOn w:val="AnnexNo"/>
    <w:next w:val="Restitle"/>
    <w:rsid w:val="000F5A95"/>
  </w:style>
  <w:style w:type="paragraph" w:customStyle="1" w:styleId="Restitle">
    <w:name w:val="Res_title"/>
    <w:basedOn w:val="Annextitle"/>
    <w:next w:val="Normal"/>
    <w:rsid w:val="000F5A95"/>
  </w:style>
  <w:style w:type="paragraph" w:customStyle="1" w:styleId="Resref">
    <w:name w:val="Res_ref"/>
    <w:basedOn w:val="Recref"/>
    <w:next w:val="Resdate"/>
    <w:rsid w:val="000F5A95"/>
  </w:style>
  <w:style w:type="paragraph" w:customStyle="1" w:styleId="SectionNo">
    <w:name w:val="Section_No"/>
    <w:basedOn w:val="AnnexNo"/>
    <w:next w:val="Sectiontitle"/>
    <w:rsid w:val="000F5A95"/>
  </w:style>
  <w:style w:type="paragraph" w:customStyle="1" w:styleId="Sectiontitle">
    <w:name w:val="Section_title"/>
    <w:basedOn w:val="Normal"/>
    <w:next w:val="Normalaftertitle"/>
    <w:rsid w:val="000F5A95"/>
    <w:rPr>
      <w:sz w:val="28"/>
    </w:rPr>
  </w:style>
  <w:style w:type="paragraph" w:customStyle="1" w:styleId="SpecialFooter">
    <w:name w:val="Special Footer"/>
    <w:basedOn w:val="Footer"/>
    <w:rsid w:val="000F5A95"/>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rsid w:val="000F5A95"/>
    <w:pPr>
      <w:keepNext/>
      <w:keepLines/>
      <w:spacing w:before="80" w:after="80"/>
      <w:jc w:val="center"/>
    </w:pPr>
    <w:rPr>
      <w:b/>
    </w:rPr>
  </w:style>
  <w:style w:type="paragraph" w:customStyle="1" w:styleId="Tablelegend">
    <w:name w:val="Table_legend"/>
    <w:basedOn w:val="Tabletext"/>
    <w:rsid w:val="000F5A95"/>
    <w:pPr>
      <w:ind w:left="284" w:hanging="284"/>
    </w:pPr>
    <w:rPr>
      <w:sz w:val="20"/>
    </w:rPr>
  </w:style>
  <w:style w:type="paragraph" w:customStyle="1" w:styleId="Tableref">
    <w:name w:val="Table_ref"/>
    <w:basedOn w:val="Normal"/>
    <w:next w:val="Tabletitle"/>
    <w:rsid w:val="000F5A95"/>
    <w:pPr>
      <w:keepNext/>
      <w:keepLines/>
      <w:jc w:val="center"/>
    </w:pPr>
    <w:rPr>
      <w:sz w:val="20"/>
    </w:rPr>
  </w:style>
  <w:style w:type="paragraph" w:customStyle="1" w:styleId="Reasons">
    <w:name w:val="Reasons"/>
    <w:basedOn w:val="Normal"/>
    <w:qFormat/>
    <w:rsid w:val="000F5A95"/>
  </w:style>
  <w:style w:type="paragraph" w:customStyle="1" w:styleId="FigureNo">
    <w:name w:val="Figure_No"/>
    <w:basedOn w:val="Normal"/>
    <w:next w:val="Figuretitle"/>
    <w:rsid w:val="000F5A95"/>
    <w:pPr>
      <w:keepNext/>
      <w:keepLines/>
      <w:spacing w:before="480" w:after="120"/>
      <w:jc w:val="center"/>
    </w:pPr>
    <w:rPr>
      <w:caps/>
    </w:rPr>
  </w:style>
  <w:style w:type="paragraph" w:customStyle="1" w:styleId="Table">
    <w:name w:val="Table_#"/>
    <w:basedOn w:val="Normal"/>
    <w:next w:val="Normal"/>
    <w:rsid w:val="00093EEB"/>
    <w:pPr>
      <w:keepNext/>
      <w:overflowPunct/>
      <w:autoSpaceDE/>
      <w:autoSpaceDN/>
      <w:adjustRightInd/>
      <w:spacing w:before="560" w:after="120"/>
      <w:jc w:val="center"/>
      <w:textAlignment w:val="auto"/>
    </w:pPr>
    <w:rPr>
      <w:caps/>
      <w:lang w:val="en-GB"/>
    </w:rPr>
  </w:style>
  <w:style w:type="paragraph" w:customStyle="1" w:styleId="Subtitle">
    <w:name w:val="Sub_title"/>
    <w:basedOn w:val="Normal"/>
    <w:qFormat/>
    <w:rsid w:val="000F5A95"/>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0F5A95"/>
    <w:rPr>
      <w:rFonts w:ascii="Calibri" w:hAnsi="Calibri"/>
      <w:sz w:val="18"/>
      <w:lang w:val="fr-FR" w:eastAsia="en-US"/>
    </w:rPr>
  </w:style>
  <w:style w:type="table" w:styleId="TableGrid">
    <w:name w:val="Table Grid"/>
    <w:basedOn w:val="TableNormal"/>
    <w:uiPriority w:val="39"/>
    <w:rsid w:val="000F5A95"/>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F5A95"/>
    <w:rPr>
      <w:color w:val="666666"/>
    </w:rPr>
  </w:style>
  <w:style w:type="character" w:styleId="UnresolvedMention">
    <w:name w:val="Unresolved Mention"/>
    <w:basedOn w:val="DefaultParagraphFont"/>
    <w:uiPriority w:val="99"/>
    <w:semiHidden/>
    <w:unhideWhenUsed/>
    <w:rsid w:val="002946E2"/>
    <w:rPr>
      <w:color w:val="605E5C"/>
      <w:shd w:val="clear" w:color="auto" w:fill="E1DFDD"/>
    </w:rPr>
  </w:style>
  <w:style w:type="paragraph" w:customStyle="1" w:styleId="firstfooter0">
    <w:name w:val="firstfooter"/>
    <w:basedOn w:val="Normal"/>
    <w:rsid w:val="000F5A9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Object">
    <w:name w:val="Object"/>
    <w:basedOn w:val="Subject"/>
    <w:next w:val="Subject"/>
    <w:rsid w:val="000F5A95"/>
  </w:style>
  <w:style w:type="paragraph" w:customStyle="1" w:styleId="Referencetext">
    <w:name w:val="Reference_text"/>
    <w:basedOn w:val="Normal"/>
    <w:rsid w:val="000F5A95"/>
    <w:pPr>
      <w:framePr w:hSpace="181" w:wrap="around" w:vAnchor="page" w:hAnchor="page" w:x="1589" w:y="2314"/>
      <w:spacing w:after="160"/>
    </w:pPr>
    <w:rPr>
      <w:i/>
      <w:iCs/>
      <w:sz w:val="22"/>
      <w:szCs w:val="22"/>
    </w:rPr>
  </w:style>
  <w:style w:type="table" w:styleId="GridTable1Light-Accent1">
    <w:name w:val="Grid Table 1 Light Accent 1"/>
    <w:basedOn w:val="TableNormal"/>
    <w:uiPriority w:val="46"/>
    <w:rsid w:val="00761AE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FooterChar">
    <w:name w:val="Footer Char"/>
    <w:basedOn w:val="DefaultParagraphFont"/>
    <w:link w:val="Footer"/>
    <w:rsid w:val="009A3919"/>
    <w:rPr>
      <w:rFonts w:ascii="Calibri" w:hAnsi="Calibri"/>
      <w:caps/>
      <w:noProof/>
      <w:sz w:val="16"/>
      <w:lang w:val="fr-FR" w:eastAsia="en-US"/>
    </w:rPr>
  </w:style>
  <w:style w:type="paragraph" w:styleId="Revision">
    <w:name w:val="Revision"/>
    <w:hidden/>
    <w:uiPriority w:val="99"/>
    <w:semiHidden/>
    <w:rsid w:val="009274D6"/>
    <w:rPr>
      <w:rFonts w:ascii="Calibri" w:hAnsi="Calibri"/>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0365">
      <w:bodyDiv w:val="1"/>
      <w:marLeft w:val="0"/>
      <w:marRight w:val="0"/>
      <w:marTop w:val="0"/>
      <w:marBottom w:val="0"/>
      <w:divBdr>
        <w:top w:val="none" w:sz="0" w:space="0" w:color="auto"/>
        <w:left w:val="none" w:sz="0" w:space="0" w:color="auto"/>
        <w:bottom w:val="none" w:sz="0" w:space="0" w:color="auto"/>
        <w:right w:val="none" w:sz="0" w:space="0" w:color="auto"/>
      </w:divBdr>
    </w:div>
    <w:div w:id="131875480">
      <w:bodyDiv w:val="1"/>
      <w:marLeft w:val="0"/>
      <w:marRight w:val="0"/>
      <w:marTop w:val="0"/>
      <w:marBottom w:val="0"/>
      <w:divBdr>
        <w:top w:val="none" w:sz="0" w:space="0" w:color="auto"/>
        <w:left w:val="none" w:sz="0" w:space="0" w:color="auto"/>
        <w:bottom w:val="none" w:sz="0" w:space="0" w:color="auto"/>
        <w:right w:val="none" w:sz="0" w:space="0" w:color="auto"/>
      </w:divBdr>
    </w:div>
    <w:div w:id="527763572">
      <w:bodyDiv w:val="1"/>
      <w:marLeft w:val="0"/>
      <w:marRight w:val="0"/>
      <w:marTop w:val="0"/>
      <w:marBottom w:val="0"/>
      <w:divBdr>
        <w:top w:val="none" w:sz="0" w:space="0" w:color="auto"/>
        <w:left w:val="none" w:sz="0" w:space="0" w:color="auto"/>
        <w:bottom w:val="none" w:sz="0" w:space="0" w:color="auto"/>
        <w:right w:val="none" w:sz="0" w:space="0" w:color="auto"/>
      </w:divBdr>
    </w:div>
    <w:div w:id="124271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S23-C23ADD-C-0004/es" TargetMode="External"/><Relationship Id="rId18" Type="http://schemas.openxmlformats.org/officeDocument/2006/relationships/hyperlink" Target="https://www.itu.int/md/S24-CL-INF-0013/es" TargetMode="External"/><Relationship Id="rId26" Type="http://schemas.openxmlformats.org/officeDocument/2006/relationships/footer" Target="footer1.xml"/><Relationship Id="rId21" Type="http://schemas.openxmlformats.org/officeDocument/2006/relationships/hyperlink" Target="https://www.itu.int/md/S25-CL-C-0004/es"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itu.int/md/S23-CL-C-0107/es" TargetMode="External"/><Relationship Id="rId17" Type="http://schemas.openxmlformats.org/officeDocument/2006/relationships/hyperlink" Target="https://www.itu.int/md/S24-CL-C-0086/es" TargetMode="External"/><Relationship Id="rId25" Type="http://schemas.openxmlformats.org/officeDocument/2006/relationships/hyperlink" Target="https://www.itu.int/md/S26-CL-C-0120/es" TargetMode="External"/><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www.itu.int/md/S24-CL-C-0004/es" TargetMode="External"/><Relationship Id="rId20" Type="http://schemas.openxmlformats.org/officeDocument/2006/relationships/hyperlink" Target="https://www.itu.int/md/S24-SG-CIR-0011/es" TargetMode="External"/><Relationship Id="rId29" Type="http://schemas.openxmlformats.org/officeDocument/2006/relationships/hyperlink" Target="mailto:ppelections@itu.i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3-CL-C-0084/es" TargetMode="External"/><Relationship Id="rId24" Type="http://schemas.openxmlformats.org/officeDocument/2006/relationships/hyperlink" Target="https://www.itu.int/md/S26-CL-C-0004/es" TargetMode="External"/><Relationship Id="rId32" Type="http://schemas.openxmlformats.org/officeDocument/2006/relationships/footer" Target="footer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tu.int/md/S23-SG-CIR-0053/es" TargetMode="External"/><Relationship Id="rId23" Type="http://schemas.openxmlformats.org/officeDocument/2006/relationships/hyperlink" Target="https://www.itu.int/md/S25-SG-CIR-0048/es" TargetMode="External"/><Relationship Id="rId28" Type="http://schemas.openxmlformats.org/officeDocument/2006/relationships/footer" Target="footer2.xml"/><Relationship Id="rId36" Type="http://schemas.openxmlformats.org/officeDocument/2006/relationships/fontTable" Target="fontTable.xml"/><Relationship Id="rId10" Type="http://schemas.openxmlformats.org/officeDocument/2006/relationships/hyperlink" Target="https://www.itu.int/md/S23-C23ADD-C-0014/es" TargetMode="External"/><Relationship Id="rId19" Type="http://schemas.openxmlformats.org/officeDocument/2006/relationships/hyperlink" Target="https://www.itu.int/md/S24-CL-C-0113/es"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itu.int/en/council/Documents/basic-texts-2023/RES-077-S.pdf" TargetMode="External"/><Relationship Id="rId14" Type="http://schemas.openxmlformats.org/officeDocument/2006/relationships/hyperlink" Target="https://www.itu.int/md/S23-SG-CIR-0044/es" TargetMode="External"/><Relationship Id="rId22" Type="http://schemas.openxmlformats.org/officeDocument/2006/relationships/hyperlink" Target="https://www.itu.int/md/S25-SG-CIR-0047/es" TargetMode="External"/><Relationship Id="rId27" Type="http://schemas.openxmlformats.org/officeDocument/2006/relationships/header" Target="header1.xml"/><Relationship Id="rId30" Type="http://schemas.openxmlformats.org/officeDocument/2006/relationships/footer" Target="footer3.xml"/><Relationship Id="rId35" Type="http://schemas.openxmlformats.org/officeDocument/2006/relationships/footer" Target="footer6.xml"/><Relationship Id="rId8" Type="http://schemas.openxmlformats.org/officeDocument/2006/relationships/hyperlink" Target="https://www.itu.int/en/council/Documents/basic-texts/Convention-S.pdf"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Q:\TEMPLATE\ITUOffice2007\POOL\POOL%20S%20-%20ITU\GS\PS_Council26EX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4A6FF-AE06-4BBD-89A0-EA8478FBF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PS_Council26EXT.dotx</Template>
  <TotalTime>24</TotalTime>
  <Pages>11</Pages>
  <Words>3516</Words>
  <Characters>20047</Characters>
  <Application>Microsoft Office Word</Application>
  <DocSecurity>0</DocSecurity>
  <Lines>167</Lines>
  <Paragraphs>47</Paragraphs>
  <ScaleCrop>false</ScaleCrop>
  <HeadingPairs>
    <vt:vector size="4" baseType="variant">
      <vt:variant>
        <vt:lpstr>Title</vt:lpstr>
      </vt:variant>
      <vt:variant>
        <vt:i4>1</vt:i4>
      </vt:variant>
      <vt:variant>
        <vt:lpstr>UNIÓN INTERNACIONAL DE TELECOMUNICACIONES	</vt:lpstr>
      </vt:variant>
      <vt:variant>
        <vt:i4>0</vt:i4>
      </vt:variant>
    </vt:vector>
  </HeadingPairs>
  <TitlesOfParts>
    <vt:vector size="1" baseType="lpstr">
      <vt:lpstr/>
    </vt:vector>
  </TitlesOfParts>
  <Manager>Secretaría General - Pool</Manager>
  <Company>International Telecommunication Union</Company>
  <LinksUpToDate>false</LinksUpToDate>
  <CharactersWithSpaces>23516</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Preparativos de la Conferencia de Plenipotenciarios de 2026</dc:title>
  <dc:subject>Sesión extraordinaria del Consejo 2026 de la UIT</dc:subject>
  <cp:keywords>C26-EXT; C26; C2026; Council 2026; PP26</cp:keywords>
  <dc:description/>
  <cp:lastPrinted>2006-03-24T09:51:00Z</cp:lastPrinted>
  <dcterms:created xsi:type="dcterms:W3CDTF">2026-08-19T13:51:00Z</dcterms:created>
  <dcterms:modified xsi:type="dcterms:W3CDTF">2026-08-19T14:18:00Z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Documento C17/-S</vt:lpwstr>
  </property>
  <property fmtid="{D5CDD505-2E9C-101B-9397-08002B2CF9AE}" pid="3" name="Docdate">
    <vt:lpwstr>enero de 2017</vt:lpwstr>
  </property>
  <property fmtid="{D5CDD505-2E9C-101B-9397-08002B2CF9AE}" pid="4" name="Docorlang">
    <vt:lpwstr>Original: inglés</vt:lpwstr>
  </property>
  <property fmtid="{D5CDD505-2E9C-101B-9397-08002B2CF9AE}" pid="5" name="Docbluepink">
    <vt:lpwstr>Consejo 2017 Ginebra, 15-25 de mayo de 2017</vt:lpwstr>
  </property>
  <property fmtid="{D5CDD505-2E9C-101B-9397-08002B2CF9AE}" pid="6" name="Docdest">
    <vt:lpwstr/>
  </property>
  <property fmtid="{D5CDD505-2E9C-101B-9397-08002B2CF9AE}" pid="7" name="Docauthor">
    <vt:lpwstr/>
  </property>
  <property fmtid="{D5CDD505-2E9C-101B-9397-08002B2CF9AE}" pid="8" name="GrammarlyDocumentId">
    <vt:lpwstr>5c03a5c9b91678b956e25536f0296632c716f66cf9a10e87f22af88ff3e788b1</vt:lpwstr>
  </property>
</Properties>
</file>