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D72F49" w:rsidRPr="003A3A92" w14:paraId="304D4196" w14:textId="77777777" w:rsidTr="00796BDB">
        <w:trPr>
          <w:cantSplit/>
          <w:trHeight w:val="23"/>
        </w:trPr>
        <w:tc>
          <w:tcPr>
            <w:tcW w:w="3969" w:type="dxa"/>
            <w:vMerge w:val="restart"/>
            <w:tcMar>
              <w:left w:w="0" w:type="dxa"/>
            </w:tcMar>
          </w:tcPr>
          <w:p w14:paraId="62AFFE6B" w14:textId="3FFA64F0" w:rsidR="00D72F49" w:rsidRPr="003A3A92" w:rsidRDefault="00D72F49" w:rsidP="00796BDB">
            <w:pPr>
              <w:tabs>
                <w:tab w:val="left" w:pos="851"/>
              </w:tabs>
              <w:spacing w:before="0" w:line="240" w:lineRule="atLeast"/>
              <w:rPr>
                <w:b/>
              </w:rPr>
            </w:pPr>
          </w:p>
        </w:tc>
        <w:tc>
          <w:tcPr>
            <w:tcW w:w="5245" w:type="dxa"/>
          </w:tcPr>
          <w:p w14:paraId="14C04CC1" w14:textId="0CCBFC64" w:rsidR="00D72F49" w:rsidRPr="003A3A92" w:rsidRDefault="00D72F49" w:rsidP="00796BDB">
            <w:pPr>
              <w:tabs>
                <w:tab w:val="left" w:pos="851"/>
              </w:tabs>
              <w:spacing w:before="0" w:line="240" w:lineRule="atLeast"/>
              <w:jc w:val="right"/>
              <w:rPr>
                <w:b/>
              </w:rPr>
            </w:pPr>
            <w:r w:rsidRPr="003A3A92">
              <w:rPr>
                <w:b/>
              </w:rPr>
              <w:t>Document C2</w:t>
            </w:r>
            <w:r w:rsidR="00E4448E" w:rsidRPr="003A3A92">
              <w:rPr>
                <w:b/>
              </w:rPr>
              <w:t>6</w:t>
            </w:r>
            <w:r w:rsidR="006B1F53" w:rsidRPr="003A3A92">
              <w:rPr>
                <w:b/>
              </w:rPr>
              <w:t>-EXT</w:t>
            </w:r>
            <w:r w:rsidRPr="003A3A92">
              <w:rPr>
                <w:b/>
              </w:rPr>
              <w:t>/</w:t>
            </w:r>
            <w:r w:rsidR="00A9680D" w:rsidRPr="003A3A92">
              <w:rPr>
                <w:b/>
              </w:rPr>
              <w:t>2</w:t>
            </w:r>
            <w:r w:rsidRPr="003A3A92">
              <w:rPr>
                <w:b/>
              </w:rPr>
              <w:t>-F</w:t>
            </w:r>
          </w:p>
        </w:tc>
      </w:tr>
      <w:tr w:rsidR="00D72F49" w:rsidRPr="003A3A92" w14:paraId="578B6DC5" w14:textId="77777777" w:rsidTr="00796BDB">
        <w:trPr>
          <w:cantSplit/>
        </w:trPr>
        <w:tc>
          <w:tcPr>
            <w:tcW w:w="3969" w:type="dxa"/>
            <w:vMerge/>
          </w:tcPr>
          <w:p w14:paraId="1ED9D72F" w14:textId="77777777" w:rsidR="00D72F49" w:rsidRPr="003A3A92" w:rsidRDefault="00D72F49" w:rsidP="00796BDB">
            <w:pPr>
              <w:tabs>
                <w:tab w:val="left" w:pos="851"/>
              </w:tabs>
              <w:spacing w:line="240" w:lineRule="atLeast"/>
              <w:rPr>
                <w:b/>
              </w:rPr>
            </w:pPr>
          </w:p>
        </w:tc>
        <w:tc>
          <w:tcPr>
            <w:tcW w:w="5245" w:type="dxa"/>
          </w:tcPr>
          <w:p w14:paraId="2620E8B0" w14:textId="14D00DF5" w:rsidR="00D72F49" w:rsidRPr="003A3A92" w:rsidRDefault="00A9680D" w:rsidP="00796BDB">
            <w:pPr>
              <w:tabs>
                <w:tab w:val="left" w:pos="851"/>
              </w:tabs>
              <w:spacing w:before="0"/>
              <w:jc w:val="right"/>
              <w:rPr>
                <w:b/>
              </w:rPr>
            </w:pPr>
            <w:r w:rsidRPr="003A3A92">
              <w:rPr>
                <w:b/>
              </w:rPr>
              <w:t>14 août 2026</w:t>
            </w:r>
          </w:p>
        </w:tc>
      </w:tr>
      <w:tr w:rsidR="00D72F49" w:rsidRPr="003A3A92" w14:paraId="63B79659" w14:textId="77777777" w:rsidTr="00796BDB">
        <w:trPr>
          <w:cantSplit/>
          <w:trHeight w:val="23"/>
        </w:trPr>
        <w:tc>
          <w:tcPr>
            <w:tcW w:w="3969" w:type="dxa"/>
            <w:vMerge/>
          </w:tcPr>
          <w:p w14:paraId="1AFF037F" w14:textId="77777777" w:rsidR="00D72F49" w:rsidRPr="003A3A92" w:rsidRDefault="00D72F49" w:rsidP="00796BDB">
            <w:pPr>
              <w:tabs>
                <w:tab w:val="left" w:pos="851"/>
              </w:tabs>
              <w:spacing w:line="240" w:lineRule="atLeast"/>
              <w:rPr>
                <w:b/>
              </w:rPr>
            </w:pPr>
          </w:p>
        </w:tc>
        <w:tc>
          <w:tcPr>
            <w:tcW w:w="5245" w:type="dxa"/>
          </w:tcPr>
          <w:p w14:paraId="4435EC50" w14:textId="77777777" w:rsidR="00D72F49" w:rsidRPr="003A3A92" w:rsidRDefault="00D72F49" w:rsidP="00796BDB">
            <w:pPr>
              <w:tabs>
                <w:tab w:val="left" w:pos="851"/>
              </w:tabs>
              <w:spacing w:before="0" w:line="240" w:lineRule="atLeast"/>
              <w:jc w:val="right"/>
              <w:rPr>
                <w:b/>
              </w:rPr>
            </w:pPr>
            <w:r w:rsidRPr="003A3A92">
              <w:rPr>
                <w:b/>
              </w:rPr>
              <w:t>Original: anglais</w:t>
            </w:r>
          </w:p>
        </w:tc>
      </w:tr>
      <w:tr w:rsidR="00D72F49" w:rsidRPr="003A3A92" w14:paraId="00929E90" w14:textId="77777777" w:rsidTr="00796BDB">
        <w:trPr>
          <w:cantSplit/>
        </w:trPr>
        <w:tc>
          <w:tcPr>
            <w:tcW w:w="9214" w:type="dxa"/>
            <w:gridSpan w:val="2"/>
            <w:tcMar>
              <w:left w:w="0" w:type="dxa"/>
            </w:tcMar>
          </w:tcPr>
          <w:p w14:paraId="0E94E144" w14:textId="77777777" w:rsidR="00D72F49" w:rsidRPr="003A3A92" w:rsidRDefault="00D72F49" w:rsidP="006B1F53">
            <w:pPr>
              <w:pStyle w:val="Source"/>
              <w:framePr w:hSpace="0" w:wrap="auto" w:vAnchor="margin" w:hAnchor="text" w:xAlign="left" w:yAlign="inline"/>
            </w:pPr>
            <w:r w:rsidRPr="003A3A92">
              <w:t xml:space="preserve">Rapport </w:t>
            </w:r>
            <w:r w:rsidR="00E95647" w:rsidRPr="003A3A92">
              <w:t xml:space="preserve">de la </w:t>
            </w:r>
            <w:r w:rsidRPr="003A3A92">
              <w:t>Secrétaire général</w:t>
            </w:r>
            <w:r w:rsidR="00E95647" w:rsidRPr="003A3A92">
              <w:t>e</w:t>
            </w:r>
          </w:p>
        </w:tc>
      </w:tr>
      <w:tr w:rsidR="00D72F49" w:rsidRPr="003A3A92" w14:paraId="1DA595D2" w14:textId="77777777" w:rsidTr="00796BDB">
        <w:trPr>
          <w:cantSplit/>
        </w:trPr>
        <w:tc>
          <w:tcPr>
            <w:tcW w:w="9214" w:type="dxa"/>
            <w:gridSpan w:val="2"/>
            <w:tcMar>
              <w:left w:w="0" w:type="dxa"/>
            </w:tcMar>
          </w:tcPr>
          <w:p w14:paraId="13D997EA" w14:textId="28FA5D9E" w:rsidR="00D72F49" w:rsidRPr="002D47BE" w:rsidRDefault="00BF7D7E" w:rsidP="00796BDB">
            <w:pPr>
              <w:pStyle w:val="Subtitle"/>
              <w:framePr w:hSpace="0" w:wrap="auto" w:hAnchor="text" w:xAlign="left" w:yAlign="inline"/>
              <w:rPr>
                <w:szCs w:val="34"/>
                <w:lang w:val="fr-FR"/>
              </w:rPr>
            </w:pPr>
            <w:r w:rsidRPr="002D47BE">
              <w:rPr>
                <w:rFonts w:cstheme="minorHAnsi"/>
                <w:szCs w:val="34"/>
                <w:lang w:val="fr-FR"/>
              </w:rPr>
              <w:t>TRAVAUX PRÉPARATOIRES EN VUE DE LA CONFÉRENCE DE PLÉNIPOTENTIAIRES DE 2026</w:t>
            </w:r>
          </w:p>
        </w:tc>
      </w:tr>
      <w:tr w:rsidR="00D72F49" w:rsidRPr="003A3A92" w14:paraId="7044376E" w14:textId="77777777" w:rsidTr="00796BDB">
        <w:trPr>
          <w:cantSplit/>
        </w:trPr>
        <w:tc>
          <w:tcPr>
            <w:tcW w:w="9214" w:type="dxa"/>
            <w:gridSpan w:val="2"/>
            <w:tcBorders>
              <w:top w:val="single" w:sz="4" w:space="0" w:color="auto"/>
              <w:bottom w:val="single" w:sz="4" w:space="0" w:color="auto"/>
            </w:tcBorders>
            <w:tcMar>
              <w:left w:w="0" w:type="dxa"/>
            </w:tcMar>
          </w:tcPr>
          <w:p w14:paraId="747165E6" w14:textId="77777777" w:rsidR="00D72F49" w:rsidRPr="003A3A92" w:rsidRDefault="00F37FE5" w:rsidP="00796BDB">
            <w:pPr>
              <w:spacing w:before="160"/>
              <w:rPr>
                <w:b/>
                <w:bCs/>
                <w:sz w:val="26"/>
                <w:szCs w:val="26"/>
              </w:rPr>
            </w:pPr>
            <w:r w:rsidRPr="003A3A92">
              <w:rPr>
                <w:b/>
                <w:bCs/>
                <w:sz w:val="26"/>
                <w:szCs w:val="26"/>
              </w:rPr>
              <w:t>Objet</w:t>
            </w:r>
          </w:p>
          <w:p w14:paraId="34C1A340" w14:textId="0018AAB2" w:rsidR="00A9680D" w:rsidRPr="003A3A92" w:rsidRDefault="00A9680D" w:rsidP="002D47BE">
            <w:pPr>
              <w:jc w:val="both"/>
            </w:pPr>
            <w:r w:rsidRPr="003A3A92">
              <w:t>À la suite des discussions tenues concernant les travaux préparatoires en vue de la Conférence de plénipotentiaires de 2026 (PP-26) lors de la session du Conseil de l'UIT tenue en avril 2026, le secrétariat suit et évalue de près l'évolution de la situation en matière de sécurité dans la région, en étroite coopération avec le pays hôte et le Département de la sûreté et de la sécurité (DSS) de l'Organisation des Nations Unies (ONU).</w:t>
            </w:r>
          </w:p>
          <w:p w14:paraId="03A09DFA" w14:textId="77777777" w:rsidR="00A9680D" w:rsidRPr="003A3A92" w:rsidRDefault="00A9680D" w:rsidP="002D47BE">
            <w:pPr>
              <w:jc w:val="both"/>
            </w:pPr>
            <w:r w:rsidRPr="003A3A92">
              <w:t xml:space="preserve">Le secrétariat s'est engagé à procéder à un examen de la situation quatre mois avant la Conférence. Compte tenu de ce qui précède, et en raison des questions soulevées par plusieurs États Membres auprès du secrétariat, le Président a décidé de convoquer une </w:t>
            </w:r>
            <w:r w:rsidRPr="003A3A92">
              <w:rPr>
                <w:b/>
                <w:bCs/>
              </w:rPr>
              <w:t>session extraordinaire du Conseil le mardi 25 août 2026</w:t>
            </w:r>
            <w:r w:rsidRPr="003A3A92">
              <w:t>.</w:t>
            </w:r>
          </w:p>
          <w:p w14:paraId="3D5F317D" w14:textId="4865EB2D" w:rsidR="00D72F49" w:rsidRPr="003A3A92" w:rsidRDefault="00A9680D" w:rsidP="002D47BE">
            <w:pPr>
              <w:jc w:val="both"/>
            </w:pPr>
            <w:r w:rsidRPr="003A3A92">
              <w:t>Le présent rapport dresse un état des lieux de la situation et présente des options pour la</w:t>
            </w:r>
            <w:r w:rsidR="00A11EA2" w:rsidRPr="003A3A92">
              <w:t> </w:t>
            </w:r>
            <w:r w:rsidRPr="003A3A92">
              <w:t>PP</w:t>
            </w:r>
            <w:r w:rsidRPr="003A3A92">
              <w:noBreakHyphen/>
              <w:t>26 à venir.</w:t>
            </w:r>
          </w:p>
          <w:p w14:paraId="07FA4D20" w14:textId="77777777" w:rsidR="00D72F49" w:rsidRPr="003A3A92" w:rsidRDefault="00D72F49" w:rsidP="00796BDB">
            <w:pPr>
              <w:spacing w:before="160"/>
              <w:rPr>
                <w:b/>
                <w:bCs/>
                <w:sz w:val="26"/>
                <w:szCs w:val="26"/>
              </w:rPr>
            </w:pPr>
            <w:r w:rsidRPr="003A3A92">
              <w:rPr>
                <w:b/>
                <w:bCs/>
                <w:sz w:val="26"/>
                <w:szCs w:val="26"/>
              </w:rPr>
              <w:t>Suite à donner par le Conseil</w:t>
            </w:r>
          </w:p>
          <w:p w14:paraId="7382CDAB" w14:textId="68EA81E7" w:rsidR="00D72F49" w:rsidRPr="003A3A92" w:rsidRDefault="00A9680D" w:rsidP="002D47BE">
            <w:pPr>
              <w:jc w:val="both"/>
            </w:pPr>
            <w:r w:rsidRPr="003A3A92">
              <w:t xml:space="preserve">Le Conseil est invité à </w:t>
            </w:r>
            <w:r w:rsidRPr="003A3A92">
              <w:rPr>
                <w:b/>
                <w:bCs/>
              </w:rPr>
              <w:t>examiner</w:t>
            </w:r>
            <w:r w:rsidRPr="003A3A92">
              <w:t xml:space="preserve"> les scénarios envisagés pour les préparatifs de la PP-26 à venir, à </w:t>
            </w:r>
            <w:r w:rsidRPr="003A3A92">
              <w:rPr>
                <w:b/>
                <w:bCs/>
              </w:rPr>
              <w:t>donner des orientations</w:t>
            </w:r>
            <w:r w:rsidRPr="003A3A92">
              <w:t xml:space="preserve">, à </w:t>
            </w:r>
            <w:r w:rsidRPr="003A3A92">
              <w:rPr>
                <w:b/>
                <w:bCs/>
              </w:rPr>
              <w:t>prendre toute décision</w:t>
            </w:r>
            <w:r w:rsidRPr="003A3A92">
              <w:t xml:space="preserve"> qu'il jugera appropriée et à </w:t>
            </w:r>
            <w:r w:rsidRPr="003A3A92">
              <w:rPr>
                <w:b/>
                <w:bCs/>
              </w:rPr>
              <w:t>charger</w:t>
            </w:r>
            <w:r w:rsidRPr="003A3A92">
              <w:t xml:space="preserve"> la Secrétaire générale de prendre des dispositions en conséquence.</w:t>
            </w:r>
          </w:p>
          <w:p w14:paraId="7C1906E3" w14:textId="77777777" w:rsidR="00E95647" w:rsidRPr="003A3A92" w:rsidRDefault="00D72F49" w:rsidP="00796BDB">
            <w:pPr>
              <w:spacing w:before="160"/>
              <w:rPr>
                <w:b/>
                <w:bCs/>
                <w:sz w:val="26"/>
                <w:szCs w:val="26"/>
              </w:rPr>
            </w:pPr>
            <w:r w:rsidRPr="003A3A92">
              <w:rPr>
                <w:b/>
                <w:bCs/>
                <w:sz w:val="26"/>
                <w:szCs w:val="26"/>
              </w:rPr>
              <w:t>Incidences financières</w:t>
            </w:r>
          </w:p>
          <w:p w14:paraId="672A36B6" w14:textId="27C95703" w:rsidR="00D72F49" w:rsidRPr="003A3A92" w:rsidRDefault="00A9680D" w:rsidP="002D47BE">
            <w:pPr>
              <w:jc w:val="both"/>
              <w:rPr>
                <w:szCs w:val="24"/>
              </w:rPr>
            </w:pPr>
            <w:r w:rsidRPr="003A3A92">
              <w:rPr>
                <w:szCs w:val="24"/>
              </w:rPr>
              <w:t>Dans l'éventualité où la PP se tiendrait à Genève en janvier 2027, le budget de la Conférence approuvé au titre du budget ordinaire de 2026 pourra être reporté sur 2027. Si les contributions volontaires s'avèrent insuffisantes pour compenser les dépenses supplémentaires d'un montant de 1</w:t>
            </w:r>
            <w:r w:rsidR="002D47BE">
              <w:rPr>
                <w:szCs w:val="24"/>
              </w:rPr>
              <w:t> </w:t>
            </w:r>
            <w:r w:rsidRPr="003A3A92">
              <w:rPr>
                <w:szCs w:val="24"/>
              </w:rPr>
              <w:t>510</w:t>
            </w:r>
            <w:r w:rsidR="002D47BE">
              <w:rPr>
                <w:szCs w:val="24"/>
              </w:rPr>
              <w:t> </w:t>
            </w:r>
            <w:r w:rsidRPr="003A3A92">
              <w:rPr>
                <w:szCs w:val="24"/>
              </w:rPr>
              <w:t>000</w:t>
            </w:r>
            <w:r w:rsidR="002D47BE">
              <w:rPr>
                <w:szCs w:val="24"/>
              </w:rPr>
              <w:t> </w:t>
            </w:r>
            <w:r w:rsidRPr="003A3A92">
              <w:rPr>
                <w:szCs w:val="24"/>
              </w:rPr>
              <w:t>CHF, le Conseil peut décider d'autoriser l'utilisation du Fonds de réserve pour couvrir tout ou partie du montant restant.</w:t>
            </w:r>
          </w:p>
          <w:p w14:paraId="5981D4E2" w14:textId="77777777" w:rsidR="00D72F49" w:rsidRPr="003A3A92" w:rsidRDefault="00D72F49" w:rsidP="00796BDB">
            <w:pPr>
              <w:spacing w:before="160"/>
              <w:rPr>
                <w:caps/>
                <w:sz w:val="22"/>
              </w:rPr>
            </w:pPr>
            <w:r w:rsidRPr="003A3A92">
              <w:rPr>
                <w:sz w:val="22"/>
              </w:rPr>
              <w:t>__________________</w:t>
            </w:r>
          </w:p>
          <w:p w14:paraId="64D0CA1A" w14:textId="77777777" w:rsidR="00D72F49" w:rsidRPr="003A3A92" w:rsidRDefault="00D72F49" w:rsidP="00796BDB">
            <w:pPr>
              <w:spacing w:before="160"/>
              <w:rPr>
                <w:b/>
                <w:bCs/>
                <w:sz w:val="26"/>
                <w:szCs w:val="26"/>
              </w:rPr>
            </w:pPr>
            <w:r w:rsidRPr="003A3A92">
              <w:rPr>
                <w:b/>
                <w:bCs/>
                <w:sz w:val="26"/>
                <w:szCs w:val="26"/>
              </w:rPr>
              <w:t>Références</w:t>
            </w:r>
          </w:p>
          <w:p w14:paraId="38E625C8" w14:textId="08FBF3E5" w:rsidR="00D72F49" w:rsidRPr="003A3A92" w:rsidRDefault="00A9680D" w:rsidP="00CE5172">
            <w:pPr>
              <w:pStyle w:val="Referencetext"/>
              <w:framePr w:hSpace="0" w:wrap="auto" w:vAnchor="margin" w:hAnchor="text" w:xAlign="left" w:yAlign="inline"/>
            </w:pPr>
            <w:r w:rsidRPr="003A3A92">
              <w:t xml:space="preserve">Numéro </w:t>
            </w:r>
            <w:hyperlink r:id="rId8" w:history="1">
              <w:r w:rsidRPr="003A3A92">
                <w:rPr>
                  <w:rStyle w:val="Hyperlink"/>
                  <w:rFonts w:eastAsia="Times New Roman" w:cs="Times New Roman"/>
                </w:rPr>
                <w:t>2</w:t>
              </w:r>
            </w:hyperlink>
            <w:r w:rsidRPr="003A3A92">
              <w:t xml:space="preserve"> de la Convention de l'UIT; Résolution </w:t>
            </w:r>
            <w:hyperlink r:id="rId9" w:history="1">
              <w:r w:rsidRPr="003A3A92">
                <w:rPr>
                  <w:rStyle w:val="Hyperlink"/>
                  <w:rFonts w:eastAsia="Times New Roman" w:cs="Times New Roman"/>
                </w:rPr>
                <w:t>77</w:t>
              </w:r>
            </w:hyperlink>
            <w:r w:rsidRPr="003A3A92">
              <w:t xml:space="preserve"> (Rév. Bucarest, 2022) de la Conférence de plénipotentiaires; Décision </w:t>
            </w:r>
            <w:hyperlink r:id="rId10" w:history="1">
              <w:r w:rsidRPr="003A3A92">
                <w:rPr>
                  <w:rStyle w:val="Hyperlink"/>
                  <w:rFonts w:eastAsia="Times New Roman" w:cs="Times New Roman"/>
                </w:rPr>
                <w:t>636</w:t>
              </w:r>
            </w:hyperlink>
            <w:r w:rsidRPr="003A3A92">
              <w:t xml:space="preserve"> (C23) du Conseil; Documents </w:t>
            </w:r>
            <w:hyperlink r:id="rId11" w:history="1">
              <w:r w:rsidRPr="003A3A92">
                <w:rPr>
                  <w:rStyle w:val="Hyperlink"/>
                  <w:rFonts w:eastAsia="Times New Roman" w:cs="Times New Roman"/>
                </w:rPr>
                <w:t>C23/4</w:t>
              </w:r>
            </w:hyperlink>
            <w:r w:rsidRPr="003A3A92">
              <w:t xml:space="preserve">, </w:t>
            </w:r>
            <w:hyperlink r:id="rId12" w:history="1">
              <w:r w:rsidRPr="003A3A92">
                <w:rPr>
                  <w:rStyle w:val="Hyperlink"/>
                  <w:rFonts w:eastAsia="Times New Roman" w:cs="Times New Roman"/>
                </w:rPr>
                <w:t>C23/84</w:t>
              </w:r>
            </w:hyperlink>
            <w:r w:rsidRPr="003A3A92">
              <w:t xml:space="preserve">, </w:t>
            </w:r>
            <w:hyperlink r:id="rId13" w:history="1">
              <w:r w:rsidRPr="003A3A92">
                <w:rPr>
                  <w:rStyle w:val="Hyperlink"/>
                  <w:rFonts w:eastAsia="Times New Roman" w:cs="Times New Roman"/>
                </w:rPr>
                <w:t>C23/107</w:t>
              </w:r>
            </w:hyperlink>
            <w:r w:rsidRPr="003A3A92">
              <w:t xml:space="preserve">, </w:t>
            </w:r>
            <w:hyperlink r:id="rId14" w:history="1">
              <w:r w:rsidRPr="003A3A92">
                <w:rPr>
                  <w:rStyle w:val="Hyperlink"/>
                  <w:rFonts w:eastAsia="Times New Roman" w:cs="Times New Roman"/>
                </w:rPr>
                <w:t>C23-ADD/4</w:t>
              </w:r>
            </w:hyperlink>
            <w:r w:rsidRPr="003A3A92">
              <w:t xml:space="preserve">, </w:t>
            </w:r>
            <w:hyperlink r:id="rId15" w:history="1">
              <w:r w:rsidRPr="003A3A92">
                <w:rPr>
                  <w:rStyle w:val="Hyperlink"/>
                  <w:rFonts w:eastAsia="Times New Roman" w:cs="Times New Roman"/>
                </w:rPr>
                <w:t>CL</w:t>
              </w:r>
              <w:r w:rsidR="00F3614C" w:rsidRPr="003A3A92">
                <w:rPr>
                  <w:rStyle w:val="Hyperlink"/>
                  <w:rFonts w:eastAsia="Times New Roman" w:cs="Times New Roman"/>
                </w:rPr>
                <w:noBreakHyphen/>
              </w:r>
              <w:r w:rsidRPr="003A3A92">
                <w:rPr>
                  <w:rStyle w:val="Hyperlink"/>
                  <w:rFonts w:eastAsia="Times New Roman" w:cs="Times New Roman"/>
                </w:rPr>
                <w:t>23/44</w:t>
              </w:r>
            </w:hyperlink>
            <w:r w:rsidRPr="003A3A92">
              <w:t xml:space="preserve">, </w:t>
            </w:r>
            <w:hyperlink r:id="rId16" w:history="1">
              <w:r w:rsidRPr="003A3A92">
                <w:rPr>
                  <w:rStyle w:val="Hyperlink"/>
                  <w:rFonts w:eastAsia="Times New Roman" w:cs="Times New Roman"/>
                </w:rPr>
                <w:t>CL-23/53</w:t>
              </w:r>
            </w:hyperlink>
            <w:r w:rsidRPr="003A3A92">
              <w:t xml:space="preserve">, </w:t>
            </w:r>
            <w:hyperlink r:id="rId17" w:history="1">
              <w:r w:rsidRPr="003A3A92">
                <w:rPr>
                  <w:rStyle w:val="Hyperlink"/>
                  <w:rFonts w:eastAsia="Times New Roman" w:cs="Times New Roman"/>
                </w:rPr>
                <w:t>C24/4</w:t>
              </w:r>
            </w:hyperlink>
            <w:r w:rsidRPr="003A3A92">
              <w:t xml:space="preserve">, </w:t>
            </w:r>
            <w:hyperlink r:id="rId18" w:history="1">
              <w:r w:rsidRPr="003A3A92">
                <w:rPr>
                  <w:rStyle w:val="Hyperlink"/>
                  <w:rFonts w:eastAsia="Times New Roman" w:cs="Times New Roman"/>
                </w:rPr>
                <w:t>C24/86</w:t>
              </w:r>
            </w:hyperlink>
            <w:r w:rsidRPr="003A3A92">
              <w:t xml:space="preserve">, </w:t>
            </w:r>
            <w:hyperlink r:id="rId19" w:history="1">
              <w:r w:rsidRPr="003A3A92">
                <w:rPr>
                  <w:rStyle w:val="Hyperlink"/>
                  <w:rFonts w:eastAsia="Times New Roman" w:cs="Times New Roman"/>
                </w:rPr>
                <w:t>C24/INF/13</w:t>
              </w:r>
            </w:hyperlink>
            <w:r w:rsidRPr="003A3A92">
              <w:t xml:space="preserve">, </w:t>
            </w:r>
            <w:hyperlink r:id="rId20" w:history="1">
              <w:r w:rsidRPr="003A3A92">
                <w:rPr>
                  <w:rStyle w:val="Hyperlink"/>
                  <w:rFonts w:eastAsia="Times New Roman" w:cs="Times New Roman"/>
                </w:rPr>
                <w:t>C24/113</w:t>
              </w:r>
            </w:hyperlink>
            <w:r w:rsidRPr="003A3A92">
              <w:t xml:space="preserve">, </w:t>
            </w:r>
            <w:hyperlink r:id="rId21" w:history="1">
              <w:r w:rsidRPr="003A3A92">
                <w:rPr>
                  <w:rStyle w:val="Hyperlink"/>
                  <w:rFonts w:eastAsia="Times New Roman" w:cs="Times New Roman"/>
                </w:rPr>
                <w:t>CL-24/11</w:t>
              </w:r>
            </w:hyperlink>
            <w:r w:rsidRPr="003A3A92">
              <w:t xml:space="preserve">, </w:t>
            </w:r>
            <w:hyperlink r:id="rId22" w:history="1">
              <w:r w:rsidRPr="003A3A92">
                <w:rPr>
                  <w:rStyle w:val="Hyperlink"/>
                  <w:rFonts w:eastAsia="Times New Roman" w:cs="Times New Roman"/>
                </w:rPr>
                <w:t>C25/4</w:t>
              </w:r>
            </w:hyperlink>
            <w:r w:rsidRPr="003A3A92">
              <w:t xml:space="preserve">, </w:t>
            </w:r>
            <w:hyperlink r:id="rId23" w:history="1">
              <w:r w:rsidRPr="003A3A92">
                <w:rPr>
                  <w:rStyle w:val="Hyperlink"/>
                  <w:rFonts w:eastAsia="Times New Roman" w:cs="Times New Roman"/>
                </w:rPr>
                <w:t>CL-25/47</w:t>
              </w:r>
            </w:hyperlink>
            <w:r w:rsidRPr="003A3A92">
              <w:t xml:space="preserve">, </w:t>
            </w:r>
            <w:hyperlink r:id="rId24" w:history="1">
              <w:r w:rsidRPr="003A3A92">
                <w:rPr>
                  <w:rStyle w:val="Hyperlink"/>
                  <w:rFonts w:eastAsia="Times New Roman" w:cs="Times New Roman"/>
                </w:rPr>
                <w:t>CL-25/48</w:t>
              </w:r>
            </w:hyperlink>
            <w:r w:rsidRPr="003A3A92">
              <w:t xml:space="preserve">, </w:t>
            </w:r>
            <w:hyperlink r:id="rId25" w:history="1">
              <w:r w:rsidRPr="003A3A92">
                <w:rPr>
                  <w:rStyle w:val="Hyperlink"/>
                  <w:rFonts w:eastAsia="Times New Roman" w:cs="Times New Roman"/>
                </w:rPr>
                <w:t>C26/4</w:t>
              </w:r>
            </w:hyperlink>
            <w:r w:rsidRPr="003A3A92">
              <w:t xml:space="preserve"> et </w:t>
            </w:r>
            <w:hyperlink r:id="rId26" w:history="1">
              <w:r w:rsidRPr="003A3A92">
                <w:rPr>
                  <w:rStyle w:val="Hyperlink"/>
                  <w:rFonts w:eastAsia="Times New Roman" w:cs="Times New Roman"/>
                </w:rPr>
                <w:t>C26/120</w:t>
              </w:r>
            </w:hyperlink>
            <w:r w:rsidRPr="003A3A92">
              <w:t xml:space="preserve"> du Conseil.</w:t>
            </w:r>
          </w:p>
        </w:tc>
      </w:tr>
    </w:tbl>
    <w:p w14:paraId="45A7F621" w14:textId="6AD18766" w:rsidR="00A9680D" w:rsidRPr="003A3A92" w:rsidRDefault="00A9680D" w:rsidP="00A9680D">
      <w:pPr>
        <w:pStyle w:val="Heading1"/>
      </w:pPr>
      <w:r w:rsidRPr="003A3A92">
        <w:lastRenderedPageBreak/>
        <w:t>1</w:t>
      </w:r>
      <w:r w:rsidRPr="003A3A92">
        <w:tab/>
        <w:t>Introduction</w:t>
      </w:r>
    </w:p>
    <w:p w14:paraId="579A3B5C" w14:textId="77777777" w:rsidR="00A9680D" w:rsidRPr="003A3A92" w:rsidRDefault="00A9680D" w:rsidP="002D47BE">
      <w:pPr>
        <w:jc w:val="both"/>
      </w:pPr>
      <w:r w:rsidRPr="003A3A92">
        <w:t>À la suite des discussions tenues concernant les travaux préparatoires en vue de la Conférence de plénipotentiaires de 2026 (PP-26) lors de la session du Conseil de l'UIT tenue en avril 2026, le secrétariat suit et évalue de près l'évolution de la situation en matière de sécurité dans la région, en étroite coopération avec le pays hôte et le Département de la sûreté et de la sécurité (DSS) de l'Organisation des Nations Unies (ONU).</w:t>
      </w:r>
    </w:p>
    <w:p w14:paraId="52E41D6D" w14:textId="77777777" w:rsidR="00A9680D" w:rsidRPr="003A3A92" w:rsidRDefault="00A9680D" w:rsidP="002D47BE">
      <w:pPr>
        <w:jc w:val="both"/>
      </w:pPr>
      <w:r w:rsidRPr="003A3A92">
        <w:t xml:space="preserve">Le secrétariat s'est engagé à procéder à un examen de la situation quatre mois avant la Conférence. Compte tenu de ce qui précède, et à la demande de la Secrétaire générale à la suite des questions posées par un certain nombre d'États Membres, le Président a décidé de convoquer une </w:t>
      </w:r>
      <w:r w:rsidRPr="003A3A92">
        <w:rPr>
          <w:b/>
          <w:bCs/>
        </w:rPr>
        <w:t>session extraordinaire du Conseil le mardi 25 août 2026</w:t>
      </w:r>
      <w:r w:rsidRPr="003A3A92">
        <w:t>.</w:t>
      </w:r>
    </w:p>
    <w:p w14:paraId="1449B2BF" w14:textId="77777777" w:rsidR="00A9680D" w:rsidRPr="003A3A92" w:rsidRDefault="00A9680D" w:rsidP="002D47BE">
      <w:pPr>
        <w:jc w:val="both"/>
      </w:pPr>
      <w:r w:rsidRPr="003A3A92">
        <w:t>Le présent rapport fournit une évaluation de la situation sur la base des informations actuellement disponibles et présente des options pour la préparation de la PP-26 à venir.</w:t>
      </w:r>
    </w:p>
    <w:p w14:paraId="6A5AFC30" w14:textId="0DD822CE" w:rsidR="00A9680D" w:rsidRPr="003A3A92" w:rsidRDefault="00A9680D" w:rsidP="00A9680D">
      <w:pPr>
        <w:pStyle w:val="Heading1"/>
      </w:pPr>
      <w:r w:rsidRPr="003A3A92">
        <w:t>2</w:t>
      </w:r>
      <w:r w:rsidRPr="003A3A92">
        <w:tab/>
        <w:t>Situation actuelle</w:t>
      </w:r>
    </w:p>
    <w:p w14:paraId="3F899D1F" w14:textId="77777777" w:rsidR="00A9680D" w:rsidRPr="003A3A92" w:rsidRDefault="00A9680D" w:rsidP="002D47BE">
      <w:pPr>
        <w:jc w:val="both"/>
      </w:pPr>
      <w:r w:rsidRPr="003A3A92">
        <w:t>Le secrétariat a entretenu des contacts étroits et réguliers avec le Département DSS de l'ONU. L'évaluation la plus récente effectuée par ce département indique que la situation en matière de sécurité au Qatar reste stable et que les conditions continuent d'être propices à l'organisation sûre et sécurisée de manifestations internationales.</w:t>
      </w:r>
    </w:p>
    <w:p w14:paraId="1D5D8661" w14:textId="36A34F65" w:rsidR="00A9680D" w:rsidRPr="003A3A92" w:rsidRDefault="00A9680D" w:rsidP="002D47BE">
      <w:pPr>
        <w:jc w:val="both"/>
      </w:pPr>
      <w:r w:rsidRPr="003A3A92">
        <w:t>Dans son rapport, le Département DSS de l'ONU a en outre recensé les risques suivants:</w:t>
      </w:r>
    </w:p>
    <w:p w14:paraId="27F90218" w14:textId="77777777" w:rsidR="00A9680D" w:rsidRPr="003A3A92" w:rsidRDefault="00A9680D" w:rsidP="002D47BE">
      <w:pPr>
        <w:pStyle w:val="enumlev1"/>
        <w:jc w:val="both"/>
      </w:pPr>
      <w:r w:rsidRPr="003A3A92">
        <w:t>•</w:t>
      </w:r>
      <w:r w:rsidRPr="003A3A92">
        <w:tab/>
        <w:t>Blessure causée par un missile, un drone ou une activité militaire menée par des acteurs étrangers.</w:t>
      </w:r>
    </w:p>
    <w:p w14:paraId="16D217CE" w14:textId="77777777" w:rsidR="00A9680D" w:rsidRPr="003A3A92" w:rsidRDefault="00A9680D" w:rsidP="002D47BE">
      <w:pPr>
        <w:pStyle w:val="enumlev1"/>
        <w:jc w:val="both"/>
      </w:pPr>
      <w:r w:rsidRPr="003A3A92">
        <w:t>•</w:t>
      </w:r>
      <w:r w:rsidRPr="003A3A92">
        <w:tab/>
        <w:t>Blessure causée par la chute de débris provenant de missiles interceptés pendant la durée de la Conférence.</w:t>
      </w:r>
    </w:p>
    <w:p w14:paraId="14E7FF73" w14:textId="77777777" w:rsidR="00A9680D" w:rsidRPr="003A3A92" w:rsidRDefault="00A9680D" w:rsidP="002D47BE">
      <w:pPr>
        <w:pStyle w:val="enumlev1"/>
        <w:jc w:val="both"/>
      </w:pPr>
      <w:r w:rsidRPr="003A3A92">
        <w:t>•</w:t>
      </w:r>
      <w:r w:rsidRPr="003A3A92">
        <w:tab/>
        <w:t>Impossibilité de voyager à destination, en provenance ou à l'intérieur de Doha en raison de fermetures de l'espace aérien, de perturbations aéroportuaires, de restrictions de transport ou d'autres conséquences liées à l'escalade militaire dans la région.</w:t>
      </w:r>
    </w:p>
    <w:p w14:paraId="233F8871" w14:textId="2274B08B" w:rsidR="00A9680D" w:rsidRPr="003A3A92" w:rsidRDefault="00A9680D" w:rsidP="002D47BE">
      <w:pPr>
        <w:jc w:val="both"/>
      </w:pPr>
      <w:r w:rsidRPr="003A3A92">
        <w:t>Bien que le niveau de risque actuel soit jugé faible pour l'ensemble des éléments susmentionnés, il n'est pas possible de prévoir avec certitude la probabilité, le calendrier ou l'ampleur de telles évolutions, lesquelles pourraient néanmoins avoir des incidences sur la planification des mesures de sécurité, la continuité des activités, les déplacements et les dispositions logistiques, la capacité des délégations à participer pleinement à la Conférence, ainsi que sur le degré de prévisibilité nécessaire à la bonne organisation et au bon déroulement d'une manifestation de cette envergure.</w:t>
      </w:r>
    </w:p>
    <w:p w14:paraId="57620A3A" w14:textId="556202FD" w:rsidR="00A9680D" w:rsidRPr="003A3A92" w:rsidRDefault="00A9680D" w:rsidP="002D47BE">
      <w:pPr>
        <w:jc w:val="both"/>
      </w:pPr>
      <w:r w:rsidRPr="003A3A92">
        <w:t>En outre, le secrétariat a reçu des informations selon lesquelles un certain nombre d'États</w:t>
      </w:r>
      <w:r w:rsidR="00860978" w:rsidRPr="003A3A92">
        <w:t> </w:t>
      </w:r>
      <w:r w:rsidRPr="003A3A92">
        <w:t>Membres sont soumis à des restrictions officielles concernant les déplacements non essentiels vers la région, y compris au Qatar. Ces États Membres s'inquiètent donc de leur capacité à participer pleinement à la Conférence.</w:t>
      </w:r>
    </w:p>
    <w:p w14:paraId="672F2F3B" w14:textId="77777777" w:rsidR="00A9680D" w:rsidRPr="003A3A92" w:rsidRDefault="00A9680D" w:rsidP="002D47BE">
      <w:pPr>
        <w:jc w:val="both"/>
      </w:pPr>
      <w:r w:rsidRPr="003A3A92">
        <w:t>En collaboration avec le pays hôte, le secrétariat avance de manière satisfaisante dans la préparation et la finalisation de l'accord de pays hôte. Le portail d'inscription est prêt à être mis en service.</w:t>
      </w:r>
    </w:p>
    <w:p w14:paraId="1833D44F" w14:textId="77777777" w:rsidR="00A9680D" w:rsidRPr="003A3A92" w:rsidRDefault="00A9680D" w:rsidP="002D47BE">
      <w:pPr>
        <w:jc w:val="both"/>
      </w:pPr>
      <w:r w:rsidRPr="003A3A92">
        <w:t xml:space="preserve">Le pays hôte a procédé à une évaluation complète de la sécurité et confirmé sa capacité à assurer la sûreté et la sécurité des participants, des délégués et du personnel pendant toute </w:t>
      </w:r>
      <w:r w:rsidRPr="003A3A92">
        <w:lastRenderedPageBreak/>
        <w:t>la durée de la Conférence. Des mesures appropriées de sécurité, d'intervention d'urgence et de continuité des activités sont en place, avec une coordination permanente entre les autorités nationales compétentes et les entités participantes. Une attention particulière est accordée à l'atténuation des risques, aux mesures de cybersécurité, à la préparation aux urgences médicales et aux modalités de transport. La situation en matière de sécurité dans la région continuera d'être suivie de près, et les mesures nécessaires seront examinées et ajustées selon qu'il conviendra afin de garantir le bon déroulement de la Conférence, en toute sécurité et sans heurt.</w:t>
      </w:r>
    </w:p>
    <w:p w14:paraId="5DBAB644" w14:textId="1764A76E" w:rsidR="00A51849" w:rsidRPr="003A3A92" w:rsidRDefault="00A9680D" w:rsidP="002D47BE">
      <w:pPr>
        <w:jc w:val="both"/>
      </w:pPr>
      <w:r w:rsidRPr="003A3A92">
        <w:t>À titre de mesure d'urgence, le secrétariat a étudié toutes les options possibles à Genève pour 2026 et le début de l'année 2027. Aucun site en mesure d'accueillir la PP n'est disponible en 2026 pendant trois semaines consécutives. La première disponibilité est prévue au Centre international de conférences de Genève (CICG) en janvier 2027. Une réservation provisoire a été faite pour la période allant du 4 au 29 janvier 2027. Grâce au soutien des autorités suisses, cette réservation reste valable, sans réservation formelle. Toutefois, en règle générale, une telle réservation n'est valable que jusqu'à ce que le CICG reçoive une contre-offre. Si une autre demande est reçue, l'UIT dispose de deux jours ouvrables pour conclure un contrat de location des locaux si elle souhaite se réserver la possibilité d'organiser la Conférence au CICG.</w:t>
      </w:r>
    </w:p>
    <w:p w14:paraId="6A2509E3" w14:textId="77777777" w:rsidR="00A9680D" w:rsidRPr="003A3A92" w:rsidRDefault="00A9680D" w:rsidP="00A9680D">
      <w:pPr>
        <w:sectPr w:rsidR="00A9680D" w:rsidRPr="003A3A92" w:rsidSect="00D72F49">
          <w:headerReference w:type="even" r:id="rId27"/>
          <w:footerReference w:type="even" r:id="rId28"/>
          <w:footerReference w:type="default" r:id="rId29"/>
          <w:headerReference w:type="first" r:id="rId30"/>
          <w:footerReference w:type="first" r:id="rId31"/>
          <w:pgSz w:w="11907" w:h="16840" w:code="9"/>
          <w:pgMar w:top="1418" w:right="1418" w:bottom="1418" w:left="1418" w:header="720" w:footer="720" w:gutter="0"/>
          <w:paperSrc w:first="286" w:other="286"/>
          <w:cols w:space="720"/>
          <w:titlePg/>
        </w:sectPr>
      </w:pPr>
    </w:p>
    <w:p w14:paraId="53E19A92" w14:textId="7249E23B" w:rsidR="00A9680D" w:rsidRPr="003A3A92" w:rsidRDefault="00A9680D" w:rsidP="00A9680D">
      <w:pPr>
        <w:pStyle w:val="Heading1"/>
      </w:pPr>
      <w:r w:rsidRPr="003A3A92">
        <w:lastRenderedPageBreak/>
        <w:t>3</w:t>
      </w:r>
      <w:r w:rsidRPr="003A3A92">
        <w:tab/>
        <w:t>Scénarios soumis au Conseil pour examen</w:t>
      </w:r>
    </w:p>
    <w:p w14:paraId="7822CD25" w14:textId="10F3C143" w:rsidR="00A9680D" w:rsidRPr="003A3A92" w:rsidRDefault="00A9680D" w:rsidP="00A9680D">
      <w:pPr>
        <w:spacing w:after="120"/>
      </w:pPr>
      <w:r w:rsidRPr="003A3A92">
        <w:t>Compte tenu de ce qui précède, le secrétariat soumet au Conseil, pour examen, ce qui suit:</w:t>
      </w:r>
    </w:p>
    <w:tbl>
      <w:tblPr>
        <w:tblW w:w="14026" w:type="dxa"/>
        <w:tblLayout w:type="fixed"/>
        <w:tblLook w:val="04A0" w:firstRow="1" w:lastRow="0" w:firstColumn="1" w:lastColumn="0" w:noHBand="0" w:noVBand="1"/>
      </w:tblPr>
      <w:tblGrid>
        <w:gridCol w:w="1378"/>
        <w:gridCol w:w="2016"/>
        <w:gridCol w:w="2977"/>
        <w:gridCol w:w="2977"/>
        <w:gridCol w:w="4678"/>
      </w:tblGrid>
      <w:tr w:rsidR="00A9680D" w:rsidRPr="003A3A92" w14:paraId="3C0E1919" w14:textId="77777777" w:rsidTr="00A11EA2">
        <w:trPr>
          <w:trHeight w:val="300"/>
        </w:trPr>
        <w:tc>
          <w:tcPr>
            <w:tcW w:w="13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81378E" w14:textId="77777777" w:rsidR="00A9680D" w:rsidRPr="003A3A92" w:rsidRDefault="00A9680D" w:rsidP="00A9680D">
            <w:pPr>
              <w:pStyle w:val="Tablehead"/>
              <w:rPr>
                <w:sz w:val="24"/>
              </w:rPr>
            </w:pPr>
            <w:r w:rsidRPr="003A3A92">
              <w:t>Scénario</w:t>
            </w:r>
          </w:p>
        </w:tc>
        <w:tc>
          <w:tcPr>
            <w:tcW w:w="201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B3D0E1D" w14:textId="77777777" w:rsidR="00A9680D" w:rsidRPr="003A3A92" w:rsidRDefault="00A9680D" w:rsidP="00A9680D">
            <w:pPr>
              <w:pStyle w:val="Tablehead"/>
            </w:pPr>
            <w:r w:rsidRPr="003A3A92">
              <w:t>Dates/Lieu</w:t>
            </w:r>
          </w:p>
        </w:tc>
        <w:tc>
          <w:tcPr>
            <w:tcW w:w="297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534BF9" w14:textId="77777777" w:rsidR="00A9680D" w:rsidRPr="003A3A92" w:rsidRDefault="00A9680D" w:rsidP="00A9680D">
            <w:pPr>
              <w:pStyle w:val="Tablehead"/>
            </w:pPr>
            <w:r w:rsidRPr="003A3A92">
              <w:t>Description</w:t>
            </w:r>
          </w:p>
        </w:tc>
        <w:tc>
          <w:tcPr>
            <w:tcW w:w="297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696566A" w14:textId="77777777" w:rsidR="00A9680D" w:rsidRPr="003A3A92" w:rsidRDefault="00A9680D" w:rsidP="00A9680D">
            <w:pPr>
              <w:pStyle w:val="Tablehead"/>
            </w:pPr>
            <w:r w:rsidRPr="003A3A92">
              <w:t>Principaux avantages</w:t>
            </w:r>
          </w:p>
        </w:tc>
        <w:tc>
          <w:tcPr>
            <w:tcW w:w="467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07DFADF" w14:textId="77777777" w:rsidR="00A9680D" w:rsidRPr="003A3A92" w:rsidRDefault="00A9680D" w:rsidP="00A9680D">
            <w:pPr>
              <w:pStyle w:val="Tablehead"/>
            </w:pPr>
            <w:r w:rsidRPr="003A3A92">
              <w:t>Principaux risques/principales contraintes</w:t>
            </w:r>
          </w:p>
        </w:tc>
      </w:tr>
      <w:tr w:rsidR="00A9680D" w:rsidRPr="003A3A92" w14:paraId="7F77C809" w14:textId="77777777" w:rsidTr="002D47BE">
        <w:trPr>
          <w:trHeight w:val="300"/>
        </w:trPr>
        <w:tc>
          <w:tcPr>
            <w:tcW w:w="1378" w:type="dxa"/>
            <w:tcBorders>
              <w:top w:val="single" w:sz="6" w:space="0" w:color="E6E6E6"/>
              <w:left w:val="single" w:sz="6" w:space="0" w:color="E6E6E6"/>
              <w:bottom w:val="single" w:sz="6" w:space="0" w:color="E6E6E6"/>
              <w:right w:val="single" w:sz="6" w:space="0" w:color="E6E6E6"/>
            </w:tcBorders>
            <w:shd w:val="clear" w:color="auto" w:fill="F5F5F5"/>
            <w:hideMark/>
          </w:tcPr>
          <w:p w14:paraId="03E5B6FE" w14:textId="77777777" w:rsidR="00A9680D" w:rsidRPr="003A3A92" w:rsidRDefault="00A9680D" w:rsidP="002D47BE">
            <w:pPr>
              <w:pStyle w:val="Tabletext"/>
              <w:rPr>
                <w:b/>
                <w:bCs/>
              </w:rPr>
            </w:pPr>
            <w:r w:rsidRPr="003A3A92">
              <w:rPr>
                <w:b/>
                <w:bCs/>
              </w:rPr>
              <w:t>Maintien de la PP-26 comme prévu</w:t>
            </w:r>
          </w:p>
        </w:tc>
        <w:tc>
          <w:tcPr>
            <w:tcW w:w="2016" w:type="dxa"/>
            <w:tcBorders>
              <w:top w:val="single" w:sz="6" w:space="0" w:color="E6E6E6"/>
              <w:left w:val="single" w:sz="6" w:space="0" w:color="E6E6E6"/>
              <w:bottom w:val="single" w:sz="6" w:space="0" w:color="E6E6E6"/>
              <w:right w:val="single" w:sz="6" w:space="0" w:color="E6E6E6"/>
            </w:tcBorders>
            <w:hideMark/>
          </w:tcPr>
          <w:p w14:paraId="1EA9D8C3" w14:textId="77777777" w:rsidR="00A9680D" w:rsidRPr="002D47BE" w:rsidRDefault="00A9680D" w:rsidP="002D47BE">
            <w:pPr>
              <w:pStyle w:val="Tabletext"/>
              <w:ind w:right="-113"/>
              <w:rPr>
                <w:spacing w:val="-3"/>
              </w:rPr>
            </w:pPr>
            <w:r w:rsidRPr="002D47BE">
              <w:rPr>
                <w:spacing w:val="-3"/>
              </w:rPr>
              <w:t>9-27 novembre 2026, Doha (Qatar)</w:t>
            </w:r>
          </w:p>
        </w:tc>
        <w:tc>
          <w:tcPr>
            <w:tcW w:w="2977" w:type="dxa"/>
            <w:tcBorders>
              <w:top w:val="single" w:sz="6" w:space="0" w:color="E6E6E6"/>
              <w:left w:val="single" w:sz="6" w:space="0" w:color="E6E6E6"/>
              <w:bottom w:val="single" w:sz="6" w:space="0" w:color="E6E6E6"/>
              <w:right w:val="single" w:sz="6" w:space="0" w:color="E6E6E6"/>
            </w:tcBorders>
            <w:hideMark/>
          </w:tcPr>
          <w:p w14:paraId="74ED63F0" w14:textId="29FF0AF9" w:rsidR="00A9680D" w:rsidRPr="003A3A92" w:rsidRDefault="00A9680D" w:rsidP="002D47BE">
            <w:pPr>
              <w:pStyle w:val="Tabletext"/>
            </w:pPr>
            <w:r w:rsidRPr="003A3A92">
              <w:t>La Conférence se déroule comme prévu à Doha avec un suivi étroit et une planification d'urgence continue (sous réserve de l'approbation du</w:t>
            </w:r>
            <w:r w:rsidR="00A11EA2" w:rsidRPr="003A3A92">
              <w:t> </w:t>
            </w:r>
            <w:r w:rsidRPr="003A3A92">
              <w:t>Conseil).</w:t>
            </w:r>
          </w:p>
        </w:tc>
        <w:tc>
          <w:tcPr>
            <w:tcW w:w="2977" w:type="dxa"/>
            <w:tcBorders>
              <w:top w:val="single" w:sz="6" w:space="0" w:color="E6E6E6"/>
              <w:left w:val="single" w:sz="6" w:space="0" w:color="E6E6E6"/>
              <w:bottom w:val="single" w:sz="6" w:space="0" w:color="E6E6E6"/>
              <w:right w:val="single" w:sz="6" w:space="0" w:color="E6E6E6"/>
            </w:tcBorders>
            <w:hideMark/>
          </w:tcPr>
          <w:p w14:paraId="521FE9BE" w14:textId="77777777" w:rsidR="00A9680D" w:rsidRPr="003A3A92" w:rsidRDefault="00A9680D" w:rsidP="002D47BE">
            <w:pPr>
              <w:pStyle w:val="Tabletext"/>
            </w:pPr>
            <w:r w:rsidRPr="003A3A92">
              <w:t>Continuité des activités; permet de préserver les préparatifs du pays hôte; évite une refonte majeure de la planification.</w:t>
            </w:r>
          </w:p>
        </w:tc>
        <w:tc>
          <w:tcPr>
            <w:tcW w:w="4678" w:type="dxa"/>
            <w:tcBorders>
              <w:top w:val="single" w:sz="6" w:space="0" w:color="E6E6E6"/>
              <w:left w:val="single" w:sz="6" w:space="0" w:color="E6E6E6"/>
              <w:bottom w:val="single" w:sz="6" w:space="0" w:color="E6E6E6"/>
              <w:right w:val="single" w:sz="6" w:space="0" w:color="E6E6E6"/>
            </w:tcBorders>
            <w:hideMark/>
          </w:tcPr>
          <w:p w14:paraId="2D570C18" w14:textId="77777777" w:rsidR="00A9680D" w:rsidRPr="003A3A92" w:rsidRDefault="00A9680D" w:rsidP="002D47BE">
            <w:pPr>
              <w:pStyle w:val="Tabletext"/>
            </w:pPr>
            <w:r w:rsidRPr="003A3A92">
              <w:t>Une participation potentiellement moindre ou de moindre envergure, une annulation de dernière minute susceptible d'entraîner des coûts supplémentaires pour le pays hôte et l'UIT, d'éventuelles perturbations des déplacements à destination ou en provenance du pays.</w:t>
            </w:r>
          </w:p>
        </w:tc>
      </w:tr>
      <w:tr w:rsidR="00A9680D" w:rsidRPr="003A3A92" w14:paraId="6D38EE24" w14:textId="77777777" w:rsidTr="002D47BE">
        <w:trPr>
          <w:trHeight w:val="300"/>
        </w:trPr>
        <w:tc>
          <w:tcPr>
            <w:tcW w:w="1378" w:type="dxa"/>
            <w:tcBorders>
              <w:top w:val="single" w:sz="6" w:space="0" w:color="E6E6E6"/>
              <w:left w:val="single" w:sz="6" w:space="0" w:color="E6E6E6"/>
              <w:bottom w:val="single" w:sz="6" w:space="0" w:color="E6E6E6"/>
              <w:right w:val="single" w:sz="6" w:space="0" w:color="E6E6E6"/>
            </w:tcBorders>
            <w:shd w:val="clear" w:color="auto" w:fill="F5F5F5"/>
            <w:hideMark/>
          </w:tcPr>
          <w:p w14:paraId="314200E0" w14:textId="77777777" w:rsidR="00A9680D" w:rsidRPr="003A3A92" w:rsidRDefault="00A9680D" w:rsidP="002D47BE">
            <w:pPr>
              <w:pStyle w:val="Tabletext"/>
              <w:rPr>
                <w:b/>
                <w:bCs/>
              </w:rPr>
            </w:pPr>
            <w:r w:rsidRPr="003A3A92">
              <w:rPr>
                <w:b/>
                <w:bCs/>
              </w:rPr>
              <w:t>Report à Genève</w:t>
            </w:r>
          </w:p>
        </w:tc>
        <w:tc>
          <w:tcPr>
            <w:tcW w:w="2016" w:type="dxa"/>
            <w:tcBorders>
              <w:top w:val="single" w:sz="6" w:space="0" w:color="E6E6E6"/>
              <w:left w:val="single" w:sz="6" w:space="0" w:color="E6E6E6"/>
              <w:bottom w:val="single" w:sz="6" w:space="0" w:color="E6E6E6"/>
              <w:right w:val="single" w:sz="6" w:space="0" w:color="E6E6E6"/>
            </w:tcBorders>
            <w:hideMark/>
          </w:tcPr>
          <w:p w14:paraId="4C2851BD" w14:textId="77777777" w:rsidR="00A9680D" w:rsidRPr="003A3A92" w:rsidRDefault="00A9680D" w:rsidP="002D47BE">
            <w:pPr>
              <w:pStyle w:val="Tabletext"/>
            </w:pPr>
            <w:r w:rsidRPr="003A3A92">
              <w:t>11-29 janvier 2027, Genève (CICG)</w:t>
            </w:r>
          </w:p>
        </w:tc>
        <w:tc>
          <w:tcPr>
            <w:tcW w:w="2977" w:type="dxa"/>
            <w:tcBorders>
              <w:top w:val="single" w:sz="6" w:space="0" w:color="E6E6E6"/>
              <w:left w:val="single" w:sz="6" w:space="0" w:color="E6E6E6"/>
              <w:bottom w:val="single" w:sz="6" w:space="0" w:color="E6E6E6"/>
              <w:right w:val="single" w:sz="6" w:space="0" w:color="E6E6E6"/>
            </w:tcBorders>
            <w:hideMark/>
          </w:tcPr>
          <w:p w14:paraId="41D49AA0" w14:textId="77777777" w:rsidR="00A9680D" w:rsidRPr="003A3A92" w:rsidRDefault="00A9680D" w:rsidP="002D47BE">
            <w:pPr>
              <w:pStyle w:val="Tabletext"/>
            </w:pPr>
            <w:r w:rsidRPr="003A3A92">
              <w:t>La PP est reportée et se déroule entièrement à Genève pour la même durée et selon le même ordre du jour.</w:t>
            </w:r>
          </w:p>
        </w:tc>
        <w:tc>
          <w:tcPr>
            <w:tcW w:w="2977" w:type="dxa"/>
            <w:tcBorders>
              <w:top w:val="single" w:sz="6" w:space="0" w:color="E6E6E6"/>
              <w:left w:val="single" w:sz="6" w:space="0" w:color="E6E6E6"/>
              <w:bottom w:val="single" w:sz="6" w:space="0" w:color="E6E6E6"/>
              <w:right w:val="single" w:sz="6" w:space="0" w:color="E6E6E6"/>
            </w:tcBorders>
            <w:hideMark/>
          </w:tcPr>
          <w:p w14:paraId="143CB33C" w14:textId="77777777" w:rsidR="00A9680D" w:rsidRPr="003A3A92" w:rsidRDefault="00A9680D" w:rsidP="002D47BE">
            <w:pPr>
              <w:pStyle w:val="Tabletext"/>
            </w:pPr>
            <w:r w:rsidRPr="003A3A92">
              <w:t>Prévisibilité; les infrastructures sont familières; les risques pour la continuité des activités sont réduits.</w:t>
            </w:r>
          </w:p>
        </w:tc>
        <w:tc>
          <w:tcPr>
            <w:tcW w:w="4678" w:type="dxa"/>
            <w:tcBorders>
              <w:top w:val="single" w:sz="6" w:space="0" w:color="E6E6E6"/>
              <w:left w:val="single" w:sz="6" w:space="0" w:color="E6E6E6"/>
              <w:bottom w:val="single" w:sz="6" w:space="0" w:color="E6E6E6"/>
              <w:right w:val="single" w:sz="6" w:space="0" w:color="E6E6E6"/>
            </w:tcBorders>
            <w:hideMark/>
          </w:tcPr>
          <w:p w14:paraId="77B4C6BB" w14:textId="77777777" w:rsidR="00A9680D" w:rsidRPr="003A3A92" w:rsidRDefault="00A9680D" w:rsidP="002D47BE">
            <w:pPr>
              <w:pStyle w:val="Tabletext"/>
            </w:pPr>
            <w:r w:rsidRPr="003A3A92">
              <w:t>Incidences budgétaires pour l'UIT et le pays hôte.</w:t>
            </w:r>
          </w:p>
        </w:tc>
      </w:tr>
    </w:tbl>
    <w:p w14:paraId="3DD02A7F" w14:textId="3F01BB18" w:rsidR="00860978" w:rsidRPr="003A3A92" w:rsidRDefault="00860978" w:rsidP="00A9680D">
      <w:pPr>
        <w:pStyle w:val="Heading1"/>
      </w:pPr>
      <w:r w:rsidRPr="003A3A92">
        <w:br w:type="page"/>
      </w:r>
    </w:p>
    <w:p w14:paraId="5E0CE076" w14:textId="61A2CE45" w:rsidR="00A9680D" w:rsidRPr="003A3A92" w:rsidRDefault="00A9680D" w:rsidP="00A9680D">
      <w:pPr>
        <w:pStyle w:val="Heading1"/>
      </w:pPr>
      <w:r w:rsidRPr="003A3A92">
        <w:lastRenderedPageBreak/>
        <w:t>4</w:t>
      </w:r>
      <w:r w:rsidRPr="003A3A92">
        <w:tab/>
        <w:t>Considérations relatives aux procédures, aux finances et aux activités</w:t>
      </w:r>
    </w:p>
    <w:p w14:paraId="2F0BE4F6" w14:textId="77777777" w:rsidR="00A9680D" w:rsidRPr="003A3A92" w:rsidRDefault="00A9680D" w:rsidP="00F5315F">
      <w:pPr>
        <w:spacing w:after="120"/>
        <w:jc w:val="both"/>
      </w:pPr>
      <w:r w:rsidRPr="003A3A92">
        <w:t>Les considérations relatives aux procédures, aux finances et aux activités associées aux deux scénarios possibles sont présentées dans le tableau ci-dessous.</w:t>
      </w:r>
    </w:p>
    <w:tbl>
      <w:tblPr>
        <w:tblStyle w:val="GridTable1Light-Accent1"/>
        <w:tblW w:w="14029" w:type="dxa"/>
        <w:tblInd w:w="0" w:type="dxa"/>
        <w:tblLayout w:type="fixed"/>
        <w:tblCellMar>
          <w:left w:w="57" w:type="dxa"/>
          <w:right w:w="57" w:type="dxa"/>
        </w:tblCellMar>
        <w:tblLook w:val="04A0" w:firstRow="1" w:lastRow="0" w:firstColumn="1" w:lastColumn="0" w:noHBand="0" w:noVBand="1"/>
      </w:tblPr>
      <w:tblGrid>
        <w:gridCol w:w="2404"/>
        <w:gridCol w:w="8791"/>
        <w:gridCol w:w="2834"/>
      </w:tblGrid>
      <w:tr w:rsidR="00A9680D" w:rsidRPr="003A3A92" w14:paraId="7166ECE3"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BFBFBF" w:themeFill="background1" w:themeFillShade="BF"/>
            <w:vAlign w:val="center"/>
            <w:hideMark/>
          </w:tcPr>
          <w:p w14:paraId="765B7FE4" w14:textId="77777777" w:rsidR="00A9680D" w:rsidRPr="003A3A92" w:rsidRDefault="00A9680D" w:rsidP="007E6AA1">
            <w:pPr>
              <w:pStyle w:val="Tablehead"/>
            </w:pPr>
            <w:r w:rsidRPr="003A3A92">
              <w:t>Thème</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BFBFBF" w:themeFill="background1" w:themeFillShade="BF"/>
            <w:vAlign w:val="center"/>
            <w:hideMark/>
          </w:tcPr>
          <w:p w14:paraId="2F463575" w14:textId="77777777" w:rsidR="00A9680D" w:rsidRPr="003A3A92" w:rsidRDefault="00A9680D" w:rsidP="007E6AA1">
            <w:pPr>
              <w:pStyle w:val="Tablehead"/>
            </w:pPr>
            <w:r w:rsidRPr="003A3A92">
              <w:t>Contexte et considérations générales</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BFBFBF" w:themeFill="background1" w:themeFillShade="BF"/>
            <w:vAlign w:val="center"/>
            <w:hideMark/>
          </w:tcPr>
          <w:p w14:paraId="337D8513" w14:textId="77777777" w:rsidR="00A9680D" w:rsidRPr="003A3A92" w:rsidRDefault="00A9680D" w:rsidP="007E6AA1">
            <w:pPr>
              <w:pStyle w:val="Tablehead"/>
            </w:pPr>
            <w:r w:rsidRPr="003A3A92">
              <w:t>Référence</w:t>
            </w:r>
          </w:p>
        </w:tc>
      </w:tr>
      <w:tr w:rsidR="00A9680D" w:rsidRPr="003A3A92" w14:paraId="0C579A7B" w14:textId="77777777" w:rsidTr="00F5315F">
        <w:trPr>
          <w:trHeight w:val="78"/>
        </w:trPr>
        <w:tc>
          <w:tcPr>
            <w:tcW w:w="5000" w:type="pct"/>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2F2F2" w:themeFill="background1" w:themeFillShade="F2"/>
            <w:vAlign w:val="center"/>
            <w:hideMark/>
          </w:tcPr>
          <w:p w14:paraId="149AA925" w14:textId="77777777" w:rsidR="00A9680D" w:rsidRPr="003A3A92" w:rsidRDefault="00A9680D" w:rsidP="007E6AA1">
            <w:pPr>
              <w:pStyle w:val="Tabletext"/>
              <w:rPr>
                <w:b/>
                <w:bCs/>
              </w:rPr>
            </w:pPr>
            <w:r w:rsidRPr="003A3A92">
              <w:rPr>
                <w:b/>
                <w:bCs/>
              </w:rPr>
              <w:t>Considérations relatives aux procédures</w:t>
            </w:r>
          </w:p>
        </w:tc>
      </w:tr>
      <w:tr w:rsidR="00A9680D" w:rsidRPr="003A3A92" w14:paraId="666D0242" w14:textId="77777777" w:rsidTr="00F5315F">
        <w:trPr>
          <w:trHeight w:val="2112"/>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7CE1057" w14:textId="77777777" w:rsidR="00A9680D" w:rsidRPr="003A3A92" w:rsidRDefault="00A9680D" w:rsidP="007E6AA1">
            <w:pPr>
              <w:pStyle w:val="Tabletext"/>
              <w:rPr>
                <w:b/>
                <w:bCs/>
              </w:rPr>
            </w:pPr>
            <w:r w:rsidRPr="003A3A92">
              <w:rPr>
                <w:b/>
                <w:bCs/>
              </w:rPr>
              <w:t>Changement du lieu précis et/ou des dates exactes d'une PP</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5755A129" w14:textId="598C7565" w:rsidR="00A9680D" w:rsidRPr="003A3A92" w:rsidRDefault="00A9680D" w:rsidP="00F5315F">
            <w:pPr>
              <w:pStyle w:val="Tabletext"/>
              <w:jc w:val="both"/>
            </w:pPr>
            <w:r w:rsidRPr="003A3A92">
              <w:t>Le Conseil, à sa session additionnelle de 2023, avec l'accord de la majorité des États Membres de l'Union, a décidé (par sa Décision 636) que la prochaine Conférence de plénipotentiaires de l'UIT (PP</w:t>
            </w:r>
            <w:r w:rsidR="00860978" w:rsidRPr="003A3A92">
              <w:noBreakHyphen/>
            </w:r>
            <w:r w:rsidRPr="003A3A92">
              <w:t>26) se tiendrait à Doha (Qatar) pendant une période de trois semaines, du lundi</w:t>
            </w:r>
            <w:r w:rsidR="00EC12B6" w:rsidRPr="003A3A92">
              <w:t> </w:t>
            </w:r>
            <w:r w:rsidRPr="003A3A92">
              <w:t>9</w:t>
            </w:r>
            <w:r w:rsidR="00EC12B6" w:rsidRPr="003A3A92">
              <w:t> </w:t>
            </w:r>
            <w:r w:rsidRPr="003A3A92">
              <w:t>novembre au vendredi 27 novembre 2026.</w:t>
            </w:r>
          </w:p>
          <w:p w14:paraId="0B148DA5" w14:textId="77777777" w:rsidR="00A9680D" w:rsidRPr="003A3A92" w:rsidRDefault="00A9680D" w:rsidP="00F5315F">
            <w:pPr>
              <w:pStyle w:val="Tabletext"/>
              <w:jc w:val="both"/>
            </w:pPr>
            <w:r w:rsidRPr="003A3A92">
              <w:t>La Conférence de plénipotentiaires se tient tous les quatre ans. L'ordre du jour est défini dans l'article 8 de la Constitution de l'UIT.</w:t>
            </w:r>
          </w:p>
          <w:p w14:paraId="2E8AAE10" w14:textId="77777777" w:rsidR="00A9680D" w:rsidRPr="003A3A92" w:rsidRDefault="00A9680D" w:rsidP="00F5315F">
            <w:pPr>
              <w:pStyle w:val="Tabletext"/>
              <w:jc w:val="both"/>
            </w:pPr>
            <w:r w:rsidRPr="003A3A92">
              <w:t>Un changement du lieu précis et/ou des dates exactes d'une conférence ou d'une assemblée peut être demandé par des États Membres ou proposé par le Conseil et nécessite l'appui de la majorité des États Membres (conformément au numéro 47 de la Convention).</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9445B5B" w14:textId="77777777" w:rsidR="00A9680D" w:rsidRPr="003A3A92" w:rsidRDefault="00A9680D" w:rsidP="007E6AA1">
            <w:pPr>
              <w:pStyle w:val="Tabletext"/>
            </w:pPr>
            <w:r w:rsidRPr="003A3A92">
              <w:t>Article 8 de la Constitution</w:t>
            </w:r>
          </w:p>
          <w:p w14:paraId="6E7166BB" w14:textId="77777777" w:rsidR="00A9680D" w:rsidRPr="003A3A92" w:rsidRDefault="00A9680D" w:rsidP="007E6AA1">
            <w:pPr>
              <w:pStyle w:val="Tabletext"/>
            </w:pPr>
            <w:r w:rsidRPr="003A3A92">
              <w:t>Numéro 47 de la Convention</w:t>
            </w:r>
          </w:p>
          <w:p w14:paraId="0F7F0860" w14:textId="51178EC4" w:rsidR="00A9680D" w:rsidRPr="003A3A92" w:rsidRDefault="00A9680D" w:rsidP="007E6AA1">
            <w:pPr>
              <w:pStyle w:val="Tabletext"/>
            </w:pPr>
            <w:r w:rsidRPr="003A3A92">
              <w:t>Section 7 des Règles générales</w:t>
            </w:r>
          </w:p>
          <w:p w14:paraId="177108D8" w14:textId="6CA98A8B" w:rsidR="00A9680D" w:rsidRPr="003A3A92" w:rsidRDefault="00A9680D" w:rsidP="007E6AA1">
            <w:pPr>
              <w:pStyle w:val="Tabletext"/>
            </w:pPr>
            <w:r w:rsidRPr="003A3A92">
              <w:t>Consultation de tous les États Membres sur le changement de dates/de lieu: habituellement 2 à 3</w:t>
            </w:r>
            <w:r w:rsidR="00EC12B6" w:rsidRPr="003A3A92">
              <w:t> </w:t>
            </w:r>
            <w:r w:rsidRPr="003A3A92">
              <w:t>semaines.</w:t>
            </w:r>
          </w:p>
        </w:tc>
      </w:tr>
      <w:tr w:rsidR="00A9680D" w:rsidRPr="003A3A92" w14:paraId="5EDA1D3A" w14:textId="77777777" w:rsidTr="00F5315F">
        <w:trPr>
          <w:trHeight w:val="902"/>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7EFC9C3A" w14:textId="77777777" w:rsidR="00A9680D" w:rsidRPr="003A3A92" w:rsidRDefault="00A9680D" w:rsidP="007E6AA1">
            <w:pPr>
              <w:pStyle w:val="Tabletext"/>
              <w:rPr>
                <w:b/>
                <w:bCs/>
              </w:rPr>
            </w:pPr>
            <w:r w:rsidRPr="003A3A92">
              <w:rPr>
                <w:b/>
                <w:bCs/>
              </w:rPr>
              <w:t>Tenue des conférences à Genève</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3C025FBF" w14:textId="77777777" w:rsidR="00A9680D" w:rsidRPr="003A3A92" w:rsidRDefault="00A9680D" w:rsidP="00F5315F">
            <w:pPr>
              <w:pStyle w:val="Tabletext"/>
              <w:jc w:val="both"/>
            </w:pPr>
            <w:r w:rsidRPr="003A3A92">
              <w:t>Lorsqu'une conférence ou une assemblée doit être réunie sans gouvernement invitant, après entente avec le Gouvernement de la Confédération suisse, le Secrétaire général prend les dispositions nécessaires pour convoquer et organiser la conférence ou l'assemblée au siège de l'Union.</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421FF3D5" w14:textId="77777777" w:rsidR="00A9680D" w:rsidRPr="003A3A92" w:rsidRDefault="00A9680D" w:rsidP="007E6AA1">
            <w:pPr>
              <w:pStyle w:val="Tabletext"/>
            </w:pPr>
            <w:r w:rsidRPr="003A3A92">
              <w:t>Section 6 des Règles générales</w:t>
            </w:r>
          </w:p>
        </w:tc>
      </w:tr>
      <w:tr w:rsidR="00A9680D" w:rsidRPr="003A3A92" w14:paraId="0EE1C92F"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70A014A8" w14:textId="77777777" w:rsidR="00A9680D" w:rsidRPr="003A3A92" w:rsidRDefault="00A9680D" w:rsidP="007E6AA1">
            <w:pPr>
              <w:pStyle w:val="Tabletext"/>
              <w:rPr>
                <w:b/>
                <w:bCs/>
              </w:rPr>
            </w:pPr>
            <w:r w:rsidRPr="003A3A92">
              <w:rPr>
                <w:b/>
                <w:bCs/>
              </w:rPr>
              <w:t>Modalités d'une PP et participation virtuelle</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48456206" w14:textId="77777777" w:rsidR="00A9680D" w:rsidRPr="003A3A92" w:rsidRDefault="00A9680D" w:rsidP="007E6AA1">
            <w:pPr>
              <w:pStyle w:val="Tabletext"/>
            </w:pPr>
            <w:r w:rsidRPr="003A3A92">
              <w:t>La Conférence de plénipotentiaires est une réunion physique avec participation à distance; le vote à distance ou par correspondance n'est pas prévu par les règles de l'UIT.</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28CE56B9" w14:textId="77777777" w:rsidR="00A9680D" w:rsidRPr="003A3A92" w:rsidRDefault="00A9680D" w:rsidP="007E6AA1">
            <w:pPr>
              <w:pStyle w:val="Tabletext"/>
            </w:pPr>
            <w:r w:rsidRPr="003A3A92">
              <w:t>Résolution 167 de la PP</w:t>
            </w:r>
          </w:p>
        </w:tc>
      </w:tr>
      <w:tr w:rsidR="00A9680D" w:rsidRPr="003A3A92" w14:paraId="49736233"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06EFB89D" w14:textId="4F24176B" w:rsidR="00A9680D" w:rsidRPr="003A3A92" w:rsidRDefault="00A9680D" w:rsidP="007E6AA1">
            <w:pPr>
              <w:pStyle w:val="Tabletext"/>
              <w:rPr>
                <w:b/>
                <w:bCs/>
              </w:rPr>
            </w:pPr>
            <w:r w:rsidRPr="003A3A92">
              <w:rPr>
                <w:b/>
                <w:bCs/>
              </w:rPr>
              <w:t>Délais de soumission des candidatures (fonctionnaires élus, membres du RRB, Conseil)</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358A1CC7" w14:textId="77777777" w:rsidR="00A9680D" w:rsidRPr="003A3A92" w:rsidRDefault="00A9680D" w:rsidP="007E6AA1">
            <w:pPr>
              <w:pStyle w:val="Tabletext"/>
            </w:pPr>
            <w:r w:rsidRPr="003A3A92">
              <w:t>Les échéances sont liées aux dates de la Conférence. Si les dates de la Conférence sont modifiées, les délais de soumission des candidatures seraient prolongés, afin de les aligner sur les nouvelles dates.</w:t>
            </w:r>
          </w:p>
          <w:p w14:paraId="0E7ECB8C" w14:textId="5C451149" w:rsidR="00A9680D" w:rsidRPr="003A3A92" w:rsidRDefault="006279FF" w:rsidP="003C66B4">
            <w:pPr>
              <w:pStyle w:val="enumlev1"/>
              <w:keepLines/>
              <w:spacing w:before="40" w:after="40"/>
              <w:rPr>
                <w:sz w:val="22"/>
                <w:szCs w:val="22"/>
              </w:rPr>
            </w:pPr>
            <w:r w:rsidRPr="003A3A92">
              <w:rPr>
                <w:sz w:val="22"/>
                <w:szCs w:val="22"/>
              </w:rPr>
              <w:t>•</w:t>
            </w:r>
            <w:r w:rsidRPr="003A3A92">
              <w:rPr>
                <w:sz w:val="22"/>
                <w:szCs w:val="22"/>
              </w:rPr>
              <w:tab/>
            </w:r>
            <w:r w:rsidR="00A9680D" w:rsidRPr="003A3A92">
              <w:rPr>
                <w:sz w:val="22"/>
                <w:szCs w:val="22"/>
              </w:rPr>
              <w:t>Actuellement, les candidatures doivent parvenir à la Secrétaire générale au plus tard à</w:t>
            </w:r>
            <w:r w:rsidR="003C66B4" w:rsidRPr="003A3A92">
              <w:rPr>
                <w:sz w:val="22"/>
                <w:szCs w:val="22"/>
              </w:rPr>
              <w:t> </w:t>
            </w:r>
            <w:r w:rsidR="00A9680D" w:rsidRPr="003A3A92">
              <w:rPr>
                <w:sz w:val="22"/>
                <w:szCs w:val="22"/>
              </w:rPr>
              <w:t>23</w:t>
            </w:r>
            <w:r w:rsidR="00637707" w:rsidRPr="003A3A92">
              <w:rPr>
                <w:sz w:val="22"/>
                <w:szCs w:val="22"/>
              </w:rPr>
              <w:t> </w:t>
            </w:r>
            <w:r w:rsidR="00A9680D" w:rsidRPr="003A3A92">
              <w:rPr>
                <w:sz w:val="22"/>
                <w:szCs w:val="22"/>
              </w:rPr>
              <w:t xml:space="preserve">h 59 (heure de Genève) le </w:t>
            </w:r>
            <w:r w:rsidR="00A9680D" w:rsidRPr="003A3A92">
              <w:rPr>
                <w:sz w:val="22"/>
                <w:szCs w:val="22"/>
                <w:u w:val="single"/>
              </w:rPr>
              <w:t>28ème jour</w:t>
            </w:r>
            <w:r w:rsidR="00A9680D" w:rsidRPr="003A3A92">
              <w:rPr>
                <w:sz w:val="22"/>
                <w:szCs w:val="22"/>
              </w:rPr>
              <w:t xml:space="preserve"> précédant le début de la Conférence, c'est</w:t>
            </w:r>
            <w:r w:rsidR="00637707" w:rsidRPr="003A3A92">
              <w:rPr>
                <w:sz w:val="22"/>
                <w:szCs w:val="22"/>
              </w:rPr>
              <w:noBreakHyphen/>
            </w:r>
            <w:r w:rsidR="00A9680D" w:rsidRPr="003A3A92">
              <w:rPr>
                <w:sz w:val="22"/>
                <w:szCs w:val="22"/>
              </w:rPr>
              <w:t>à</w:t>
            </w:r>
            <w:r w:rsidR="00637707" w:rsidRPr="003A3A92">
              <w:rPr>
                <w:sz w:val="22"/>
                <w:szCs w:val="22"/>
              </w:rPr>
              <w:noBreakHyphen/>
            </w:r>
            <w:r w:rsidR="00A9680D" w:rsidRPr="003A3A92">
              <w:rPr>
                <w:sz w:val="22"/>
                <w:szCs w:val="22"/>
              </w:rPr>
              <w:t>dire au plus tard à 23 h 59 (heure de Genève) le lundi 12 octobre 2026 (voir le</w:t>
            </w:r>
            <w:r w:rsidR="003C66B4" w:rsidRPr="003A3A92">
              <w:rPr>
                <w:sz w:val="22"/>
                <w:szCs w:val="22"/>
              </w:rPr>
              <w:t> </w:t>
            </w:r>
            <w:r w:rsidR="00A9680D" w:rsidRPr="003A3A92">
              <w:rPr>
                <w:sz w:val="22"/>
                <w:szCs w:val="22"/>
              </w:rPr>
              <w:t xml:space="preserve">numéro 170 des Règles générales), via l'adresse </w:t>
            </w:r>
            <w:hyperlink r:id="rId32" w:history="1">
              <w:r w:rsidR="00A9680D" w:rsidRPr="003A3A92">
                <w:rPr>
                  <w:rStyle w:val="Hyperlink"/>
                  <w:sz w:val="22"/>
                </w:rPr>
                <w:t>ppelections@itu.int</w:t>
              </w:r>
            </w:hyperlink>
            <w:r w:rsidR="00A9680D" w:rsidRPr="003A3A92">
              <w:rPr>
                <w:sz w:val="22"/>
                <w:szCs w:val="22"/>
              </w:rPr>
              <w:t>.</w:t>
            </w:r>
          </w:p>
          <w:p w14:paraId="315377C0" w14:textId="1980DF2C" w:rsidR="00A9680D" w:rsidRPr="003A3A92" w:rsidRDefault="006279FF" w:rsidP="00F5315F">
            <w:pPr>
              <w:pStyle w:val="enumlev1"/>
              <w:spacing w:before="40" w:after="40"/>
              <w:jc w:val="both"/>
            </w:pPr>
            <w:r w:rsidRPr="003A3A92">
              <w:rPr>
                <w:sz w:val="22"/>
                <w:szCs w:val="22"/>
              </w:rPr>
              <w:t>•</w:t>
            </w:r>
            <w:r w:rsidRPr="003A3A92">
              <w:rPr>
                <w:sz w:val="22"/>
                <w:szCs w:val="22"/>
              </w:rPr>
              <w:tab/>
            </w:r>
            <w:r w:rsidR="00A9680D" w:rsidRPr="003A3A92">
              <w:rPr>
                <w:sz w:val="22"/>
                <w:szCs w:val="22"/>
              </w:rPr>
              <w:t>En cas de report à janvier 2027 (dans l'hypothèse où les dates sont du 11 au 29</w:t>
            </w:r>
            <w:r w:rsidR="00EC12B6" w:rsidRPr="003A3A92">
              <w:rPr>
                <w:sz w:val="22"/>
                <w:szCs w:val="22"/>
              </w:rPr>
              <w:t> </w:t>
            </w:r>
            <w:r w:rsidR="00A9680D" w:rsidRPr="003A3A92">
              <w:rPr>
                <w:sz w:val="22"/>
                <w:szCs w:val="22"/>
              </w:rPr>
              <w:t>janvier</w:t>
            </w:r>
            <w:r w:rsidR="00EC12B6" w:rsidRPr="003A3A92">
              <w:rPr>
                <w:sz w:val="22"/>
                <w:szCs w:val="22"/>
              </w:rPr>
              <w:t> </w:t>
            </w:r>
            <w:r w:rsidR="00A9680D" w:rsidRPr="003A3A92">
              <w:rPr>
                <w:sz w:val="22"/>
                <w:szCs w:val="22"/>
              </w:rPr>
              <w:t>2027), la nouvelle date limite serait fixée au 14 décembre 2026 à 23 h 59 (heure de Genève).</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6A25DBEF" w14:textId="77777777" w:rsidR="00A9680D" w:rsidRPr="003A3A92" w:rsidRDefault="00A9680D" w:rsidP="007E6AA1">
            <w:pPr>
              <w:pStyle w:val="Tabletext"/>
            </w:pPr>
            <w:r w:rsidRPr="003A3A92">
              <w:t>Numéro 170 des Règles générales</w:t>
            </w:r>
          </w:p>
        </w:tc>
      </w:tr>
      <w:tr w:rsidR="00A9680D" w:rsidRPr="003A3A92" w14:paraId="219C1DF4"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6A8B1A76" w14:textId="77777777" w:rsidR="00A9680D" w:rsidRPr="003A3A92" w:rsidRDefault="00A9680D" w:rsidP="007E6AA1">
            <w:pPr>
              <w:pStyle w:val="Tabletext"/>
              <w:rPr>
                <w:b/>
                <w:bCs/>
              </w:rPr>
            </w:pPr>
            <w:r w:rsidRPr="003A3A92">
              <w:rPr>
                <w:b/>
                <w:bCs/>
              </w:rPr>
              <w:lastRenderedPageBreak/>
              <w:t>Mandats des fonctionnaires élus, des membres du RRB, du Conseil</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75831C32" w14:textId="7FE0AB3B"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Le Secrétaire général, le Vice-Secrétaire général et les directeurs des Bureaux prennent leurs fonctions à la date fixée par la Conférence de plénipotentiaires au moment de leur élection. Ils restent normalement en fonction jusqu'à la date fixée par la Conférence de plénipotentiaires suivante.</w:t>
            </w:r>
          </w:p>
          <w:p w14:paraId="41DDA99E" w14:textId="6915F3B6"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Les membres du Comité du Règlement des radiocommunications prennent leurs fonctions aux dates fixées par la Conférence de plénipotentiaires au moment de leur élection. Ils restent en fonction jusqu'aux dates fixées par la Conférence de plénipotentiaires suivante.</w:t>
            </w:r>
          </w:p>
          <w:p w14:paraId="6FC0EB30" w14:textId="0A3381EF" w:rsidR="00A9680D" w:rsidRPr="003A3A92" w:rsidRDefault="006279FF" w:rsidP="00F5315F">
            <w:pPr>
              <w:pStyle w:val="enumlev1"/>
              <w:spacing w:before="40" w:after="40"/>
              <w:jc w:val="both"/>
            </w:pPr>
            <w:r w:rsidRPr="003A3A92">
              <w:rPr>
                <w:sz w:val="22"/>
                <w:szCs w:val="22"/>
              </w:rPr>
              <w:t>•</w:t>
            </w:r>
            <w:r w:rsidRPr="003A3A92">
              <w:rPr>
                <w:sz w:val="22"/>
                <w:szCs w:val="22"/>
              </w:rPr>
              <w:tab/>
            </w:r>
            <w:r w:rsidR="00A9680D" w:rsidRPr="003A3A92">
              <w:rPr>
                <w:sz w:val="22"/>
                <w:szCs w:val="22"/>
              </w:rPr>
              <w:t>En ce qui concerne le Conseil, les États Membres élus au Conseil restent en fonction jusqu'à la date à laquelle un nouveau Conseil est élu.</w:t>
            </w:r>
          </w:p>
          <w:p w14:paraId="570B73A4" w14:textId="212BC950" w:rsidR="00A9680D" w:rsidRPr="003A3A92" w:rsidRDefault="00A9680D" w:rsidP="00F5315F">
            <w:pPr>
              <w:pStyle w:val="Tabletext"/>
              <w:jc w:val="both"/>
            </w:pPr>
            <w:r w:rsidRPr="003A3A92">
              <w:t>En conséquence, le mandat actuel des fonctionnaires élus, des membres du RRB et des États</w:t>
            </w:r>
            <w:r w:rsidR="006279FF" w:rsidRPr="003A3A92">
              <w:t> </w:t>
            </w:r>
            <w:r w:rsidRPr="003A3A92">
              <w:t>Membres du Conseil restera inchangé jusqu'à la prochaine Conférence de plénipotentiaires, quelle que soit la date à laquelle elle se tiendra.</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6D60474C" w14:textId="77777777" w:rsidR="00A9680D" w:rsidRPr="003A3A92" w:rsidRDefault="00A9680D" w:rsidP="007E6AA1">
            <w:pPr>
              <w:pStyle w:val="Tabletext"/>
            </w:pPr>
            <w:r w:rsidRPr="003A3A92">
              <w:t>Numéros 7, 13 et 20 de la Convention</w:t>
            </w:r>
          </w:p>
        </w:tc>
      </w:tr>
      <w:tr w:rsidR="00A9680D" w:rsidRPr="003A3A92" w14:paraId="4B57A690" w14:textId="77777777" w:rsidTr="00F5315F">
        <w:trPr>
          <w:trHeight w:val="300"/>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7D35F07B" w14:textId="77777777" w:rsidR="00A9680D" w:rsidRPr="003A3A92" w:rsidRDefault="00A9680D" w:rsidP="007E6AA1">
            <w:pPr>
              <w:pStyle w:val="Tabletext"/>
              <w:rPr>
                <w:b/>
                <w:bCs/>
              </w:rPr>
            </w:pPr>
            <w:r w:rsidRPr="003A3A92">
              <w:rPr>
                <w:b/>
                <w:bCs/>
              </w:rPr>
              <w:t>Délais et modalités de présentation des propositions et des rapports aux conférences</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9578C88" w14:textId="77777777" w:rsidR="00A9680D" w:rsidRPr="003A3A92" w:rsidRDefault="00A9680D" w:rsidP="00F5315F">
            <w:pPr>
              <w:pStyle w:val="Tabletext"/>
              <w:jc w:val="both"/>
            </w:pPr>
            <w:r w:rsidRPr="003A3A92">
              <w:t>Les échéances applicables aux documents sont liées aux dates de la Conférence.</w:t>
            </w:r>
          </w:p>
          <w:p w14:paraId="4EB6FBF9" w14:textId="56F8CA77"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i/>
                <w:iCs/>
                <w:sz w:val="22"/>
                <w:szCs w:val="22"/>
              </w:rPr>
              <w:t>Documents émanant du secrétariat</w:t>
            </w:r>
            <w:r w:rsidR="00A9680D" w:rsidRPr="003A3A92">
              <w:rPr>
                <w:sz w:val="22"/>
                <w:szCs w:val="22"/>
              </w:rPr>
              <w:t xml:space="preserve">: conformément à la Résolution 165, un délai fixe est établi pour la présentation des documents du secrétariat de l'UIT d'au plus tard </w:t>
            </w:r>
            <w:r w:rsidR="00A9680D" w:rsidRPr="003A3A92">
              <w:rPr>
                <w:sz w:val="22"/>
                <w:szCs w:val="22"/>
                <w:u w:val="single"/>
              </w:rPr>
              <w:t>35 jours calendaires</w:t>
            </w:r>
            <w:r w:rsidR="00A9680D" w:rsidRPr="003A3A92">
              <w:rPr>
                <w:sz w:val="22"/>
                <w:szCs w:val="22"/>
              </w:rPr>
              <w:t xml:space="preserve"> avant l'ouverture des conférences et assemblées de l'Union, y compris des Conférences de plénipotentiaires, afin de pouvoir assurer leur traduction dans les délais voulus et leur examen approfondi par les délégations, soit actuellement le</w:t>
            </w:r>
            <w:r w:rsidR="003C66B4" w:rsidRPr="003A3A92">
              <w:rPr>
                <w:sz w:val="22"/>
                <w:szCs w:val="22"/>
              </w:rPr>
              <w:t> </w:t>
            </w:r>
            <w:r w:rsidR="00A9680D" w:rsidRPr="003A3A92">
              <w:rPr>
                <w:sz w:val="22"/>
                <w:szCs w:val="22"/>
              </w:rPr>
              <w:t>8</w:t>
            </w:r>
            <w:r w:rsidR="003C66B4" w:rsidRPr="003A3A92">
              <w:rPr>
                <w:sz w:val="22"/>
                <w:szCs w:val="22"/>
              </w:rPr>
              <w:t> </w:t>
            </w:r>
            <w:r w:rsidR="00A9680D" w:rsidRPr="003A3A92">
              <w:rPr>
                <w:sz w:val="22"/>
                <w:szCs w:val="22"/>
              </w:rPr>
              <w:t>octobre</w:t>
            </w:r>
            <w:r w:rsidR="003C66B4" w:rsidRPr="003A3A92">
              <w:rPr>
                <w:sz w:val="22"/>
                <w:szCs w:val="22"/>
              </w:rPr>
              <w:t> </w:t>
            </w:r>
            <w:r w:rsidR="00A9680D" w:rsidRPr="003A3A92">
              <w:rPr>
                <w:sz w:val="22"/>
                <w:szCs w:val="22"/>
              </w:rPr>
              <w:t>2026.</w:t>
            </w:r>
          </w:p>
          <w:p w14:paraId="5CED4CA2" w14:textId="4D46DB43" w:rsidR="00A9680D" w:rsidRPr="003A3A92" w:rsidRDefault="006279FF" w:rsidP="00F5315F">
            <w:pPr>
              <w:pStyle w:val="enumlev1"/>
              <w:spacing w:before="40" w:after="40"/>
              <w:jc w:val="both"/>
            </w:pPr>
            <w:r w:rsidRPr="003A3A92">
              <w:rPr>
                <w:sz w:val="22"/>
                <w:szCs w:val="22"/>
              </w:rPr>
              <w:t>•</w:t>
            </w:r>
            <w:r w:rsidRPr="003A3A92">
              <w:rPr>
                <w:sz w:val="22"/>
                <w:szCs w:val="22"/>
              </w:rPr>
              <w:tab/>
            </w:r>
            <w:r w:rsidR="00A9680D" w:rsidRPr="003A3A92">
              <w:rPr>
                <w:i/>
                <w:iCs/>
                <w:sz w:val="22"/>
                <w:szCs w:val="22"/>
              </w:rPr>
              <w:t>Contributions émanant des États Membres</w:t>
            </w:r>
            <w:r w:rsidR="00A9680D" w:rsidRPr="003A3A92">
              <w:rPr>
                <w:sz w:val="22"/>
                <w:szCs w:val="22"/>
              </w:rPr>
              <w:t xml:space="preserve">: conformément à la Résolution 165, un délai fixe est établi pour la présentation des contributions d'au plus tard </w:t>
            </w:r>
            <w:r w:rsidR="00A9680D" w:rsidRPr="003A3A92">
              <w:rPr>
                <w:sz w:val="22"/>
                <w:szCs w:val="22"/>
                <w:u w:val="single"/>
              </w:rPr>
              <w:t>21 jours calendaires</w:t>
            </w:r>
            <w:r w:rsidR="00A9680D" w:rsidRPr="003A3A92">
              <w:rPr>
                <w:sz w:val="22"/>
                <w:szCs w:val="22"/>
              </w:rPr>
              <w:t xml:space="preserve"> avant l'ouverture des conférences et assemblées de l'Union, y compris des Conférences de plénipotentiaires, afin de pouvoir assurer leur traduction dans les délais voulus et leur examen approfondi par les délégations, soit actuellement le 19 octobre 2026.</w:t>
            </w:r>
          </w:p>
          <w:p w14:paraId="16A1C024" w14:textId="77777777" w:rsidR="00A9680D" w:rsidRPr="003A3A92" w:rsidRDefault="00A9680D" w:rsidP="00F5315F">
            <w:pPr>
              <w:pStyle w:val="Tabletext"/>
              <w:keepNext/>
              <w:keepLines/>
              <w:jc w:val="both"/>
            </w:pPr>
            <w:r w:rsidRPr="003A3A92">
              <w:t>Si les dates de la PP sont modifiées pour se tenir du 11 au 29 janvier 2027, les dates limites seront alignées comme suit:</w:t>
            </w:r>
          </w:p>
          <w:p w14:paraId="5654DE06" w14:textId="5E2C593C" w:rsidR="00A9680D" w:rsidRPr="003A3A92" w:rsidRDefault="006279FF" w:rsidP="00F5315F">
            <w:pPr>
              <w:pStyle w:val="enumlev1"/>
              <w:keepNext/>
              <w:keepLines/>
              <w:spacing w:before="40" w:after="40"/>
              <w:jc w:val="both"/>
              <w:rPr>
                <w:sz w:val="22"/>
                <w:szCs w:val="22"/>
              </w:rPr>
            </w:pPr>
            <w:r w:rsidRPr="003A3A92">
              <w:rPr>
                <w:sz w:val="22"/>
                <w:szCs w:val="22"/>
              </w:rPr>
              <w:t>–</w:t>
            </w:r>
            <w:r w:rsidRPr="003A3A92">
              <w:rPr>
                <w:sz w:val="22"/>
                <w:szCs w:val="22"/>
              </w:rPr>
              <w:tab/>
            </w:r>
            <w:r w:rsidR="00A9680D" w:rsidRPr="003A3A92">
              <w:rPr>
                <w:i/>
                <w:iCs/>
                <w:sz w:val="22"/>
                <w:szCs w:val="22"/>
              </w:rPr>
              <w:t>Documents émanant du secrétariat: 7 décembre 2026</w:t>
            </w:r>
            <w:r w:rsidRPr="003A3A92">
              <w:rPr>
                <w:i/>
                <w:iCs/>
                <w:sz w:val="22"/>
                <w:szCs w:val="22"/>
              </w:rPr>
              <w:t>.</w:t>
            </w:r>
          </w:p>
          <w:p w14:paraId="10D667D2" w14:textId="6668474F" w:rsidR="00A9680D" w:rsidRPr="003A3A92" w:rsidRDefault="006279FF" w:rsidP="00F5315F">
            <w:pPr>
              <w:pStyle w:val="enumlev1"/>
              <w:spacing w:before="40" w:after="40"/>
              <w:jc w:val="both"/>
            </w:pPr>
            <w:r w:rsidRPr="003A3A92">
              <w:rPr>
                <w:sz w:val="22"/>
                <w:szCs w:val="22"/>
              </w:rPr>
              <w:t>–</w:t>
            </w:r>
            <w:r w:rsidRPr="003A3A92">
              <w:rPr>
                <w:sz w:val="22"/>
                <w:szCs w:val="22"/>
              </w:rPr>
              <w:tab/>
            </w:r>
            <w:r w:rsidR="00A9680D" w:rsidRPr="003A3A92">
              <w:rPr>
                <w:i/>
                <w:iCs/>
                <w:sz w:val="22"/>
                <w:szCs w:val="22"/>
              </w:rPr>
              <w:t>Contributions émanant des États Membres: 21 décembre 2026</w:t>
            </w:r>
            <w:r w:rsidRPr="003A3A92">
              <w:rPr>
                <w:i/>
                <w:iCs/>
                <w:sz w:val="22"/>
                <w:szCs w:val="22"/>
              </w:rPr>
              <w:t>.</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0C599C63" w14:textId="77777777" w:rsidR="00A9680D" w:rsidRPr="003A3A92" w:rsidRDefault="00A9680D" w:rsidP="007E6AA1">
            <w:pPr>
              <w:pStyle w:val="Tabletext"/>
            </w:pPr>
            <w:r w:rsidRPr="003A3A92">
              <w:t>Résolution 165 de la PP</w:t>
            </w:r>
          </w:p>
          <w:p w14:paraId="64D1452C" w14:textId="77777777" w:rsidR="00A9680D" w:rsidRPr="003A3A92" w:rsidRDefault="00A9680D" w:rsidP="007E6AA1">
            <w:pPr>
              <w:pStyle w:val="Tabletext"/>
            </w:pPr>
            <w:r w:rsidRPr="003A3A92">
              <w:t>Numéros 40, 44 et 45 des Règles générales</w:t>
            </w:r>
          </w:p>
        </w:tc>
      </w:tr>
      <w:tr w:rsidR="00A9680D" w:rsidRPr="003A3A92" w14:paraId="3E000CB6" w14:textId="77777777" w:rsidTr="00F5315F">
        <w:trPr>
          <w:trHeight w:val="300"/>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7C9DCCA2" w14:textId="77777777" w:rsidR="00A9680D" w:rsidRPr="003A3A92" w:rsidRDefault="00A9680D" w:rsidP="007E6AA1">
            <w:pPr>
              <w:pStyle w:val="Tabletext"/>
              <w:rPr>
                <w:b/>
                <w:bCs/>
              </w:rPr>
            </w:pPr>
            <w:r w:rsidRPr="003A3A92">
              <w:rPr>
                <w:b/>
                <w:bCs/>
              </w:rPr>
              <w:t>Rôle du Qatar dans le cas où la conférence se tiendrait à Genève</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4CC05963" w14:textId="77777777" w:rsidR="00A9680D" w:rsidRPr="003A3A92" w:rsidRDefault="00A9680D" w:rsidP="00F5315F">
            <w:pPr>
              <w:pStyle w:val="Tabletext"/>
              <w:jc w:val="both"/>
            </w:pPr>
            <w:r w:rsidRPr="003A3A92">
              <w:t>Dans le cadre du scénario présenté dans le document selon lequel la Conférence se tiendrait à Genève, le Qatar pourrait continuer de jouer un rôle important, c'est-à-dire en présidant la Conférence, sous réserve d'une coordination plus poussée avec le pays hôte et des procédures statutaires applicables.</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0A321298" w14:textId="77777777" w:rsidR="00A9680D" w:rsidRPr="003A3A92" w:rsidRDefault="00A9680D" w:rsidP="007E6AA1">
            <w:pPr>
              <w:pStyle w:val="Tabletext"/>
            </w:pPr>
          </w:p>
        </w:tc>
      </w:tr>
      <w:tr w:rsidR="00A9680D" w:rsidRPr="003A3A92" w14:paraId="6C8CFCC8" w14:textId="77777777" w:rsidTr="00F5315F">
        <w:trPr>
          <w:trHeight w:val="300"/>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22F48480" w14:textId="35C4DD7B" w:rsidR="00A9680D" w:rsidRPr="003A3A92" w:rsidRDefault="00A9680D" w:rsidP="007E6AA1">
            <w:pPr>
              <w:pStyle w:val="Tabletext"/>
              <w:rPr>
                <w:b/>
                <w:bCs/>
              </w:rPr>
            </w:pPr>
            <w:r w:rsidRPr="003A3A92">
              <w:rPr>
                <w:b/>
                <w:bCs/>
              </w:rPr>
              <w:lastRenderedPageBreak/>
              <w:t>Processus préparatoire interrégional</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98BE8EF" w14:textId="2F5CF493"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Le Conseil est convenu d'organiser quatre réunions préparatoires interrégionales. Deux</w:t>
            </w:r>
            <w:r w:rsidR="003C66B4" w:rsidRPr="003A3A92">
              <w:rPr>
                <w:sz w:val="22"/>
                <w:szCs w:val="22"/>
              </w:rPr>
              <w:t> </w:t>
            </w:r>
            <w:r w:rsidR="00A9680D" w:rsidRPr="003A3A92">
              <w:rPr>
                <w:sz w:val="22"/>
                <w:szCs w:val="22"/>
              </w:rPr>
              <w:t>d'entre elles ont déjà eu lieu. La troisième est prévue pendant le FMPT.</w:t>
            </w:r>
          </w:p>
          <w:p w14:paraId="2773E8C6" w14:textId="7F057BAD" w:rsidR="00A9680D" w:rsidRPr="003A3A92" w:rsidRDefault="006279FF" w:rsidP="00F5315F">
            <w:pPr>
              <w:pStyle w:val="enumlev1"/>
              <w:spacing w:before="40" w:after="40"/>
              <w:jc w:val="both"/>
            </w:pPr>
            <w:r w:rsidRPr="003A3A92">
              <w:rPr>
                <w:sz w:val="22"/>
                <w:szCs w:val="22"/>
              </w:rPr>
              <w:t>•</w:t>
            </w:r>
            <w:r w:rsidRPr="003A3A92">
              <w:rPr>
                <w:sz w:val="22"/>
                <w:szCs w:val="22"/>
              </w:rPr>
              <w:tab/>
            </w:r>
            <w:r w:rsidR="00A9680D" w:rsidRPr="003A3A92">
              <w:rPr>
                <w:sz w:val="22"/>
                <w:szCs w:val="22"/>
              </w:rPr>
              <w:t>Si les dates de la PP devaient être reportées du 11 au 29 janvier 2027, le Conseil pourrait décider de reporter la quatrième réunion initialement prévue les 13 et 14 octobre 2026 en Arabie saoudite ou d'organiser une réunion supplémentaire (qui pourrait se tenir de manière virtuelle) après la date limite de dépôt des candidatures, fixée au</w:t>
            </w:r>
            <w:r w:rsidR="003C66B4" w:rsidRPr="003A3A92">
              <w:rPr>
                <w:sz w:val="22"/>
                <w:szCs w:val="22"/>
              </w:rPr>
              <w:t> </w:t>
            </w:r>
            <w:r w:rsidR="00A9680D" w:rsidRPr="003A3A92">
              <w:rPr>
                <w:sz w:val="22"/>
                <w:szCs w:val="22"/>
              </w:rPr>
              <w:t>14</w:t>
            </w:r>
            <w:r w:rsidR="008F7F28" w:rsidRPr="003A3A92">
              <w:rPr>
                <w:sz w:val="22"/>
                <w:szCs w:val="22"/>
              </w:rPr>
              <w:t> </w:t>
            </w:r>
            <w:r w:rsidR="00A9680D" w:rsidRPr="003A3A92">
              <w:rPr>
                <w:sz w:val="22"/>
                <w:szCs w:val="22"/>
              </w:rPr>
              <w:t>décembre</w:t>
            </w:r>
            <w:r w:rsidR="008F7F28" w:rsidRPr="003A3A92">
              <w:rPr>
                <w:sz w:val="22"/>
                <w:szCs w:val="22"/>
              </w:rPr>
              <w:t> </w:t>
            </w:r>
            <w:r w:rsidR="00A9680D" w:rsidRPr="003A3A92">
              <w:rPr>
                <w:sz w:val="22"/>
                <w:szCs w:val="22"/>
              </w:rPr>
              <w:t>2026.</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24B5C681" w14:textId="77777777" w:rsidR="00A9680D" w:rsidRPr="003A3A92" w:rsidRDefault="00A9680D" w:rsidP="007E6AA1">
            <w:pPr>
              <w:pStyle w:val="Tabletext"/>
            </w:pPr>
          </w:p>
        </w:tc>
      </w:tr>
      <w:tr w:rsidR="00A9680D" w:rsidRPr="003A3A92" w14:paraId="4EF1A654" w14:textId="77777777" w:rsidTr="00F5315F">
        <w:trPr>
          <w:trHeight w:val="300"/>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77CA6E27" w14:textId="77777777" w:rsidR="00A9680D" w:rsidRPr="003A3A92" w:rsidRDefault="00A9680D" w:rsidP="007E6AA1">
            <w:pPr>
              <w:pStyle w:val="Tabletext"/>
              <w:rPr>
                <w:b/>
                <w:bCs/>
              </w:rPr>
            </w:pPr>
            <w:r w:rsidRPr="003A3A92">
              <w:rPr>
                <w:b/>
                <w:bCs/>
              </w:rPr>
              <w:t>Annulation de dernière minute de la manifestation</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2BF0C4C8" w14:textId="348E9C67"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Le projet actuel d'accord de pays hôte comprend des dispositions relatives à l'annulation, à l'ajournement ou au changement de lieu de la Conférence. L'UIT a proposé une formulation selon laquelle, si la Secrétaire générale estime que la Conférence ne peut se tenir à Doha, ou qu'elle ne peut se dérouler entièrement à Doha en toute sécurité, en raison de l'évolution de la situation géopolitique, de l'instabilité régionale, de menaces pour la sécurité, de considérations liées à la sûreté ou de circonstances connexes, elle peut décider d'annuler ou de reporter la Conférence et/ou d'en changer le lieu. Selon la formulation proposée par l'UIT, une telle décision ne devrait pas engager la responsabilité de l'UIT envers le pays hôte au titre des coûts, dépenses, pertes, dommages, indemnités ou autres.</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4EB9F4D0" w14:textId="77777777" w:rsidR="00A9680D" w:rsidRPr="003A3A92" w:rsidRDefault="00A9680D" w:rsidP="007E6AA1">
            <w:pPr>
              <w:pStyle w:val="Tabletext"/>
            </w:pPr>
          </w:p>
        </w:tc>
      </w:tr>
      <w:tr w:rsidR="00A9680D" w:rsidRPr="003A3A92" w14:paraId="7935A439" w14:textId="77777777" w:rsidTr="00F5315F">
        <w:trPr>
          <w:trHeight w:val="300"/>
        </w:trPr>
        <w:tc>
          <w:tcPr>
            <w:tcW w:w="5000" w:type="pct"/>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2F2F2" w:themeFill="background1" w:themeFillShade="F2"/>
            <w:vAlign w:val="center"/>
            <w:hideMark/>
          </w:tcPr>
          <w:p w14:paraId="2786CB65" w14:textId="1C6E7AC5" w:rsidR="00A9680D" w:rsidRPr="003A3A92" w:rsidRDefault="00A9680D" w:rsidP="00F5315F">
            <w:pPr>
              <w:pStyle w:val="Tabletext"/>
              <w:rPr>
                <w:b/>
                <w:bCs/>
              </w:rPr>
            </w:pPr>
            <w:r w:rsidRPr="003A3A92">
              <w:rPr>
                <w:b/>
                <w:bCs/>
              </w:rPr>
              <w:t>Considérations relatives aux activités si la PP se tient à Genève</w:t>
            </w:r>
          </w:p>
        </w:tc>
      </w:tr>
      <w:tr w:rsidR="00A9680D" w:rsidRPr="003A3A92" w14:paraId="7AF7E649" w14:textId="77777777" w:rsidTr="00F5315F">
        <w:trPr>
          <w:trHeight w:val="300"/>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9EA2A4D" w14:textId="77777777" w:rsidR="00A9680D" w:rsidRPr="003A3A92" w:rsidRDefault="00A9680D" w:rsidP="00F5315F">
            <w:pPr>
              <w:pStyle w:val="Tabletext"/>
              <w:rPr>
                <w:b/>
                <w:bCs/>
              </w:rPr>
            </w:pPr>
            <w:r w:rsidRPr="003A3A92">
              <w:rPr>
                <w:b/>
                <w:bCs/>
              </w:rPr>
              <w:t>Incidences pour le Qatar d'une suspension des préparatifs et d'un report de la manifestation à Genève</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47658EBC" w14:textId="2E13D174"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Les préparatifs au Qatar sont déjà bien avancés pour ce qui est des principaux axes de travail opérationnels, à savoir la planification des sites, la production, la logistique, le transport, la coordination des hébergements, la sécurité, le protocole, l'enregistrement et les services aux délégués.</w:t>
            </w:r>
          </w:p>
          <w:p w14:paraId="1E219612" w14:textId="5B6D9CE3"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Des contrats ont déjà été signés avec un certain nombre de fournisseurs et de prestataires de services, tandis que plusieurs biens, services et besoins opérationnels ont déjà fait l'objet d'achats ou d'engagements.</w:t>
            </w:r>
          </w:p>
          <w:p w14:paraId="0986E6DE" w14:textId="3696A3D7"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Des paiements ont déjà été effectués au titre d'un certain nombre de ces engagements contractuels et d'achats, tandis que d'autres obligations financières pourraient devenir exigibles en vertu des accords existants.</w:t>
            </w:r>
          </w:p>
          <w:p w14:paraId="17537A37" w14:textId="7971F4A2"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La suspension ou l'annulation des préparatifs à ce stade auraient donc des répercussions financières directes pour le pays hôte, y compris des dépenses potentiellement irrécupérables, des frais d'annulation et de résiliation, des obligations envers les fournisseurs et des coûts liés à la clôture des contrats existants.</w:t>
            </w:r>
          </w:p>
          <w:p w14:paraId="78843FDB" w14:textId="70B2B3DD" w:rsidR="00A9680D" w:rsidRPr="003A3A92" w:rsidRDefault="006279FF" w:rsidP="00F5315F">
            <w:pPr>
              <w:pStyle w:val="enumlev1"/>
              <w:spacing w:before="40" w:after="40"/>
              <w:jc w:val="both"/>
              <w:rPr>
                <w:sz w:val="22"/>
                <w:szCs w:val="22"/>
              </w:rPr>
            </w:pPr>
            <w:r w:rsidRPr="003A3A92">
              <w:rPr>
                <w:sz w:val="22"/>
                <w:szCs w:val="22"/>
              </w:rPr>
              <w:lastRenderedPageBreak/>
              <w:t>•</w:t>
            </w:r>
            <w:r w:rsidRPr="003A3A92">
              <w:rPr>
                <w:sz w:val="22"/>
                <w:szCs w:val="22"/>
              </w:rPr>
              <w:tab/>
            </w:r>
            <w:r w:rsidR="00A9680D" w:rsidRPr="003A3A92">
              <w:rPr>
                <w:sz w:val="22"/>
                <w:szCs w:val="22"/>
              </w:rPr>
              <w:t>En outre, les biens, équipements, matériels et services déjà achetés spécialement pour la Conférence prévue à Doha ne sont pas nécessairement transférables, réutilisables ou récupérables en cas de changement de lieu de la Conférence.</w:t>
            </w:r>
          </w:p>
          <w:p w14:paraId="0492B763" w14:textId="6C04302B"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Des travaux préparatoires considérables ont déjà été entrepris par les entités gouvernementales et les autorités nationales concernées, notamment les services de sécurité, d'immigration, de douanes, de transport, de santé et d'autres parties prenantes opérationnelles.</w:t>
            </w:r>
          </w:p>
          <w:p w14:paraId="0B920A23" w14:textId="44B3F74B" w:rsidR="00A9680D" w:rsidRPr="003A3A92" w:rsidRDefault="006279FF" w:rsidP="00F5315F">
            <w:pPr>
              <w:pStyle w:val="enumlev1"/>
              <w:spacing w:before="40" w:after="40"/>
              <w:jc w:val="both"/>
            </w:pPr>
            <w:r w:rsidRPr="003A3A92">
              <w:rPr>
                <w:sz w:val="22"/>
                <w:szCs w:val="22"/>
              </w:rPr>
              <w:t>•</w:t>
            </w:r>
            <w:r w:rsidRPr="003A3A92">
              <w:rPr>
                <w:sz w:val="22"/>
                <w:szCs w:val="22"/>
              </w:rPr>
              <w:tab/>
            </w:r>
            <w:r w:rsidR="00A9680D" w:rsidRPr="003A3A92">
              <w:rPr>
                <w:sz w:val="22"/>
                <w:szCs w:val="22"/>
              </w:rPr>
              <w:t>Le changement de lieu de la Conférence à un stade aussi avancé entraînerait également des coûts supplémentaires liés à la mise en place de nouvelles modalités à Genève, tandis que les engagements contractuels et financiers déjà contractés au Qatar devraient encore être traités. La répartition et la prise en charge des coûts liés au report de la Conférence à Genève devraient être examinées séparément entre les parties concernées.</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7C9BAAE4" w14:textId="77777777" w:rsidR="00A9680D" w:rsidRPr="003A3A92" w:rsidRDefault="00A9680D" w:rsidP="00F5315F">
            <w:pPr>
              <w:pStyle w:val="Tabletext"/>
            </w:pPr>
          </w:p>
        </w:tc>
      </w:tr>
      <w:tr w:rsidR="00A9680D" w:rsidRPr="003A3A92" w14:paraId="47220D1D"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34A694C" w14:textId="77777777" w:rsidR="00A9680D" w:rsidRPr="003A3A92" w:rsidRDefault="00A9680D" w:rsidP="002E4737">
            <w:pPr>
              <w:pStyle w:val="Tabletext"/>
              <w:keepNext/>
              <w:keepLines/>
              <w:rPr>
                <w:b/>
                <w:bCs/>
              </w:rPr>
            </w:pPr>
            <w:r w:rsidRPr="003A3A92">
              <w:rPr>
                <w:b/>
                <w:bCs/>
              </w:rPr>
              <w:t>Sites disponibles à Genève</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28B635F1" w14:textId="1C10FBC6" w:rsidR="00A9680D" w:rsidRPr="003A3A92" w:rsidRDefault="006279FF" w:rsidP="00F5315F">
            <w:pPr>
              <w:pStyle w:val="enumlev1"/>
              <w:keepNext/>
              <w:keepLines/>
              <w:spacing w:before="40" w:after="40"/>
              <w:ind w:right="-25"/>
              <w:jc w:val="both"/>
              <w:rPr>
                <w:sz w:val="22"/>
                <w:szCs w:val="22"/>
              </w:rPr>
            </w:pPr>
            <w:r w:rsidRPr="003A3A92">
              <w:rPr>
                <w:sz w:val="22"/>
                <w:szCs w:val="22"/>
              </w:rPr>
              <w:t>•</w:t>
            </w:r>
            <w:r w:rsidRPr="003A3A92">
              <w:rPr>
                <w:sz w:val="22"/>
                <w:szCs w:val="22"/>
              </w:rPr>
              <w:tab/>
            </w:r>
            <w:r w:rsidR="00A9680D" w:rsidRPr="003A3A92">
              <w:rPr>
                <w:sz w:val="22"/>
                <w:szCs w:val="22"/>
              </w:rPr>
              <w:t>Le secrétariat a étudié toutes les options possibles à Genève pour 2026 et le début de l'année 2027. Aucun site en mesure d'accueillir la PP n'est disponible en 2026 pendant trois semaines consécutives. La première disponibilité est prévue au CICG en janvier</w:t>
            </w:r>
            <w:r w:rsidR="003C66B4" w:rsidRPr="003A3A92">
              <w:rPr>
                <w:sz w:val="22"/>
                <w:szCs w:val="22"/>
              </w:rPr>
              <w:t> </w:t>
            </w:r>
            <w:r w:rsidR="00A9680D" w:rsidRPr="003A3A92">
              <w:rPr>
                <w:sz w:val="22"/>
                <w:szCs w:val="22"/>
              </w:rPr>
              <w:t>2027. Une réservation provisoire a été effectuée pour la période du 4 au 29</w:t>
            </w:r>
            <w:r w:rsidR="003C66B4" w:rsidRPr="003A3A92">
              <w:rPr>
                <w:sz w:val="22"/>
                <w:szCs w:val="22"/>
              </w:rPr>
              <w:t> </w:t>
            </w:r>
            <w:r w:rsidR="00A9680D" w:rsidRPr="003A3A92">
              <w:rPr>
                <w:sz w:val="22"/>
                <w:szCs w:val="22"/>
              </w:rPr>
              <w:t>janvier 2027, étant entendu que si le CICG reçoit une contre-offre, l'UIT devra, dans un délai de deux jours, signer un contrat d'utilisation des locaux si elle souhaite organiser la PP au CICG.</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71403444" w14:textId="77777777" w:rsidR="00A9680D" w:rsidRPr="003A3A92" w:rsidRDefault="00A9680D" w:rsidP="007E6AA1">
            <w:pPr>
              <w:pStyle w:val="Tabletext"/>
            </w:pPr>
          </w:p>
        </w:tc>
      </w:tr>
      <w:tr w:rsidR="00A9680D" w:rsidRPr="003A3A92" w14:paraId="7C31400D" w14:textId="77777777" w:rsidTr="00F5315F">
        <w:trPr>
          <w:trHeight w:val="300"/>
        </w:trPr>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005DE77B" w14:textId="77777777" w:rsidR="00A9680D" w:rsidRPr="003A3A92" w:rsidRDefault="00A9680D" w:rsidP="007E6AA1">
            <w:pPr>
              <w:pStyle w:val="Tabletext"/>
              <w:rPr>
                <w:b/>
                <w:bCs/>
              </w:rPr>
            </w:pPr>
            <w:r w:rsidRPr="003A3A92">
              <w:rPr>
                <w:b/>
                <w:bCs/>
              </w:rPr>
              <w:t>Autres considérations relatives aux activités</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2D861A46" w14:textId="6C3032AC"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Les dispositions contractuelles conclues par le pays hôte avec le lieu d'accueil de la Conférence et d'autres prestataires clés en sont déjà à un stade avancé: plusieurs contrats ont été signés, les procédures de passation de marchés sont achevées ou en cours, et des paiements ont déjà été effectués. À ce stade, le changement de lieu de la Conférence aurait donc des incidences financières directes, y compris des dépenses potentiellement irrécupérables, des frais d'annulation ou de résiliation et d'autres obligations contractuelles.</w:t>
            </w:r>
          </w:p>
          <w:p w14:paraId="0CAAB8F0" w14:textId="385CC826" w:rsidR="00A9680D" w:rsidRPr="003A3A92" w:rsidRDefault="006279FF" w:rsidP="00F5315F">
            <w:pPr>
              <w:pStyle w:val="enumlev1"/>
              <w:spacing w:before="40" w:after="40"/>
              <w:jc w:val="both"/>
              <w:rPr>
                <w:sz w:val="22"/>
                <w:szCs w:val="22"/>
              </w:rPr>
            </w:pPr>
            <w:r w:rsidRPr="003A3A92">
              <w:rPr>
                <w:sz w:val="22"/>
                <w:szCs w:val="22"/>
              </w:rPr>
              <w:t>•</w:t>
            </w:r>
            <w:r w:rsidRPr="003A3A92">
              <w:rPr>
                <w:sz w:val="22"/>
                <w:szCs w:val="22"/>
              </w:rPr>
              <w:tab/>
            </w:r>
            <w:r w:rsidR="00A9680D" w:rsidRPr="003A3A92">
              <w:rPr>
                <w:sz w:val="22"/>
                <w:szCs w:val="22"/>
              </w:rPr>
              <w:t>L'UIT devra conclure des contrats avec les interprètes et les procès-verbalistes trois mois avant la Conférence, soit en août si les dates actuelles sont maintenues.</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0C859852" w14:textId="77777777" w:rsidR="00A9680D" w:rsidRPr="003A3A92" w:rsidRDefault="00A9680D" w:rsidP="007E6AA1">
            <w:pPr>
              <w:pStyle w:val="Tabletext"/>
            </w:pPr>
          </w:p>
        </w:tc>
      </w:tr>
      <w:tr w:rsidR="00A9680D" w:rsidRPr="003A3A92" w14:paraId="462223AB" w14:textId="77777777" w:rsidTr="00F5315F">
        <w:tc>
          <w:tcPr>
            <w:tcW w:w="5000" w:type="pct"/>
            <w:gridSpan w:val="3"/>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shd w:val="clear" w:color="auto" w:fill="F2F2F2" w:themeFill="background1" w:themeFillShade="F2"/>
            <w:vAlign w:val="center"/>
            <w:hideMark/>
          </w:tcPr>
          <w:p w14:paraId="087330C1" w14:textId="3FEA4816" w:rsidR="00A9680D" w:rsidRPr="003A3A92" w:rsidRDefault="00A9680D" w:rsidP="00B37963">
            <w:pPr>
              <w:pStyle w:val="Tabletext"/>
              <w:keepNext/>
              <w:keepLines/>
              <w:rPr>
                <w:b/>
                <w:bCs/>
              </w:rPr>
            </w:pPr>
            <w:r w:rsidRPr="003A3A92">
              <w:rPr>
                <w:b/>
                <w:bCs/>
              </w:rPr>
              <w:lastRenderedPageBreak/>
              <w:t>Considérations financières au cas où la Conférence de plénipotentiaires se tiendrait à Genève</w:t>
            </w:r>
          </w:p>
        </w:tc>
      </w:tr>
      <w:tr w:rsidR="00A9680D" w:rsidRPr="003A3A92" w14:paraId="78FD6788"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2752022" w14:textId="3E540102" w:rsidR="00A9680D" w:rsidRPr="003A3A92" w:rsidRDefault="00A9680D" w:rsidP="00B37963">
            <w:pPr>
              <w:pStyle w:val="Tabletext"/>
              <w:keepNext/>
              <w:keepLines/>
              <w:rPr>
                <w:b/>
                <w:bCs/>
              </w:rPr>
            </w:pPr>
            <w:r w:rsidRPr="003A3A92">
              <w:rPr>
                <w:b/>
                <w:bCs/>
              </w:rPr>
              <w:t xml:space="preserve">Budget approuvé au titre du budget ordinaire de 2026 </w:t>
            </w:r>
            <w:r w:rsidR="00F5315F">
              <w:rPr>
                <w:b/>
                <w:bCs/>
              </w:rPr>
              <w:br/>
            </w:r>
            <w:r w:rsidRPr="003A3A92">
              <w:rPr>
                <w:b/>
                <w:bCs/>
              </w:rPr>
              <w:t>(Résolution 1435 du Conseil)</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325E77E4" w14:textId="77777777" w:rsidR="00A9680D" w:rsidRPr="003A3A92" w:rsidRDefault="00A9680D" w:rsidP="00B37963">
            <w:pPr>
              <w:pStyle w:val="Tabletext"/>
              <w:keepNext/>
              <w:keepLines/>
            </w:pPr>
            <w:r w:rsidRPr="003A3A92">
              <w:t xml:space="preserve">Coût </w:t>
            </w:r>
            <w:proofErr w:type="gramStart"/>
            <w:r w:rsidRPr="003A3A92">
              <w:t>direct:</w:t>
            </w:r>
            <w:proofErr w:type="gramEnd"/>
            <w:r w:rsidRPr="003A3A92">
              <w:t xml:space="preserve"> </w:t>
            </w:r>
            <w:r w:rsidRPr="003A3A92">
              <w:rPr>
                <w:b/>
                <w:bCs/>
              </w:rPr>
              <w:t>1 069 000,00 CHF</w:t>
            </w:r>
          </w:p>
          <w:p w14:paraId="6D2A40DD" w14:textId="77777777" w:rsidR="00A9680D" w:rsidRPr="003A3A92" w:rsidRDefault="00A9680D" w:rsidP="00B37963">
            <w:pPr>
              <w:pStyle w:val="Tabletext"/>
              <w:keepNext/>
              <w:keepLines/>
            </w:pPr>
            <w:r w:rsidRPr="003A3A92">
              <w:t xml:space="preserve">Coûts indirects (traitement de texte, documentation): </w:t>
            </w:r>
            <w:r w:rsidRPr="003A3A92">
              <w:rPr>
                <w:b/>
                <w:bCs/>
              </w:rPr>
              <w:t>2 845 000,00 CHF</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090752BA" w14:textId="77777777" w:rsidR="00A9680D" w:rsidRPr="003A3A92" w:rsidRDefault="00A9680D" w:rsidP="00B37963">
            <w:pPr>
              <w:pStyle w:val="Tabletext"/>
              <w:keepNext/>
              <w:keepLines/>
            </w:pPr>
          </w:p>
        </w:tc>
      </w:tr>
      <w:tr w:rsidR="00A9680D" w:rsidRPr="003A3A92" w14:paraId="7F6B7B73"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2C79D4ED" w14:textId="2D215038" w:rsidR="00A9680D" w:rsidRPr="003A3A92" w:rsidRDefault="00A9680D" w:rsidP="007E6AA1">
            <w:pPr>
              <w:pStyle w:val="Tabletext"/>
              <w:rPr>
                <w:b/>
                <w:bCs/>
              </w:rPr>
            </w:pPr>
            <w:r w:rsidRPr="003A3A92">
              <w:rPr>
                <w:b/>
                <w:bCs/>
              </w:rPr>
              <w:t>Coût supplémentaire lié à l'organisation d'une</w:t>
            </w:r>
            <w:r w:rsidR="003C66B4" w:rsidRPr="003A3A92">
              <w:rPr>
                <w:b/>
                <w:bCs/>
              </w:rPr>
              <w:t> </w:t>
            </w:r>
            <w:r w:rsidRPr="003A3A92">
              <w:rPr>
                <w:b/>
                <w:bCs/>
              </w:rPr>
              <w:t>PP à Genève</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58EA6023" w14:textId="77777777" w:rsidR="00A9680D" w:rsidRPr="003A3A92" w:rsidRDefault="00A9680D" w:rsidP="007E6AA1">
            <w:pPr>
              <w:pStyle w:val="Tabletext"/>
            </w:pPr>
            <w:r w:rsidRPr="003A3A92">
              <w:t xml:space="preserve">Les coûts supplémentaires sont estimés à </w:t>
            </w:r>
            <w:r w:rsidRPr="003A3A92">
              <w:rPr>
                <w:b/>
                <w:bCs/>
              </w:rPr>
              <w:t>1 510 000 CHF</w:t>
            </w:r>
            <w:r w:rsidRPr="003A3A92">
              <w:t xml:space="preserve"> pour les catégories suivantes:</w:t>
            </w:r>
          </w:p>
          <w:p w14:paraId="327708F7" w14:textId="1EE13EF9" w:rsidR="00A9680D" w:rsidRPr="003A3A92" w:rsidRDefault="006279FF" w:rsidP="003C66B4">
            <w:pPr>
              <w:pStyle w:val="enumlev1"/>
              <w:tabs>
                <w:tab w:val="clear" w:pos="1701"/>
                <w:tab w:val="clear" w:pos="2268"/>
                <w:tab w:val="clear" w:pos="2835"/>
                <w:tab w:val="right" w:pos="5277"/>
              </w:tabs>
              <w:spacing w:before="40" w:after="40"/>
              <w:rPr>
                <w:sz w:val="22"/>
                <w:szCs w:val="22"/>
              </w:rPr>
            </w:pPr>
            <w:r w:rsidRPr="003A3A92">
              <w:rPr>
                <w:sz w:val="22"/>
                <w:szCs w:val="22"/>
              </w:rPr>
              <w:t>•</w:t>
            </w:r>
            <w:r w:rsidRPr="003A3A92">
              <w:rPr>
                <w:sz w:val="22"/>
                <w:szCs w:val="22"/>
              </w:rPr>
              <w:tab/>
            </w:r>
            <w:r w:rsidR="00A9680D" w:rsidRPr="003A3A92">
              <w:rPr>
                <w:sz w:val="22"/>
                <w:szCs w:val="22"/>
              </w:rPr>
              <w:t>Informatique et audiovisuel</w:t>
            </w:r>
            <w:r w:rsidR="00A9680D" w:rsidRPr="003A3A92">
              <w:rPr>
                <w:sz w:val="22"/>
                <w:szCs w:val="22"/>
              </w:rPr>
              <w:tab/>
              <w:t>725 000,00</w:t>
            </w:r>
          </w:p>
          <w:p w14:paraId="1B9FB4F0" w14:textId="4239A67B" w:rsidR="00A9680D" w:rsidRPr="003A3A92" w:rsidRDefault="006279FF" w:rsidP="003C66B4">
            <w:pPr>
              <w:pStyle w:val="enumlev1"/>
              <w:tabs>
                <w:tab w:val="clear" w:pos="1134"/>
                <w:tab w:val="clear" w:pos="1701"/>
                <w:tab w:val="clear" w:pos="2268"/>
                <w:tab w:val="clear" w:pos="2835"/>
                <w:tab w:val="right" w:pos="5277"/>
              </w:tabs>
              <w:spacing w:before="40" w:after="40"/>
              <w:rPr>
                <w:sz w:val="22"/>
                <w:szCs w:val="22"/>
              </w:rPr>
            </w:pPr>
            <w:r w:rsidRPr="003A3A92">
              <w:rPr>
                <w:sz w:val="22"/>
                <w:szCs w:val="22"/>
              </w:rPr>
              <w:t>•</w:t>
            </w:r>
            <w:r w:rsidRPr="003A3A92">
              <w:rPr>
                <w:sz w:val="22"/>
                <w:szCs w:val="22"/>
              </w:rPr>
              <w:tab/>
            </w:r>
            <w:r w:rsidR="00A9680D" w:rsidRPr="003A3A92">
              <w:rPr>
                <w:sz w:val="22"/>
                <w:szCs w:val="22"/>
              </w:rPr>
              <w:t>Location de salles, logistique, huissiers</w:t>
            </w:r>
            <w:r w:rsidR="00A9680D" w:rsidRPr="003A3A92">
              <w:rPr>
                <w:sz w:val="22"/>
                <w:szCs w:val="22"/>
              </w:rPr>
              <w:tab/>
              <w:t>275 000,00</w:t>
            </w:r>
          </w:p>
          <w:p w14:paraId="58ED206C" w14:textId="38B49639" w:rsidR="00A9680D" w:rsidRPr="003A3A92" w:rsidRDefault="006279FF" w:rsidP="003C66B4">
            <w:pPr>
              <w:pStyle w:val="enumlev1"/>
              <w:tabs>
                <w:tab w:val="clear" w:pos="1134"/>
                <w:tab w:val="clear" w:pos="1701"/>
                <w:tab w:val="clear" w:pos="2268"/>
                <w:tab w:val="clear" w:pos="2835"/>
                <w:tab w:val="right" w:pos="5277"/>
              </w:tabs>
              <w:spacing w:before="40" w:after="40"/>
              <w:rPr>
                <w:sz w:val="22"/>
                <w:szCs w:val="22"/>
              </w:rPr>
            </w:pPr>
            <w:r w:rsidRPr="003A3A92">
              <w:rPr>
                <w:sz w:val="22"/>
                <w:szCs w:val="22"/>
              </w:rPr>
              <w:t>•</w:t>
            </w:r>
            <w:r w:rsidRPr="003A3A92">
              <w:rPr>
                <w:sz w:val="22"/>
                <w:szCs w:val="22"/>
              </w:rPr>
              <w:tab/>
            </w:r>
            <w:r w:rsidR="00A9680D" w:rsidRPr="003A3A92">
              <w:rPr>
                <w:sz w:val="22"/>
                <w:szCs w:val="22"/>
              </w:rPr>
              <w:t>Sécurité</w:t>
            </w:r>
            <w:r w:rsidR="00A9680D" w:rsidRPr="003A3A92">
              <w:rPr>
                <w:sz w:val="22"/>
                <w:szCs w:val="22"/>
              </w:rPr>
              <w:tab/>
              <w:t>386 000,00</w:t>
            </w:r>
          </w:p>
          <w:p w14:paraId="1C01A2C8" w14:textId="794783D8" w:rsidR="00A9680D" w:rsidRPr="003A3A92" w:rsidRDefault="006279FF" w:rsidP="003C66B4">
            <w:pPr>
              <w:pStyle w:val="enumlev1"/>
              <w:tabs>
                <w:tab w:val="clear" w:pos="1134"/>
                <w:tab w:val="clear" w:pos="1701"/>
                <w:tab w:val="clear" w:pos="2268"/>
                <w:tab w:val="clear" w:pos="2835"/>
                <w:tab w:val="right" w:pos="5277"/>
              </w:tabs>
              <w:spacing w:before="40" w:after="40"/>
              <w:rPr>
                <w:sz w:val="22"/>
                <w:szCs w:val="22"/>
              </w:rPr>
            </w:pPr>
            <w:r w:rsidRPr="003A3A92">
              <w:rPr>
                <w:sz w:val="22"/>
                <w:szCs w:val="22"/>
              </w:rPr>
              <w:t>•</w:t>
            </w:r>
            <w:r w:rsidRPr="003A3A92">
              <w:rPr>
                <w:sz w:val="22"/>
                <w:szCs w:val="22"/>
              </w:rPr>
              <w:tab/>
            </w:r>
            <w:r w:rsidR="00A9680D" w:rsidRPr="003A3A92">
              <w:rPr>
                <w:sz w:val="22"/>
                <w:szCs w:val="22"/>
              </w:rPr>
              <w:t>Enregistrement et badges</w:t>
            </w:r>
            <w:r w:rsidR="00A9680D" w:rsidRPr="003A3A92">
              <w:rPr>
                <w:sz w:val="22"/>
                <w:szCs w:val="22"/>
              </w:rPr>
              <w:tab/>
              <w:t>36 000,00</w:t>
            </w:r>
          </w:p>
          <w:p w14:paraId="05CE9A71" w14:textId="66A334D8" w:rsidR="00A9680D" w:rsidRPr="003A3A92" w:rsidRDefault="006279FF" w:rsidP="003C66B4">
            <w:pPr>
              <w:pStyle w:val="enumlev1"/>
              <w:tabs>
                <w:tab w:val="clear" w:pos="1134"/>
                <w:tab w:val="clear" w:pos="1701"/>
                <w:tab w:val="clear" w:pos="2268"/>
                <w:tab w:val="clear" w:pos="2835"/>
                <w:tab w:val="right" w:pos="5309"/>
              </w:tabs>
              <w:spacing w:before="40" w:after="40"/>
              <w:rPr>
                <w:sz w:val="22"/>
                <w:szCs w:val="22"/>
              </w:rPr>
            </w:pPr>
            <w:r w:rsidRPr="003A3A92">
              <w:rPr>
                <w:sz w:val="22"/>
                <w:szCs w:val="22"/>
              </w:rPr>
              <w:t>•</w:t>
            </w:r>
            <w:r w:rsidRPr="003A3A92">
              <w:rPr>
                <w:sz w:val="22"/>
                <w:szCs w:val="22"/>
              </w:rPr>
              <w:tab/>
            </w:r>
            <w:r w:rsidR="00A9680D" w:rsidRPr="003A3A92">
              <w:rPr>
                <w:sz w:val="22"/>
                <w:szCs w:val="22"/>
              </w:rPr>
              <w:t xml:space="preserve">Communications </w:t>
            </w:r>
            <w:r w:rsidR="00A9680D" w:rsidRPr="003A3A92">
              <w:rPr>
                <w:sz w:val="22"/>
                <w:szCs w:val="22"/>
              </w:rPr>
              <w:tab/>
              <w:t>68 000,00</w:t>
            </w:r>
          </w:p>
          <w:p w14:paraId="620794F9" w14:textId="61A00285" w:rsidR="00A9680D" w:rsidRPr="003A3A92" w:rsidRDefault="006279FF" w:rsidP="003C66B4">
            <w:pPr>
              <w:pStyle w:val="enumlev1"/>
              <w:tabs>
                <w:tab w:val="clear" w:pos="1134"/>
                <w:tab w:val="clear" w:pos="1701"/>
                <w:tab w:val="clear" w:pos="2268"/>
                <w:tab w:val="clear" w:pos="2835"/>
                <w:tab w:val="right" w:pos="5293"/>
              </w:tabs>
              <w:spacing w:before="40" w:after="40"/>
              <w:rPr>
                <w:sz w:val="22"/>
                <w:szCs w:val="22"/>
              </w:rPr>
            </w:pPr>
            <w:r w:rsidRPr="003A3A92">
              <w:rPr>
                <w:sz w:val="22"/>
                <w:szCs w:val="22"/>
              </w:rPr>
              <w:t>•</w:t>
            </w:r>
            <w:r w:rsidRPr="003A3A92">
              <w:rPr>
                <w:sz w:val="22"/>
                <w:szCs w:val="22"/>
              </w:rPr>
              <w:tab/>
            </w:r>
            <w:r w:rsidR="00A9680D" w:rsidRPr="003A3A92">
              <w:rPr>
                <w:sz w:val="22"/>
                <w:szCs w:val="22"/>
              </w:rPr>
              <w:t>Protocole</w:t>
            </w:r>
            <w:r w:rsidR="00A9680D" w:rsidRPr="003A3A92">
              <w:rPr>
                <w:sz w:val="22"/>
                <w:szCs w:val="22"/>
              </w:rPr>
              <w:tab/>
              <w:t>20 000,00</w:t>
            </w:r>
          </w:p>
          <w:p w14:paraId="57EB0FF0" w14:textId="4422C193" w:rsidR="00A9680D" w:rsidRPr="003A3A92" w:rsidRDefault="00816E81" w:rsidP="00816E81">
            <w:pPr>
              <w:pStyle w:val="Tabletext"/>
              <w:tabs>
                <w:tab w:val="clear" w:pos="284"/>
                <w:tab w:val="clear" w:pos="567"/>
                <w:tab w:val="clear" w:pos="851"/>
                <w:tab w:val="right" w:pos="3669"/>
                <w:tab w:val="right" w:pos="5309"/>
              </w:tabs>
            </w:pPr>
            <w:r w:rsidRPr="003A3A92">
              <w:rPr>
                <w:szCs w:val="22"/>
              </w:rPr>
              <w:tab/>
            </w:r>
            <w:r w:rsidR="00A9680D" w:rsidRPr="003A3A92">
              <w:rPr>
                <w:szCs w:val="22"/>
              </w:rPr>
              <w:t>Tota</w:t>
            </w:r>
            <w:r w:rsidR="006279FF" w:rsidRPr="003A3A92">
              <w:rPr>
                <w:szCs w:val="22"/>
              </w:rPr>
              <w:t>l</w:t>
            </w:r>
            <w:r w:rsidR="00A9680D" w:rsidRPr="003A3A92">
              <w:rPr>
                <w:szCs w:val="22"/>
              </w:rPr>
              <w:tab/>
              <w:t>1 510 000,00</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6FCF5136" w14:textId="77777777" w:rsidR="00A9680D" w:rsidRPr="003A3A92" w:rsidRDefault="00A9680D" w:rsidP="007E6AA1">
            <w:pPr>
              <w:pStyle w:val="Tabletext"/>
            </w:pPr>
          </w:p>
        </w:tc>
      </w:tr>
      <w:tr w:rsidR="00A9680D" w:rsidRPr="003A3A92" w14:paraId="50A32AA1"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596BEE46" w14:textId="77777777" w:rsidR="00A9680D" w:rsidRPr="003A3A92" w:rsidRDefault="00A9680D" w:rsidP="007E6AA1">
            <w:pPr>
              <w:pStyle w:val="Tabletext"/>
              <w:rPr>
                <w:b/>
                <w:bCs/>
              </w:rPr>
            </w:pPr>
            <w:r w:rsidRPr="003A3A92">
              <w:rPr>
                <w:b/>
                <w:bCs/>
              </w:rPr>
              <w:t>Frais d'annulation pour le CICG</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CA0EB3E" w14:textId="0880E8DE" w:rsidR="00A9680D" w:rsidRPr="003A3A92" w:rsidRDefault="00A9680D" w:rsidP="00F5315F">
            <w:pPr>
              <w:pStyle w:val="Tabletext"/>
              <w:jc w:val="both"/>
            </w:pPr>
            <w:r w:rsidRPr="003A3A92">
              <w:t>Les frais de location ont fait l'objet d'une remise. Toutefois, cette remise ne s'applique pas aux frais d'annulation. Ainsi, si un contrat de location du lieu est signé, les frais d'annulation applicables sont les suivants:</w:t>
            </w:r>
          </w:p>
          <w:p w14:paraId="646D6E02" w14:textId="5AD7F611" w:rsidR="00A9680D" w:rsidRPr="003A3A92" w:rsidRDefault="00816E81" w:rsidP="00F5315F">
            <w:pPr>
              <w:pStyle w:val="enumlev1"/>
              <w:spacing w:before="40" w:after="40"/>
              <w:jc w:val="both"/>
              <w:rPr>
                <w:sz w:val="22"/>
                <w:szCs w:val="22"/>
              </w:rPr>
            </w:pPr>
            <w:r w:rsidRPr="003A3A92">
              <w:rPr>
                <w:sz w:val="22"/>
                <w:szCs w:val="22"/>
              </w:rPr>
              <w:t>1)</w:t>
            </w:r>
            <w:r w:rsidRPr="003A3A92">
              <w:rPr>
                <w:sz w:val="22"/>
                <w:szCs w:val="22"/>
              </w:rPr>
              <w:tab/>
            </w:r>
            <w:r w:rsidR="00A9680D" w:rsidRPr="003A3A92">
              <w:rPr>
                <w:sz w:val="22"/>
                <w:szCs w:val="22"/>
              </w:rPr>
              <w:t>50% du coût total de la location si la demande d'annulation est effectuée dans un délai de</w:t>
            </w:r>
            <w:r w:rsidR="003A3A92" w:rsidRPr="003A3A92">
              <w:rPr>
                <w:sz w:val="22"/>
                <w:szCs w:val="22"/>
              </w:rPr>
              <w:t> </w:t>
            </w:r>
            <w:r w:rsidR="00A9680D" w:rsidRPr="003A3A92">
              <w:rPr>
                <w:sz w:val="22"/>
                <w:szCs w:val="22"/>
              </w:rPr>
              <w:t>3 à 6 mois avant la manifestation (</w:t>
            </w:r>
            <w:r w:rsidR="00A9680D" w:rsidRPr="003A3A92">
              <w:rPr>
                <w:b/>
                <w:bCs/>
                <w:i/>
                <w:iCs/>
                <w:sz w:val="22"/>
                <w:szCs w:val="22"/>
              </w:rPr>
              <w:t>501 975,00 CHF</w:t>
            </w:r>
            <w:r w:rsidR="00A9680D" w:rsidRPr="003A3A92">
              <w:rPr>
                <w:sz w:val="22"/>
                <w:szCs w:val="22"/>
              </w:rPr>
              <w:t>).</w:t>
            </w:r>
          </w:p>
          <w:p w14:paraId="55221D50" w14:textId="4680880D" w:rsidR="00A9680D" w:rsidRPr="003A3A92" w:rsidRDefault="00816E81" w:rsidP="00F5315F">
            <w:pPr>
              <w:pStyle w:val="enumlev1"/>
              <w:spacing w:before="40" w:after="40"/>
              <w:jc w:val="both"/>
            </w:pPr>
            <w:r w:rsidRPr="003A3A92">
              <w:rPr>
                <w:sz w:val="22"/>
                <w:szCs w:val="22"/>
              </w:rPr>
              <w:t>2)</w:t>
            </w:r>
            <w:r w:rsidRPr="003A3A92">
              <w:rPr>
                <w:sz w:val="22"/>
                <w:szCs w:val="22"/>
              </w:rPr>
              <w:tab/>
            </w:r>
            <w:r w:rsidR="00A9680D" w:rsidRPr="003A3A92">
              <w:rPr>
                <w:sz w:val="22"/>
                <w:szCs w:val="22"/>
              </w:rPr>
              <w:t>100% du montant total de la location si la demande d'annulation est effectuée dans un délai de 0 à 3 mois avant la manifestation (</w:t>
            </w:r>
            <w:r w:rsidR="00A9680D" w:rsidRPr="003A3A92">
              <w:rPr>
                <w:b/>
                <w:bCs/>
                <w:i/>
                <w:iCs/>
                <w:sz w:val="22"/>
                <w:szCs w:val="22"/>
              </w:rPr>
              <w:t>1 003 950,00 CHF</w:t>
            </w:r>
            <w:r w:rsidR="00A9680D" w:rsidRPr="003A3A92">
              <w:rPr>
                <w:sz w:val="22"/>
                <w:szCs w:val="22"/>
              </w:rPr>
              <w:t>).</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tcPr>
          <w:p w14:paraId="18CB770F" w14:textId="77777777" w:rsidR="00A9680D" w:rsidRPr="003A3A92" w:rsidRDefault="00A9680D" w:rsidP="007E6AA1">
            <w:pPr>
              <w:pStyle w:val="Tabletext"/>
            </w:pPr>
          </w:p>
        </w:tc>
      </w:tr>
      <w:tr w:rsidR="00A9680D" w:rsidRPr="003A3A92" w14:paraId="4CAA0588" w14:textId="77777777" w:rsidTr="00F5315F">
        <w:tc>
          <w:tcPr>
            <w:tcW w:w="857"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1EA73476" w14:textId="77777777" w:rsidR="00A9680D" w:rsidRPr="003A3A92" w:rsidRDefault="00A9680D" w:rsidP="007E6AA1">
            <w:pPr>
              <w:pStyle w:val="Tabletext"/>
              <w:rPr>
                <w:b/>
                <w:bCs/>
              </w:rPr>
            </w:pPr>
            <w:r w:rsidRPr="003A3A92">
              <w:rPr>
                <w:b/>
                <w:bCs/>
              </w:rPr>
              <w:t>Incidences financières globales</w:t>
            </w:r>
          </w:p>
        </w:tc>
        <w:tc>
          <w:tcPr>
            <w:tcW w:w="3133"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0F9461C5" w14:textId="26A06F74" w:rsidR="00A9680D" w:rsidRPr="003A3A92" w:rsidRDefault="00A9680D" w:rsidP="00F5315F">
            <w:pPr>
              <w:pStyle w:val="Tabletext"/>
              <w:jc w:val="both"/>
            </w:pPr>
            <w:r w:rsidRPr="003A3A92">
              <w:t>Le budget de la PP approuvé pour 2026 peut être reporté sur 2027.</w:t>
            </w:r>
          </w:p>
          <w:p w14:paraId="4A77804F" w14:textId="77777777" w:rsidR="00A9680D" w:rsidRPr="003A3A92" w:rsidRDefault="00A9680D" w:rsidP="00F5315F">
            <w:pPr>
              <w:pStyle w:val="Tabletext"/>
              <w:jc w:val="both"/>
            </w:pPr>
            <w:r w:rsidRPr="003A3A92">
              <w:t>Avec l'autorisation du Conseil, le Fonds de réserve pourrait être utilisé pour couvrir les dépenses supplémentaires d'un montant de 1 510 000 CHF au cas où aucune contribution volontaire ne serait versée pour compenser ce montant supplémentaire. Le niveau actuel du Fonds de réserve est suffisant pour couvrir cette dépense.</w:t>
            </w:r>
          </w:p>
        </w:tc>
        <w:tc>
          <w:tcPr>
            <w:tcW w:w="1010" w:type="pct"/>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vAlign w:val="center"/>
            <w:hideMark/>
          </w:tcPr>
          <w:p w14:paraId="658223F3" w14:textId="73E08CA7" w:rsidR="00A9680D" w:rsidRPr="003A3A92" w:rsidRDefault="00A9680D" w:rsidP="007E6AA1">
            <w:pPr>
              <w:pStyle w:val="Tabletext"/>
            </w:pPr>
            <w:r w:rsidRPr="003A3A92">
              <w:t>Disposition 12.4.a du Règlement financier et des Règles financières de l'UIT</w:t>
            </w:r>
          </w:p>
        </w:tc>
      </w:tr>
    </w:tbl>
    <w:p w14:paraId="22216DE0" w14:textId="77777777" w:rsidR="00A9680D" w:rsidRPr="003A3A92" w:rsidRDefault="00A9680D" w:rsidP="00A9680D">
      <w:pPr>
        <w:sectPr w:rsidR="00A9680D" w:rsidRPr="003A3A92" w:rsidSect="00A9680D">
          <w:pgSz w:w="16840" w:h="11907" w:orient="landscape" w:code="9"/>
          <w:pgMar w:top="1418" w:right="1418" w:bottom="1418" w:left="1418" w:header="720" w:footer="720" w:gutter="0"/>
          <w:paperSrc w:first="286" w:other="286"/>
          <w:cols w:space="720"/>
          <w:docGrid w:linePitch="326"/>
        </w:sectPr>
      </w:pPr>
    </w:p>
    <w:p w14:paraId="611A99C0" w14:textId="38D9A424" w:rsidR="00A9680D" w:rsidRPr="003A3A92" w:rsidRDefault="00A9680D" w:rsidP="00A9680D">
      <w:pPr>
        <w:pStyle w:val="Heading1"/>
        <w:rPr>
          <w:sz w:val="24"/>
        </w:rPr>
      </w:pPr>
      <w:r w:rsidRPr="003A3A92">
        <w:lastRenderedPageBreak/>
        <w:t>5</w:t>
      </w:r>
      <w:r w:rsidRPr="003A3A92">
        <w:tab/>
        <w:t>Suite à donner par le Conseil</w:t>
      </w:r>
    </w:p>
    <w:p w14:paraId="54895269" w14:textId="77777777" w:rsidR="00A9680D" w:rsidRPr="003A3A92" w:rsidRDefault="00A9680D" w:rsidP="00B37963">
      <w:pPr>
        <w:jc w:val="both"/>
      </w:pPr>
      <w:r w:rsidRPr="003A3A92">
        <w:t xml:space="preserve">Le Conseil est invité à examiner si la Conférence de plénipotentiaires de 2026 devrait bel et bien se tenir à Doha (Qatar), comme prévu actuellement. En </w:t>
      </w:r>
      <w:proofErr w:type="gramStart"/>
      <w:r w:rsidRPr="003A3A92">
        <w:t>particulier:</w:t>
      </w:r>
      <w:proofErr w:type="gramEnd"/>
    </w:p>
    <w:p w14:paraId="332B630F" w14:textId="4052EDEC" w:rsidR="00A9680D" w:rsidRPr="003A3A92" w:rsidRDefault="007E6AA1" w:rsidP="003A3A92">
      <w:pPr>
        <w:pStyle w:val="Heading2"/>
      </w:pPr>
      <w:r w:rsidRPr="003A3A92">
        <w:t>A</w:t>
      </w:r>
      <w:r w:rsidRPr="003A3A92">
        <w:tab/>
      </w:r>
      <w:r w:rsidR="00A9680D" w:rsidRPr="003A3A92">
        <w:t>Si le Conseil décide de maintenir la PP-26 à Doha comme prévu</w:t>
      </w:r>
    </w:p>
    <w:p w14:paraId="2283F2EB" w14:textId="32F9C827" w:rsidR="00A9680D" w:rsidRPr="003A3A92" w:rsidRDefault="00A9680D" w:rsidP="00B37963">
      <w:pPr>
        <w:jc w:val="both"/>
      </w:pPr>
      <w:r w:rsidRPr="003A3A92">
        <w:t>Le Conseil est invité à:</w:t>
      </w:r>
    </w:p>
    <w:p w14:paraId="3B0AEB40" w14:textId="78C1B7C4" w:rsidR="00A9680D" w:rsidRPr="003A3A92" w:rsidRDefault="007E6AA1" w:rsidP="00B37963">
      <w:pPr>
        <w:pStyle w:val="enumlev1"/>
        <w:jc w:val="both"/>
      </w:pPr>
      <w:r w:rsidRPr="003A3A92">
        <w:t>–</w:t>
      </w:r>
      <w:r w:rsidRPr="003A3A92">
        <w:tab/>
      </w:r>
      <w:r w:rsidR="00A9680D" w:rsidRPr="003A3A92">
        <w:t>charger le secrétariat de poursuivre les préparatifs en vue de la Conférence de plénipotentiaires, qui se tiendra à Doha (Qatar), du lundi 9 novembre au vendredi</w:t>
      </w:r>
      <w:r w:rsidR="003A3A92" w:rsidRPr="003A3A92">
        <w:t> </w:t>
      </w:r>
      <w:r w:rsidR="00A9680D" w:rsidRPr="003A3A92">
        <w:t>27</w:t>
      </w:r>
      <w:r w:rsidR="00816E81" w:rsidRPr="003A3A92">
        <w:t> </w:t>
      </w:r>
      <w:r w:rsidR="00A9680D" w:rsidRPr="003A3A92">
        <w:t>novembre 2026;</w:t>
      </w:r>
    </w:p>
    <w:p w14:paraId="2CEFD3D6" w14:textId="724F8D43" w:rsidR="00A9680D" w:rsidRPr="003A3A92" w:rsidRDefault="007E6AA1" w:rsidP="00B37963">
      <w:pPr>
        <w:pStyle w:val="enumlev1"/>
        <w:jc w:val="both"/>
      </w:pPr>
      <w:r w:rsidRPr="003A3A92">
        <w:t>–</w:t>
      </w:r>
      <w:r w:rsidRPr="003A3A92">
        <w:tab/>
      </w:r>
      <w:r w:rsidR="00A9680D" w:rsidRPr="003A3A92">
        <w:t>autoriser la Secrétaire générale à annuler la Conférence au Qatar si elle estime qu'en raison de la tournure des événements, la Conférence ne peut plus se dérouler de manière sûre, sécurisée et efficace à Doha;</w:t>
      </w:r>
    </w:p>
    <w:p w14:paraId="079E8D91" w14:textId="0C687ECC" w:rsidR="00A9680D" w:rsidRPr="003A3A92" w:rsidRDefault="007E6AA1" w:rsidP="00B37963">
      <w:pPr>
        <w:pStyle w:val="enumlev1"/>
        <w:jc w:val="both"/>
      </w:pPr>
      <w:r w:rsidRPr="003A3A92">
        <w:t>–</w:t>
      </w:r>
      <w:r w:rsidRPr="003A3A92">
        <w:tab/>
      </w:r>
      <w:r w:rsidR="00A9680D" w:rsidRPr="003A3A92">
        <w:t>demander au secrétariat et au Qatar de finaliser et de signer l'accord de pays hôte d'ici au 10 septembre 2026, en y incluant des dispositions permettant à la Secrétaire générale d'annuler la Conférence sans frais ni responsabilité pour l'UIT, si elle estime que, compte tenu de la tournure des événements, la Conférence ne peut plus se dérouler de manière sûre, sécurisée et efficace à Doha;</w:t>
      </w:r>
    </w:p>
    <w:p w14:paraId="68A99877" w14:textId="4DD0ACA5" w:rsidR="00A9680D" w:rsidRPr="003A3A92" w:rsidRDefault="007E6AA1" w:rsidP="00B37963">
      <w:pPr>
        <w:pStyle w:val="enumlev1"/>
        <w:jc w:val="both"/>
      </w:pPr>
      <w:r w:rsidRPr="003A3A92">
        <w:t>–</w:t>
      </w:r>
      <w:r w:rsidRPr="003A3A92">
        <w:tab/>
      </w:r>
      <w:r w:rsidR="00A9680D" w:rsidRPr="003A3A92">
        <w:t>examiner s'il y a lieu de maintenir un plan d'urgence au cas où la Conférence serait annulée par la Secrétaire générale. Plus précisément:</w:t>
      </w:r>
    </w:p>
    <w:p w14:paraId="4D4AEE30" w14:textId="34AD3816" w:rsidR="00A9680D" w:rsidRPr="003A3A92" w:rsidRDefault="00A9680D" w:rsidP="00B37963">
      <w:pPr>
        <w:pStyle w:val="enumlev2"/>
        <w:jc w:val="both"/>
      </w:pPr>
      <w:r w:rsidRPr="003A3A92">
        <w:t>i</w:t>
      </w:r>
      <w:r w:rsidR="007E6AA1" w:rsidRPr="003A3A92">
        <w:t>)</w:t>
      </w:r>
      <w:r w:rsidRPr="003A3A92">
        <w:tab/>
      </w:r>
      <w:r w:rsidR="003A3A92" w:rsidRPr="003A3A92">
        <w:t>s</w:t>
      </w:r>
      <w:r w:rsidRPr="003A3A92">
        <w:t>i un plan d'urgence est maintenu, le Conseil est invité à:</w:t>
      </w:r>
    </w:p>
    <w:p w14:paraId="4EA082ED" w14:textId="58A0F617" w:rsidR="00A9680D" w:rsidRPr="003A3A92" w:rsidRDefault="00A9680D" w:rsidP="00B37963">
      <w:pPr>
        <w:pStyle w:val="enumlev3"/>
        <w:jc w:val="both"/>
      </w:pPr>
      <w:r w:rsidRPr="003A3A92">
        <w:t>a)</w:t>
      </w:r>
      <w:r w:rsidRPr="003A3A92">
        <w:tab/>
        <w:t xml:space="preserve">approuver l'utilisation du Fonds de réserve de l'UIT (à moins que d'autres sources de financement soient trouvées) pour couvrir les frais d'annulation, à concurrence d'un montant maximal de </w:t>
      </w:r>
      <w:r w:rsidRPr="003A3A92">
        <w:rPr>
          <w:b/>
          <w:bCs/>
        </w:rPr>
        <w:t>1</w:t>
      </w:r>
      <w:r w:rsidR="00B37963">
        <w:rPr>
          <w:b/>
          <w:bCs/>
        </w:rPr>
        <w:t> </w:t>
      </w:r>
      <w:r w:rsidRPr="003A3A92">
        <w:rPr>
          <w:b/>
          <w:bCs/>
        </w:rPr>
        <w:t>003</w:t>
      </w:r>
      <w:r w:rsidR="00B37963">
        <w:rPr>
          <w:b/>
          <w:bCs/>
        </w:rPr>
        <w:t> </w:t>
      </w:r>
      <w:r w:rsidRPr="003A3A92">
        <w:rPr>
          <w:b/>
          <w:bCs/>
        </w:rPr>
        <w:t>950,00</w:t>
      </w:r>
      <w:r w:rsidR="00B37963">
        <w:rPr>
          <w:b/>
          <w:bCs/>
        </w:rPr>
        <w:t> </w:t>
      </w:r>
      <w:r w:rsidRPr="003A3A92">
        <w:rPr>
          <w:b/>
          <w:bCs/>
        </w:rPr>
        <w:t>CHF</w:t>
      </w:r>
      <w:r w:rsidRPr="003A3A92">
        <w:t>, liés à l'engagement de réservation au CICG pour la période du 4 au 29</w:t>
      </w:r>
      <w:r w:rsidR="00816E81" w:rsidRPr="003A3A92">
        <w:t> </w:t>
      </w:r>
      <w:r w:rsidRPr="003A3A92">
        <w:t>janvier 2027 (ces dates incluent le temps nécessaire à la mise en place</w:t>
      </w:r>
      <w:proofErr w:type="gramStart"/>
      <w:r w:rsidRPr="003A3A92">
        <w:t>);</w:t>
      </w:r>
      <w:proofErr w:type="gramEnd"/>
    </w:p>
    <w:p w14:paraId="7ECB8F9E" w14:textId="77777777" w:rsidR="00A9680D" w:rsidRPr="003A3A92" w:rsidRDefault="00A9680D" w:rsidP="00B37963">
      <w:pPr>
        <w:pStyle w:val="enumlev3"/>
        <w:jc w:val="both"/>
      </w:pPr>
      <w:r w:rsidRPr="003A3A92">
        <w:t>b)</w:t>
      </w:r>
      <w:r w:rsidRPr="003A3A92">
        <w:tab/>
        <w:t>convenir que si la Secrétaire générale annule la manifestation au Qatar en raison de la détérioration de la situation en matière de sécurité, la PP se tiendra à Genève du lundi 11 au vendredi 29 janvier 2027, sous réserve de l'appui de la majorité des États Membres de l'UIT dans le cadre d'une consultation de deux semaines.</w:t>
      </w:r>
    </w:p>
    <w:p w14:paraId="62519236" w14:textId="1FD764A7" w:rsidR="00A9680D" w:rsidRPr="003A3A92" w:rsidRDefault="007E6AA1" w:rsidP="007E6AA1">
      <w:pPr>
        <w:pStyle w:val="enumlev1"/>
      </w:pPr>
      <w:r w:rsidRPr="003A3A92">
        <w:t>–</w:t>
      </w:r>
      <w:r w:rsidRPr="003A3A92">
        <w:tab/>
      </w:r>
      <w:r w:rsidR="003A3A92" w:rsidRPr="003A3A92">
        <w:t>o</w:t>
      </w:r>
      <w:r w:rsidR="00A9680D" w:rsidRPr="003A3A92">
        <w:t>u:</w:t>
      </w:r>
    </w:p>
    <w:p w14:paraId="6E631E85" w14:textId="5937E4B3" w:rsidR="00A9680D" w:rsidRPr="003A3A92" w:rsidRDefault="00A9680D" w:rsidP="00B37963">
      <w:pPr>
        <w:pStyle w:val="enumlev2"/>
        <w:jc w:val="both"/>
      </w:pPr>
      <w:r w:rsidRPr="003A3A92">
        <w:t>ii</w:t>
      </w:r>
      <w:r w:rsidR="007E6AA1" w:rsidRPr="003A3A92">
        <w:t>)</w:t>
      </w:r>
      <w:r w:rsidRPr="003A3A92">
        <w:tab/>
      </w:r>
      <w:r w:rsidR="003A3A92" w:rsidRPr="003A3A92">
        <w:t>s</w:t>
      </w:r>
      <w:r w:rsidRPr="003A3A92">
        <w:t>i le plan d'urgence n'est pas maintenu et si la Secrétaire générale annule la Conférence au Qatar, le Conseil est invité à:</w:t>
      </w:r>
    </w:p>
    <w:p w14:paraId="6B96CCA6" w14:textId="6DF287F8" w:rsidR="00A9680D" w:rsidRPr="003A3A92" w:rsidRDefault="00F3614C" w:rsidP="00B37963">
      <w:pPr>
        <w:pStyle w:val="enumlev2"/>
        <w:jc w:val="both"/>
      </w:pPr>
      <w:r w:rsidRPr="003A3A92">
        <w:tab/>
      </w:r>
      <w:r w:rsidRPr="003A3A92">
        <w:tab/>
      </w:r>
      <w:r w:rsidR="00A9680D" w:rsidRPr="003A3A92">
        <w:t>demander au Président du Conseil de convoquer une session extraordinaire du Conseil pour décider de la marche à suivre. Si à cette session, le Conseil décide d'une nouvelle date et d'un nouveau lieu, cette décision nécessitera l'appui de la majorité des États Membres de l'UIT par voie de consultation.</w:t>
      </w:r>
    </w:p>
    <w:p w14:paraId="1335F1B8" w14:textId="31309ED7" w:rsidR="00A9680D" w:rsidRPr="003A3A92" w:rsidRDefault="007E6AA1" w:rsidP="003A3A92">
      <w:pPr>
        <w:pStyle w:val="Heading2"/>
      </w:pPr>
      <w:r w:rsidRPr="003A3A92">
        <w:lastRenderedPageBreak/>
        <w:t>B</w:t>
      </w:r>
      <w:r w:rsidRPr="003A3A92">
        <w:tab/>
      </w:r>
      <w:r w:rsidR="00A9680D" w:rsidRPr="003A3A92">
        <w:t>Si le Conseil décide de ne pas maintenir la PP-26 à Doha</w:t>
      </w:r>
      <w:bookmarkStart w:id="0" w:name="OpenAt"/>
      <w:bookmarkEnd w:id="0"/>
    </w:p>
    <w:p w14:paraId="1786EB99" w14:textId="487E5E70" w:rsidR="00A9680D" w:rsidRPr="003A3A92" w:rsidRDefault="00A9680D" w:rsidP="00B37963">
      <w:pPr>
        <w:keepNext/>
        <w:keepLines/>
        <w:jc w:val="both"/>
      </w:pPr>
      <w:r w:rsidRPr="003A3A92">
        <w:t xml:space="preserve">Le Conseil est invité à décider si la Conférence de plénipotentiaires de 2026 de l'UIT sera reportée à Genève pour se tenir du lundi 11 au vendredi 29 janvier 2027. En pareil cas, le Conseil est invité à autoriser la Secrétaire générale à utiliser le Fonds de réserve pour couvrir les dépenses supplémentaires, à concurrence d'un montant maximal de </w:t>
      </w:r>
      <w:r w:rsidRPr="003A3A92">
        <w:rPr>
          <w:b/>
          <w:bCs/>
        </w:rPr>
        <w:t>1 510 000 CHF</w:t>
      </w:r>
      <w:r w:rsidRPr="003A3A92">
        <w:t>, s'il n'y a pas de contributions volontaires ou si celles-ci s'avèrent insuffisantes pour compenser ce montant supplémentaire.</w:t>
      </w:r>
    </w:p>
    <w:p w14:paraId="2E091890" w14:textId="20836703" w:rsidR="00A9680D" w:rsidRPr="003A3A92" w:rsidRDefault="00A9680D" w:rsidP="00B37963">
      <w:pPr>
        <w:jc w:val="both"/>
      </w:pPr>
      <w:r w:rsidRPr="003A3A92">
        <w:t>Conformément à l'Article 12.4.a) du Règlement financier et des Règles financières, le budget de la Conférence approuvé au titre du budget ordinaire de 2026 pourra être reporté sur</w:t>
      </w:r>
      <w:r w:rsidR="003A3A92" w:rsidRPr="003A3A92">
        <w:t> </w:t>
      </w:r>
      <w:r w:rsidRPr="003A3A92">
        <w:t>2027.</w:t>
      </w:r>
    </w:p>
    <w:p w14:paraId="2E0006D5" w14:textId="2ED3AD6C" w:rsidR="00A9680D" w:rsidRDefault="00A9680D" w:rsidP="00B37963">
      <w:pPr>
        <w:jc w:val="both"/>
      </w:pPr>
      <w:r w:rsidRPr="003A3A92">
        <w:t>Si le Conseil adopte la décision ci-dessus, une consultation de deux semaines avec les États</w:t>
      </w:r>
      <w:r w:rsidR="00816E81" w:rsidRPr="003A3A92">
        <w:t> </w:t>
      </w:r>
      <w:r w:rsidRPr="003A3A92">
        <w:t>Membres de l'UIT sera menée jusqu'au 15 septembre, afin de déterminer si la décision du Conseil relative au changement des dates et du lieu de la PP obtiendra l'appui de la majorité des États Membres de l'Union.</w:t>
      </w:r>
    </w:p>
    <w:p w14:paraId="55CD7DB7" w14:textId="77777777" w:rsidR="00B37963" w:rsidRPr="003A3A92" w:rsidRDefault="00B37963" w:rsidP="00B37963">
      <w:pPr>
        <w:jc w:val="both"/>
      </w:pPr>
    </w:p>
    <w:p w14:paraId="086DF1D9" w14:textId="77777777" w:rsidR="00897553" w:rsidRPr="003A3A92" w:rsidRDefault="006A11AE" w:rsidP="002D2336">
      <w:pPr>
        <w:jc w:val="center"/>
      </w:pPr>
      <w:r w:rsidRPr="003A3A92">
        <w:t>______________</w:t>
      </w:r>
    </w:p>
    <w:sectPr w:rsidR="00897553" w:rsidRPr="003A3A92" w:rsidSect="00A9680D">
      <w:pgSz w:w="11907" w:h="16840" w:code="9"/>
      <w:pgMar w:top="1418" w:right="1418" w:bottom="1418" w:left="1418" w:header="720" w:footer="720" w:gutter="0"/>
      <w:paperSrc w:first="286" w:other="28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7175" w14:textId="77777777" w:rsidR="00D27956" w:rsidRDefault="00D27956">
      <w:r>
        <w:separator/>
      </w:r>
    </w:p>
  </w:endnote>
  <w:endnote w:type="continuationSeparator" w:id="0">
    <w:p w14:paraId="4D763898" w14:textId="77777777" w:rsidR="00D27956" w:rsidRDefault="00D2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84D6" w14:textId="4C745224" w:rsidR="00732045" w:rsidRDefault="003A3A92">
    <w:pPr>
      <w:pStyle w:val="Footer"/>
    </w:pPr>
    <w:fldSimple w:instr=" FILENAME \p \* MERGEFORMAT ">
      <w:r w:rsidR="00343F8D">
        <w:t>Document1</w:t>
      </w:r>
    </w:fldSimple>
    <w:r w:rsidR="00732045">
      <w:tab/>
    </w:r>
    <w:r w:rsidR="002F1B76">
      <w:fldChar w:fldCharType="begin"/>
    </w:r>
    <w:r w:rsidR="00732045">
      <w:instrText xml:space="preserve"> savedate \@ dd.MM.yy </w:instrText>
    </w:r>
    <w:r w:rsidR="002F1B76">
      <w:fldChar w:fldCharType="separate"/>
    </w:r>
    <w:r w:rsidR="00C22AE4">
      <w:t>19.08.26</w:t>
    </w:r>
    <w:r w:rsidR="002F1B76">
      <w:fldChar w:fldCharType="end"/>
    </w:r>
    <w:r w:rsidR="00732045">
      <w:tab/>
    </w:r>
    <w:r w:rsidR="002F1B76">
      <w:fldChar w:fldCharType="begin"/>
    </w:r>
    <w:r w:rsidR="00732045">
      <w:instrText xml:space="preserve"> printdate \@ dd.MM.yy </w:instrText>
    </w:r>
    <w:r w:rsidR="002F1B76">
      <w:fldChar w:fldCharType="separate"/>
    </w:r>
    <w:r w:rsidR="00343F8D">
      <w:t>18.07.00</w:t>
    </w:r>
    <w:r w:rsidR="002F1B7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53C248CF" w14:textId="77777777" w:rsidTr="00E31DCE">
      <w:trPr>
        <w:jc w:val="center"/>
      </w:trPr>
      <w:tc>
        <w:tcPr>
          <w:tcW w:w="1803" w:type="dxa"/>
          <w:vAlign w:val="center"/>
        </w:tcPr>
        <w:p w14:paraId="537FA425" w14:textId="14173C68" w:rsidR="00A51849" w:rsidRDefault="00A9680D" w:rsidP="00A51849">
          <w:pPr>
            <w:pStyle w:val="Header"/>
            <w:jc w:val="left"/>
            <w:rPr>
              <w:noProof/>
            </w:rPr>
          </w:pPr>
          <w:r>
            <w:rPr>
              <w:noProof/>
            </w:rPr>
            <w:t>2602066</w:t>
          </w:r>
        </w:p>
      </w:tc>
      <w:tc>
        <w:tcPr>
          <w:tcW w:w="8261" w:type="dxa"/>
        </w:tcPr>
        <w:p w14:paraId="62C8FDED" w14:textId="00014755"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A9680D">
            <w:rPr>
              <w:bCs/>
            </w:rPr>
            <w:t>2</w:t>
          </w:r>
          <w:r w:rsidRPr="00623AE3">
            <w:rPr>
              <w:bCs/>
            </w:rPr>
            <w:t>-</w:t>
          </w:r>
          <w:r w:rsidR="00973F53">
            <w:rPr>
              <w:bCs/>
            </w:rPr>
            <w:t>F</w:t>
          </w:r>
          <w:r>
            <w:rPr>
              <w:bCs/>
            </w:rPr>
            <w:tab/>
          </w:r>
          <w:r>
            <w:fldChar w:fldCharType="begin"/>
          </w:r>
          <w:r>
            <w:instrText>PAGE</w:instrText>
          </w:r>
          <w:r>
            <w:fldChar w:fldCharType="separate"/>
          </w:r>
          <w:r>
            <w:t>1</w:t>
          </w:r>
          <w:r>
            <w:rPr>
              <w:noProof/>
            </w:rPr>
            <w:fldChar w:fldCharType="end"/>
          </w:r>
        </w:p>
      </w:tc>
    </w:tr>
  </w:tbl>
  <w:p w14:paraId="5F7013A0" w14:textId="77777777" w:rsidR="00732045" w:rsidRPr="00A51849" w:rsidRDefault="00732045" w:rsidP="00FC6D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51849" w:rsidRPr="00784011" w14:paraId="694BF22B" w14:textId="77777777" w:rsidTr="00E31DCE">
      <w:trPr>
        <w:jc w:val="center"/>
      </w:trPr>
      <w:tc>
        <w:tcPr>
          <w:tcW w:w="1803" w:type="dxa"/>
          <w:vAlign w:val="center"/>
        </w:tcPr>
        <w:p w14:paraId="4D6C69DA" w14:textId="77777777" w:rsidR="00A51849" w:rsidRPr="00FC6D7D" w:rsidRDefault="00E4448E" w:rsidP="00A51849">
          <w:pPr>
            <w:pStyle w:val="Header"/>
            <w:jc w:val="left"/>
            <w:rPr>
              <w:noProof/>
              <w:color w:val="0563C1"/>
            </w:rPr>
          </w:pPr>
          <w:hyperlink r:id="rId1" w:anchor="/fr" w:history="1">
            <w:r>
              <w:rPr>
                <w:rStyle w:val="Hyperlink"/>
              </w:rPr>
              <w:t>council.itu.int/2026</w:t>
            </w:r>
          </w:hyperlink>
        </w:p>
      </w:tc>
      <w:tc>
        <w:tcPr>
          <w:tcW w:w="8261" w:type="dxa"/>
        </w:tcPr>
        <w:p w14:paraId="5325B98B" w14:textId="08E3DA19" w:rsidR="00A51849" w:rsidRPr="00E06FD5" w:rsidRDefault="00A51849" w:rsidP="006B1F53">
          <w:pPr>
            <w:pStyle w:val="Header"/>
            <w:tabs>
              <w:tab w:val="left" w:pos="6175"/>
              <w:tab w:val="right" w:pos="8505"/>
              <w:tab w:val="right" w:pos="9639"/>
            </w:tabs>
            <w:jc w:val="left"/>
            <w:rPr>
              <w:rFonts w:ascii="Arial" w:hAnsi="Arial" w:cs="Arial"/>
              <w:b/>
              <w:bCs/>
              <w:szCs w:val="18"/>
            </w:rPr>
          </w:pPr>
          <w:r>
            <w:rPr>
              <w:bCs/>
            </w:rPr>
            <w:tab/>
          </w:r>
          <w:r w:rsidRPr="00623AE3">
            <w:rPr>
              <w:bCs/>
            </w:rPr>
            <w:t>C</w:t>
          </w:r>
          <w:r>
            <w:rPr>
              <w:bCs/>
            </w:rPr>
            <w:t>2</w:t>
          </w:r>
          <w:r w:rsidR="00E4448E">
            <w:rPr>
              <w:bCs/>
            </w:rPr>
            <w:t>6</w:t>
          </w:r>
          <w:r w:rsidR="006B1F53">
            <w:rPr>
              <w:bCs/>
            </w:rPr>
            <w:t>-EXT</w:t>
          </w:r>
          <w:r w:rsidRPr="00623AE3">
            <w:rPr>
              <w:bCs/>
            </w:rPr>
            <w:t>/</w:t>
          </w:r>
          <w:r w:rsidR="00A9680D">
            <w:rPr>
              <w:bCs/>
            </w:rPr>
            <w:t>2</w:t>
          </w:r>
          <w:r w:rsidRPr="00623AE3">
            <w:rPr>
              <w:bCs/>
            </w:rPr>
            <w:t>-</w:t>
          </w:r>
          <w:r w:rsidR="00D72F49">
            <w:rPr>
              <w:bCs/>
            </w:rPr>
            <w:t>F</w:t>
          </w:r>
          <w:r>
            <w:rPr>
              <w:bCs/>
            </w:rPr>
            <w:tab/>
          </w:r>
          <w:r>
            <w:fldChar w:fldCharType="begin"/>
          </w:r>
          <w:r>
            <w:instrText>PAGE</w:instrText>
          </w:r>
          <w:r>
            <w:fldChar w:fldCharType="separate"/>
          </w:r>
          <w:r>
            <w:t>1</w:t>
          </w:r>
          <w:r>
            <w:rPr>
              <w:noProof/>
            </w:rPr>
            <w:fldChar w:fldCharType="end"/>
          </w:r>
        </w:p>
      </w:tc>
    </w:tr>
  </w:tbl>
  <w:p w14:paraId="2196524F" w14:textId="77777777" w:rsidR="00732045" w:rsidRPr="00A51849" w:rsidRDefault="00732045" w:rsidP="00FC6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8EEE3" w14:textId="77777777" w:rsidR="00D27956" w:rsidRDefault="00D27956">
      <w:r>
        <w:t>____________________</w:t>
      </w:r>
    </w:p>
  </w:footnote>
  <w:footnote w:type="continuationSeparator" w:id="0">
    <w:p w14:paraId="33E56E9E" w14:textId="77777777" w:rsidR="00D27956" w:rsidRDefault="00D27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6A36" w14:textId="77777777" w:rsidR="00732045" w:rsidRDefault="00732045">
    <w:pPr>
      <w:pStyle w:val="Header"/>
    </w:pPr>
    <w:r>
      <w:t xml:space="preserve">- </w:t>
    </w:r>
    <w:r w:rsidR="00C27A7C">
      <w:fldChar w:fldCharType="begin"/>
    </w:r>
    <w:r w:rsidR="00C27A7C">
      <w:instrText>PAGE</w:instrText>
    </w:r>
    <w:r w:rsidR="00C27A7C">
      <w:fldChar w:fldCharType="separate"/>
    </w:r>
    <w:r>
      <w:rPr>
        <w:noProof/>
      </w:rPr>
      <w:t>2</w:t>
    </w:r>
    <w:r w:rsidR="00C27A7C">
      <w:rPr>
        <w:noProof/>
      </w:rPr>
      <w:fldChar w:fldCharType="end"/>
    </w:r>
    <w:r>
      <w:t xml:space="preserve"> -</w:t>
    </w:r>
  </w:p>
  <w:p w14:paraId="23A7867D" w14:textId="77777777" w:rsidR="00732045" w:rsidRDefault="00732045">
    <w:pPr>
      <w:pStyle w:val="Header"/>
    </w:pPr>
    <w:r>
      <w:t>C2001/#-F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F35B" w14:textId="77777777" w:rsidR="00A51849" w:rsidRPr="006B1F53" w:rsidRDefault="006B1F53" w:rsidP="006B1F53">
    <w:pPr>
      <w:pStyle w:val="Header"/>
      <w:jc w:val="left"/>
    </w:pPr>
    <w:r>
      <w:rPr>
        <w:noProof/>
      </w:rPr>
      <w:drawing>
        <wp:inline distT="0" distB="0" distL="0" distR="0" wp14:anchorId="7484B248" wp14:editId="2639B8A7">
          <wp:extent cx="3107780" cy="936000"/>
          <wp:effectExtent l="0" t="0" r="0" b="0"/>
          <wp:docPr id="1628998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98215" name="Picture 1628998215"/>
                  <pic:cNvPicPr/>
                </pic:nvPicPr>
                <pic:blipFill>
                  <a:blip r:embed="rId1">
                    <a:extLst>
                      <a:ext uri="{28A0092B-C50C-407E-A947-70E740481C1C}">
                        <a14:useLocalDpi xmlns:a14="http://schemas.microsoft.com/office/drawing/2010/main" val="0"/>
                      </a:ext>
                    </a:extLst>
                  </a:blip>
                  <a:stretch>
                    <a:fillRect/>
                  </a:stretch>
                </pic:blipFill>
                <pic:spPr>
                  <a:xfrm>
                    <a:off x="0" y="0"/>
                    <a:ext cx="3107780"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8364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C17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52E2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24F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EA3A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3050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D0D2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22DA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9B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C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A8605"/>
    <w:multiLevelType w:val="hybridMultilevel"/>
    <w:tmpl w:val="FFFFFFFF"/>
    <w:lvl w:ilvl="0" w:tplc="C838CA9E">
      <w:start w:val="1"/>
      <w:numFmt w:val="bullet"/>
      <w:lvlText w:val=""/>
      <w:lvlJc w:val="left"/>
      <w:pPr>
        <w:ind w:left="1080" w:hanging="360"/>
      </w:pPr>
      <w:rPr>
        <w:rFonts w:ascii="Symbol" w:hAnsi="Symbol" w:hint="default"/>
      </w:rPr>
    </w:lvl>
    <w:lvl w:ilvl="1" w:tplc="8DA81074">
      <w:start w:val="1"/>
      <w:numFmt w:val="bullet"/>
      <w:lvlText w:val="o"/>
      <w:lvlJc w:val="left"/>
      <w:pPr>
        <w:ind w:left="1800" w:hanging="360"/>
      </w:pPr>
      <w:rPr>
        <w:rFonts w:ascii="Courier New" w:hAnsi="Courier New" w:cs="Times New Roman" w:hint="default"/>
      </w:rPr>
    </w:lvl>
    <w:lvl w:ilvl="2" w:tplc="8B06DD56">
      <w:start w:val="1"/>
      <w:numFmt w:val="bullet"/>
      <w:lvlText w:val=""/>
      <w:lvlJc w:val="left"/>
      <w:pPr>
        <w:ind w:left="2520" w:hanging="360"/>
      </w:pPr>
      <w:rPr>
        <w:rFonts w:ascii="Wingdings" w:hAnsi="Wingdings" w:hint="default"/>
      </w:rPr>
    </w:lvl>
    <w:lvl w:ilvl="3" w:tplc="D516258C">
      <w:start w:val="1"/>
      <w:numFmt w:val="bullet"/>
      <w:lvlText w:val=""/>
      <w:lvlJc w:val="left"/>
      <w:pPr>
        <w:ind w:left="3240" w:hanging="360"/>
      </w:pPr>
      <w:rPr>
        <w:rFonts w:ascii="Symbol" w:hAnsi="Symbol" w:hint="default"/>
      </w:rPr>
    </w:lvl>
    <w:lvl w:ilvl="4" w:tplc="D5BE53C6">
      <w:start w:val="1"/>
      <w:numFmt w:val="bullet"/>
      <w:lvlText w:val="o"/>
      <w:lvlJc w:val="left"/>
      <w:pPr>
        <w:ind w:left="3960" w:hanging="360"/>
      </w:pPr>
      <w:rPr>
        <w:rFonts w:ascii="Courier New" w:hAnsi="Courier New" w:cs="Times New Roman" w:hint="default"/>
      </w:rPr>
    </w:lvl>
    <w:lvl w:ilvl="5" w:tplc="34B0B29E">
      <w:start w:val="1"/>
      <w:numFmt w:val="bullet"/>
      <w:lvlText w:val=""/>
      <w:lvlJc w:val="left"/>
      <w:pPr>
        <w:ind w:left="4680" w:hanging="360"/>
      </w:pPr>
      <w:rPr>
        <w:rFonts w:ascii="Wingdings" w:hAnsi="Wingdings" w:hint="default"/>
      </w:rPr>
    </w:lvl>
    <w:lvl w:ilvl="6" w:tplc="FEE64294">
      <w:start w:val="1"/>
      <w:numFmt w:val="bullet"/>
      <w:lvlText w:val=""/>
      <w:lvlJc w:val="left"/>
      <w:pPr>
        <w:ind w:left="5400" w:hanging="360"/>
      </w:pPr>
      <w:rPr>
        <w:rFonts w:ascii="Symbol" w:hAnsi="Symbol" w:hint="default"/>
      </w:rPr>
    </w:lvl>
    <w:lvl w:ilvl="7" w:tplc="98961B66">
      <w:start w:val="1"/>
      <w:numFmt w:val="bullet"/>
      <w:lvlText w:val="o"/>
      <w:lvlJc w:val="left"/>
      <w:pPr>
        <w:ind w:left="6120" w:hanging="360"/>
      </w:pPr>
      <w:rPr>
        <w:rFonts w:ascii="Courier New" w:hAnsi="Courier New" w:cs="Times New Roman" w:hint="default"/>
      </w:rPr>
    </w:lvl>
    <w:lvl w:ilvl="8" w:tplc="6C020550">
      <w:start w:val="1"/>
      <w:numFmt w:val="bullet"/>
      <w:lvlText w:val=""/>
      <w:lvlJc w:val="left"/>
      <w:pPr>
        <w:ind w:left="6840" w:hanging="360"/>
      </w:pPr>
      <w:rPr>
        <w:rFonts w:ascii="Wingdings" w:hAnsi="Wingdings" w:hint="default"/>
      </w:rPr>
    </w:lvl>
  </w:abstractNum>
  <w:abstractNum w:abstractNumId="11" w15:restartNumberingAfterBreak="0">
    <w:nsid w:val="0ABEECB4"/>
    <w:multiLevelType w:val="hybridMultilevel"/>
    <w:tmpl w:val="02ACD1B4"/>
    <w:lvl w:ilvl="0" w:tplc="87F0863C">
      <w:start w:val="1"/>
      <w:numFmt w:val="bullet"/>
      <w:lvlText w:val=""/>
      <w:lvlJc w:val="left"/>
      <w:pPr>
        <w:ind w:left="927" w:hanging="360"/>
      </w:pPr>
      <w:rPr>
        <w:rFonts w:ascii="Symbol" w:hAnsi="Symbol" w:hint="default"/>
      </w:rPr>
    </w:lvl>
    <w:lvl w:ilvl="1" w:tplc="14F68442">
      <w:start w:val="1"/>
      <w:numFmt w:val="bullet"/>
      <w:lvlText w:val="o"/>
      <w:lvlJc w:val="left"/>
      <w:pPr>
        <w:ind w:left="1647" w:hanging="360"/>
      </w:pPr>
      <w:rPr>
        <w:rFonts w:ascii="Courier New" w:hAnsi="Courier New" w:cs="Times New Roman" w:hint="default"/>
      </w:rPr>
    </w:lvl>
    <w:lvl w:ilvl="2" w:tplc="5AC8245C">
      <w:start w:val="1"/>
      <w:numFmt w:val="bullet"/>
      <w:lvlText w:val=""/>
      <w:lvlJc w:val="left"/>
      <w:pPr>
        <w:ind w:left="2367" w:hanging="360"/>
      </w:pPr>
      <w:rPr>
        <w:rFonts w:ascii="Wingdings" w:hAnsi="Wingdings" w:hint="default"/>
      </w:rPr>
    </w:lvl>
    <w:lvl w:ilvl="3" w:tplc="3B6CFEBE">
      <w:start w:val="1"/>
      <w:numFmt w:val="bullet"/>
      <w:lvlText w:val=""/>
      <w:lvlJc w:val="left"/>
      <w:pPr>
        <w:ind w:left="3087" w:hanging="360"/>
      </w:pPr>
      <w:rPr>
        <w:rFonts w:ascii="Symbol" w:hAnsi="Symbol" w:hint="default"/>
      </w:rPr>
    </w:lvl>
    <w:lvl w:ilvl="4" w:tplc="41E688A8">
      <w:start w:val="1"/>
      <w:numFmt w:val="bullet"/>
      <w:lvlText w:val="o"/>
      <w:lvlJc w:val="left"/>
      <w:pPr>
        <w:ind w:left="3807" w:hanging="360"/>
      </w:pPr>
      <w:rPr>
        <w:rFonts w:ascii="Courier New" w:hAnsi="Courier New" w:cs="Times New Roman" w:hint="default"/>
      </w:rPr>
    </w:lvl>
    <w:lvl w:ilvl="5" w:tplc="FA1C9E8E">
      <w:start w:val="1"/>
      <w:numFmt w:val="bullet"/>
      <w:lvlText w:val=""/>
      <w:lvlJc w:val="left"/>
      <w:pPr>
        <w:ind w:left="4527" w:hanging="360"/>
      </w:pPr>
      <w:rPr>
        <w:rFonts w:ascii="Wingdings" w:hAnsi="Wingdings" w:hint="default"/>
      </w:rPr>
    </w:lvl>
    <w:lvl w:ilvl="6" w:tplc="22C2BB00">
      <w:start w:val="1"/>
      <w:numFmt w:val="bullet"/>
      <w:lvlText w:val=""/>
      <w:lvlJc w:val="left"/>
      <w:pPr>
        <w:ind w:left="5247" w:hanging="360"/>
      </w:pPr>
      <w:rPr>
        <w:rFonts w:ascii="Symbol" w:hAnsi="Symbol" w:hint="default"/>
      </w:rPr>
    </w:lvl>
    <w:lvl w:ilvl="7" w:tplc="A01615EC">
      <w:start w:val="1"/>
      <w:numFmt w:val="bullet"/>
      <w:lvlText w:val="o"/>
      <w:lvlJc w:val="left"/>
      <w:pPr>
        <w:ind w:left="5967" w:hanging="360"/>
      </w:pPr>
      <w:rPr>
        <w:rFonts w:ascii="Courier New" w:hAnsi="Courier New" w:cs="Times New Roman" w:hint="default"/>
      </w:rPr>
    </w:lvl>
    <w:lvl w:ilvl="8" w:tplc="65DACE06">
      <w:start w:val="1"/>
      <w:numFmt w:val="bullet"/>
      <w:lvlText w:val=""/>
      <w:lvlJc w:val="left"/>
      <w:pPr>
        <w:ind w:left="6687" w:hanging="360"/>
      </w:pPr>
      <w:rPr>
        <w:rFonts w:ascii="Wingdings" w:hAnsi="Wingdings" w:hint="default"/>
      </w:rPr>
    </w:lvl>
  </w:abstractNum>
  <w:abstractNum w:abstractNumId="12" w15:restartNumberingAfterBreak="0">
    <w:nsid w:val="1CE41E08"/>
    <w:multiLevelType w:val="hybridMultilevel"/>
    <w:tmpl w:val="C818F7D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6870EA9"/>
    <w:multiLevelType w:val="hybridMultilevel"/>
    <w:tmpl w:val="A3766510"/>
    <w:lvl w:ilvl="0" w:tplc="16F632F0">
      <w:start w:val="3"/>
      <w:numFmt w:val="bullet"/>
      <w:lvlText w:val="-"/>
      <w:lvlJc w:val="left"/>
      <w:pPr>
        <w:ind w:left="1647" w:hanging="360"/>
      </w:pPr>
      <w:rPr>
        <w:rFonts w:ascii="Calibri" w:eastAsia="Times New Roman" w:hAnsi="Calibri" w:cs="Calibri" w:hint="default"/>
      </w:rPr>
    </w:lvl>
    <w:lvl w:ilvl="1" w:tplc="08090003">
      <w:start w:val="1"/>
      <w:numFmt w:val="bullet"/>
      <w:lvlText w:val="o"/>
      <w:lvlJc w:val="left"/>
      <w:pPr>
        <w:ind w:left="2367" w:hanging="360"/>
      </w:pPr>
      <w:rPr>
        <w:rFonts w:ascii="Courier New" w:hAnsi="Courier New" w:cs="Courier New" w:hint="default"/>
      </w:rPr>
    </w:lvl>
    <w:lvl w:ilvl="2" w:tplc="08090005">
      <w:start w:val="1"/>
      <w:numFmt w:val="bullet"/>
      <w:lvlText w:val=""/>
      <w:lvlJc w:val="left"/>
      <w:pPr>
        <w:ind w:left="3087" w:hanging="360"/>
      </w:pPr>
      <w:rPr>
        <w:rFonts w:ascii="Wingdings" w:hAnsi="Wingdings" w:hint="default"/>
      </w:rPr>
    </w:lvl>
    <w:lvl w:ilvl="3" w:tplc="08090001">
      <w:start w:val="1"/>
      <w:numFmt w:val="bullet"/>
      <w:lvlText w:val=""/>
      <w:lvlJc w:val="left"/>
      <w:pPr>
        <w:ind w:left="3807" w:hanging="360"/>
      </w:pPr>
      <w:rPr>
        <w:rFonts w:ascii="Symbol" w:hAnsi="Symbol" w:hint="default"/>
      </w:rPr>
    </w:lvl>
    <w:lvl w:ilvl="4" w:tplc="08090003">
      <w:start w:val="1"/>
      <w:numFmt w:val="bullet"/>
      <w:lvlText w:val="o"/>
      <w:lvlJc w:val="left"/>
      <w:pPr>
        <w:ind w:left="4527" w:hanging="360"/>
      </w:pPr>
      <w:rPr>
        <w:rFonts w:ascii="Courier New" w:hAnsi="Courier New" w:cs="Courier New" w:hint="default"/>
      </w:rPr>
    </w:lvl>
    <w:lvl w:ilvl="5" w:tplc="08090005">
      <w:start w:val="1"/>
      <w:numFmt w:val="bullet"/>
      <w:lvlText w:val=""/>
      <w:lvlJc w:val="left"/>
      <w:pPr>
        <w:ind w:left="5247" w:hanging="360"/>
      </w:pPr>
      <w:rPr>
        <w:rFonts w:ascii="Wingdings" w:hAnsi="Wingdings" w:hint="default"/>
      </w:rPr>
    </w:lvl>
    <w:lvl w:ilvl="6" w:tplc="08090001">
      <w:start w:val="1"/>
      <w:numFmt w:val="bullet"/>
      <w:lvlText w:val=""/>
      <w:lvlJc w:val="left"/>
      <w:pPr>
        <w:ind w:left="5967" w:hanging="360"/>
      </w:pPr>
      <w:rPr>
        <w:rFonts w:ascii="Symbol" w:hAnsi="Symbol" w:hint="default"/>
      </w:rPr>
    </w:lvl>
    <w:lvl w:ilvl="7" w:tplc="08090003">
      <w:start w:val="1"/>
      <w:numFmt w:val="bullet"/>
      <w:lvlText w:val="o"/>
      <w:lvlJc w:val="left"/>
      <w:pPr>
        <w:ind w:left="6687" w:hanging="360"/>
      </w:pPr>
      <w:rPr>
        <w:rFonts w:ascii="Courier New" w:hAnsi="Courier New" w:cs="Courier New" w:hint="default"/>
      </w:rPr>
    </w:lvl>
    <w:lvl w:ilvl="8" w:tplc="08090005">
      <w:start w:val="1"/>
      <w:numFmt w:val="bullet"/>
      <w:lvlText w:val=""/>
      <w:lvlJc w:val="left"/>
      <w:pPr>
        <w:ind w:left="7407" w:hanging="360"/>
      </w:pPr>
      <w:rPr>
        <w:rFonts w:ascii="Wingdings" w:hAnsi="Wingdings" w:hint="default"/>
      </w:rPr>
    </w:lvl>
  </w:abstractNum>
  <w:abstractNum w:abstractNumId="14" w15:restartNumberingAfterBreak="0">
    <w:nsid w:val="43BC3BBE"/>
    <w:multiLevelType w:val="multilevel"/>
    <w:tmpl w:val="A3EE58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49054FC"/>
    <w:multiLevelType w:val="hybridMultilevel"/>
    <w:tmpl w:val="FFFFFFFF"/>
    <w:lvl w:ilvl="0" w:tplc="F8D252A0">
      <w:start w:val="1"/>
      <w:numFmt w:val="bullet"/>
      <w:lvlText w:val=""/>
      <w:lvlJc w:val="left"/>
      <w:pPr>
        <w:ind w:left="360" w:hanging="360"/>
      </w:pPr>
      <w:rPr>
        <w:rFonts w:ascii="Symbol" w:hAnsi="Symbol" w:hint="default"/>
      </w:rPr>
    </w:lvl>
    <w:lvl w:ilvl="1" w:tplc="35124A20">
      <w:start w:val="1"/>
      <w:numFmt w:val="bullet"/>
      <w:lvlText w:val="o"/>
      <w:lvlJc w:val="left"/>
      <w:pPr>
        <w:ind w:left="1080" w:hanging="360"/>
      </w:pPr>
      <w:rPr>
        <w:rFonts w:ascii="Courier New" w:hAnsi="Courier New" w:cs="Times New Roman" w:hint="default"/>
      </w:rPr>
    </w:lvl>
    <w:lvl w:ilvl="2" w:tplc="2B7C7858">
      <w:start w:val="1"/>
      <w:numFmt w:val="bullet"/>
      <w:lvlText w:val=""/>
      <w:lvlJc w:val="left"/>
      <w:pPr>
        <w:ind w:left="1800" w:hanging="360"/>
      </w:pPr>
      <w:rPr>
        <w:rFonts w:ascii="Wingdings" w:hAnsi="Wingdings" w:hint="default"/>
      </w:rPr>
    </w:lvl>
    <w:lvl w:ilvl="3" w:tplc="4CD263EC">
      <w:start w:val="1"/>
      <w:numFmt w:val="bullet"/>
      <w:lvlText w:val=""/>
      <w:lvlJc w:val="left"/>
      <w:pPr>
        <w:ind w:left="2520" w:hanging="360"/>
      </w:pPr>
      <w:rPr>
        <w:rFonts w:ascii="Symbol" w:hAnsi="Symbol" w:hint="default"/>
      </w:rPr>
    </w:lvl>
    <w:lvl w:ilvl="4" w:tplc="C4CE9FB4">
      <w:start w:val="1"/>
      <w:numFmt w:val="bullet"/>
      <w:lvlText w:val="o"/>
      <w:lvlJc w:val="left"/>
      <w:pPr>
        <w:ind w:left="3240" w:hanging="360"/>
      </w:pPr>
      <w:rPr>
        <w:rFonts w:ascii="Courier New" w:hAnsi="Courier New" w:cs="Times New Roman" w:hint="default"/>
      </w:rPr>
    </w:lvl>
    <w:lvl w:ilvl="5" w:tplc="545CB406">
      <w:start w:val="1"/>
      <w:numFmt w:val="bullet"/>
      <w:lvlText w:val=""/>
      <w:lvlJc w:val="left"/>
      <w:pPr>
        <w:ind w:left="3960" w:hanging="360"/>
      </w:pPr>
      <w:rPr>
        <w:rFonts w:ascii="Wingdings" w:hAnsi="Wingdings" w:hint="default"/>
      </w:rPr>
    </w:lvl>
    <w:lvl w:ilvl="6" w:tplc="DE840E9E">
      <w:start w:val="1"/>
      <w:numFmt w:val="bullet"/>
      <w:lvlText w:val=""/>
      <w:lvlJc w:val="left"/>
      <w:pPr>
        <w:ind w:left="4680" w:hanging="360"/>
      </w:pPr>
      <w:rPr>
        <w:rFonts w:ascii="Symbol" w:hAnsi="Symbol" w:hint="default"/>
      </w:rPr>
    </w:lvl>
    <w:lvl w:ilvl="7" w:tplc="0D76AE54">
      <w:start w:val="1"/>
      <w:numFmt w:val="bullet"/>
      <w:lvlText w:val="o"/>
      <w:lvlJc w:val="left"/>
      <w:pPr>
        <w:ind w:left="5400" w:hanging="360"/>
      </w:pPr>
      <w:rPr>
        <w:rFonts w:ascii="Courier New" w:hAnsi="Courier New" w:cs="Times New Roman" w:hint="default"/>
      </w:rPr>
    </w:lvl>
    <w:lvl w:ilvl="8" w:tplc="420A025A">
      <w:start w:val="1"/>
      <w:numFmt w:val="bullet"/>
      <w:lvlText w:val=""/>
      <w:lvlJc w:val="left"/>
      <w:pPr>
        <w:ind w:left="6120" w:hanging="360"/>
      </w:pPr>
      <w:rPr>
        <w:rFonts w:ascii="Wingdings" w:hAnsi="Wingdings" w:hint="default"/>
      </w:rPr>
    </w:lvl>
  </w:abstractNum>
  <w:abstractNum w:abstractNumId="16" w15:restartNumberingAfterBreak="0">
    <w:nsid w:val="4E833684"/>
    <w:multiLevelType w:val="hybridMultilevel"/>
    <w:tmpl w:val="276A9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5A3B42C3"/>
    <w:multiLevelType w:val="hybridMultilevel"/>
    <w:tmpl w:val="CF7449E6"/>
    <w:lvl w:ilvl="0" w:tplc="FFFFFFF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60810070"/>
    <w:multiLevelType w:val="hybridMultilevel"/>
    <w:tmpl w:val="EBB28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117E2D6"/>
    <w:multiLevelType w:val="hybridMultilevel"/>
    <w:tmpl w:val="C5689BBE"/>
    <w:lvl w:ilvl="0" w:tplc="4FA4D67E">
      <w:start w:val="1"/>
      <w:numFmt w:val="bullet"/>
      <w:lvlText w:val="-"/>
      <w:lvlJc w:val="left"/>
      <w:pPr>
        <w:ind w:left="720" w:hanging="360"/>
      </w:pPr>
      <w:rPr>
        <w:rFonts w:ascii="Aptos" w:hAnsi="Aptos" w:hint="default"/>
      </w:rPr>
    </w:lvl>
    <w:lvl w:ilvl="1" w:tplc="1D662B94">
      <w:start w:val="1"/>
      <w:numFmt w:val="bullet"/>
      <w:lvlText w:val="o"/>
      <w:lvlJc w:val="left"/>
      <w:pPr>
        <w:ind w:left="1440" w:hanging="360"/>
      </w:pPr>
      <w:rPr>
        <w:rFonts w:ascii="Courier New" w:hAnsi="Courier New" w:cs="Times New Roman" w:hint="default"/>
      </w:rPr>
    </w:lvl>
    <w:lvl w:ilvl="2" w:tplc="25BCE01A">
      <w:start w:val="1"/>
      <w:numFmt w:val="bullet"/>
      <w:lvlText w:val=""/>
      <w:lvlJc w:val="left"/>
      <w:pPr>
        <w:ind w:left="2160" w:hanging="360"/>
      </w:pPr>
      <w:rPr>
        <w:rFonts w:ascii="Wingdings" w:hAnsi="Wingdings" w:hint="default"/>
      </w:rPr>
    </w:lvl>
    <w:lvl w:ilvl="3" w:tplc="08505300">
      <w:start w:val="1"/>
      <w:numFmt w:val="bullet"/>
      <w:lvlText w:val=""/>
      <w:lvlJc w:val="left"/>
      <w:pPr>
        <w:ind w:left="2880" w:hanging="360"/>
      </w:pPr>
      <w:rPr>
        <w:rFonts w:ascii="Symbol" w:hAnsi="Symbol" w:hint="default"/>
      </w:rPr>
    </w:lvl>
    <w:lvl w:ilvl="4" w:tplc="967EECCE">
      <w:start w:val="1"/>
      <w:numFmt w:val="bullet"/>
      <w:lvlText w:val="o"/>
      <w:lvlJc w:val="left"/>
      <w:pPr>
        <w:ind w:left="3600" w:hanging="360"/>
      </w:pPr>
      <w:rPr>
        <w:rFonts w:ascii="Courier New" w:hAnsi="Courier New" w:cs="Times New Roman" w:hint="default"/>
      </w:rPr>
    </w:lvl>
    <w:lvl w:ilvl="5" w:tplc="4D44A614">
      <w:start w:val="1"/>
      <w:numFmt w:val="bullet"/>
      <w:lvlText w:val=""/>
      <w:lvlJc w:val="left"/>
      <w:pPr>
        <w:ind w:left="4320" w:hanging="360"/>
      </w:pPr>
      <w:rPr>
        <w:rFonts w:ascii="Wingdings" w:hAnsi="Wingdings" w:hint="default"/>
      </w:rPr>
    </w:lvl>
    <w:lvl w:ilvl="6" w:tplc="F01AD89C">
      <w:start w:val="1"/>
      <w:numFmt w:val="bullet"/>
      <w:lvlText w:val=""/>
      <w:lvlJc w:val="left"/>
      <w:pPr>
        <w:ind w:left="5040" w:hanging="360"/>
      </w:pPr>
      <w:rPr>
        <w:rFonts w:ascii="Symbol" w:hAnsi="Symbol" w:hint="default"/>
      </w:rPr>
    </w:lvl>
    <w:lvl w:ilvl="7" w:tplc="8E40AA3C">
      <w:start w:val="1"/>
      <w:numFmt w:val="bullet"/>
      <w:lvlText w:val="o"/>
      <w:lvlJc w:val="left"/>
      <w:pPr>
        <w:ind w:left="5760" w:hanging="360"/>
      </w:pPr>
      <w:rPr>
        <w:rFonts w:ascii="Courier New" w:hAnsi="Courier New" w:cs="Times New Roman" w:hint="default"/>
      </w:rPr>
    </w:lvl>
    <w:lvl w:ilvl="8" w:tplc="52304AF2">
      <w:start w:val="1"/>
      <w:numFmt w:val="bullet"/>
      <w:lvlText w:val=""/>
      <w:lvlJc w:val="left"/>
      <w:pPr>
        <w:ind w:left="6480" w:hanging="360"/>
      </w:pPr>
      <w:rPr>
        <w:rFonts w:ascii="Wingdings" w:hAnsi="Wingdings" w:hint="default"/>
      </w:rPr>
    </w:lvl>
  </w:abstractNum>
  <w:abstractNum w:abstractNumId="20" w15:restartNumberingAfterBreak="0">
    <w:nsid w:val="66A64222"/>
    <w:multiLevelType w:val="hybridMultilevel"/>
    <w:tmpl w:val="2F5C4AC8"/>
    <w:lvl w:ilvl="0" w:tplc="12C2D98C">
      <w:start w:val="1"/>
      <w:numFmt w:val="bullet"/>
      <w:lvlText w:val="-"/>
      <w:lvlJc w:val="left"/>
      <w:pPr>
        <w:ind w:left="720" w:hanging="360"/>
      </w:pPr>
      <w:rPr>
        <w:rFonts w:ascii="Aptos" w:hAnsi="Aptos" w:hint="default"/>
      </w:rPr>
    </w:lvl>
    <w:lvl w:ilvl="1" w:tplc="645222B4">
      <w:start w:val="1"/>
      <w:numFmt w:val="bullet"/>
      <w:lvlText w:val="o"/>
      <w:lvlJc w:val="left"/>
      <w:pPr>
        <w:ind w:left="1440" w:hanging="360"/>
      </w:pPr>
      <w:rPr>
        <w:rFonts w:ascii="Courier New" w:hAnsi="Courier New" w:cs="Times New Roman" w:hint="default"/>
      </w:rPr>
    </w:lvl>
    <w:lvl w:ilvl="2" w:tplc="B148CA10">
      <w:start w:val="1"/>
      <w:numFmt w:val="bullet"/>
      <w:lvlText w:val=""/>
      <w:lvlJc w:val="left"/>
      <w:pPr>
        <w:ind w:left="2160" w:hanging="360"/>
      </w:pPr>
      <w:rPr>
        <w:rFonts w:ascii="Wingdings" w:hAnsi="Wingdings" w:hint="default"/>
      </w:rPr>
    </w:lvl>
    <w:lvl w:ilvl="3" w:tplc="7F42AAA0">
      <w:start w:val="1"/>
      <w:numFmt w:val="bullet"/>
      <w:lvlText w:val=""/>
      <w:lvlJc w:val="left"/>
      <w:pPr>
        <w:ind w:left="2880" w:hanging="360"/>
      </w:pPr>
      <w:rPr>
        <w:rFonts w:ascii="Symbol" w:hAnsi="Symbol" w:hint="default"/>
      </w:rPr>
    </w:lvl>
    <w:lvl w:ilvl="4" w:tplc="278C9608">
      <w:start w:val="1"/>
      <w:numFmt w:val="bullet"/>
      <w:lvlText w:val="o"/>
      <w:lvlJc w:val="left"/>
      <w:pPr>
        <w:ind w:left="3600" w:hanging="360"/>
      </w:pPr>
      <w:rPr>
        <w:rFonts w:ascii="Courier New" w:hAnsi="Courier New" w:cs="Times New Roman" w:hint="default"/>
      </w:rPr>
    </w:lvl>
    <w:lvl w:ilvl="5" w:tplc="47EE00AA">
      <w:start w:val="1"/>
      <w:numFmt w:val="bullet"/>
      <w:lvlText w:val=""/>
      <w:lvlJc w:val="left"/>
      <w:pPr>
        <w:ind w:left="4320" w:hanging="360"/>
      </w:pPr>
      <w:rPr>
        <w:rFonts w:ascii="Wingdings" w:hAnsi="Wingdings" w:hint="default"/>
      </w:rPr>
    </w:lvl>
    <w:lvl w:ilvl="6" w:tplc="DFD8E58A">
      <w:start w:val="1"/>
      <w:numFmt w:val="bullet"/>
      <w:lvlText w:val=""/>
      <w:lvlJc w:val="left"/>
      <w:pPr>
        <w:ind w:left="5040" w:hanging="360"/>
      </w:pPr>
      <w:rPr>
        <w:rFonts w:ascii="Symbol" w:hAnsi="Symbol" w:hint="default"/>
      </w:rPr>
    </w:lvl>
    <w:lvl w:ilvl="7" w:tplc="6F0A3FA6">
      <w:start w:val="1"/>
      <w:numFmt w:val="bullet"/>
      <w:lvlText w:val="o"/>
      <w:lvlJc w:val="left"/>
      <w:pPr>
        <w:ind w:left="5760" w:hanging="360"/>
      </w:pPr>
      <w:rPr>
        <w:rFonts w:ascii="Courier New" w:hAnsi="Courier New" w:cs="Times New Roman" w:hint="default"/>
      </w:rPr>
    </w:lvl>
    <w:lvl w:ilvl="8" w:tplc="4AD8D734">
      <w:start w:val="1"/>
      <w:numFmt w:val="bullet"/>
      <w:lvlText w:val=""/>
      <w:lvlJc w:val="left"/>
      <w:pPr>
        <w:ind w:left="6480" w:hanging="360"/>
      </w:pPr>
      <w:rPr>
        <w:rFonts w:ascii="Wingdings" w:hAnsi="Wingdings" w:hint="default"/>
      </w:rPr>
    </w:lvl>
  </w:abstractNum>
  <w:abstractNum w:abstractNumId="21" w15:restartNumberingAfterBreak="0">
    <w:nsid w:val="70275BAD"/>
    <w:multiLevelType w:val="hybridMultilevel"/>
    <w:tmpl w:val="1AEC1CEE"/>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num w:numId="1" w16cid:durableId="204144983">
    <w:abstractNumId w:val="9"/>
  </w:num>
  <w:num w:numId="2" w16cid:durableId="1042679003">
    <w:abstractNumId w:val="7"/>
  </w:num>
  <w:num w:numId="3" w16cid:durableId="1710033290">
    <w:abstractNumId w:val="6"/>
  </w:num>
  <w:num w:numId="4" w16cid:durableId="1466967443">
    <w:abstractNumId w:val="5"/>
  </w:num>
  <w:num w:numId="5" w16cid:durableId="1019041869">
    <w:abstractNumId w:val="4"/>
  </w:num>
  <w:num w:numId="6" w16cid:durableId="1994942309">
    <w:abstractNumId w:val="8"/>
  </w:num>
  <w:num w:numId="7" w16cid:durableId="1943762712">
    <w:abstractNumId w:val="3"/>
  </w:num>
  <w:num w:numId="8" w16cid:durableId="1210023807">
    <w:abstractNumId w:val="2"/>
  </w:num>
  <w:num w:numId="9" w16cid:durableId="976300499">
    <w:abstractNumId w:val="1"/>
  </w:num>
  <w:num w:numId="10" w16cid:durableId="153841235">
    <w:abstractNumId w:val="0"/>
  </w:num>
  <w:num w:numId="11" w16cid:durableId="401220439">
    <w:abstractNumId w:val="8"/>
  </w:num>
  <w:num w:numId="12" w16cid:durableId="1266042031">
    <w:abstractNumId w:val="3"/>
  </w:num>
  <w:num w:numId="13" w16cid:durableId="1286500294">
    <w:abstractNumId w:val="2"/>
  </w:num>
  <w:num w:numId="14" w16cid:durableId="1804274698">
    <w:abstractNumId w:val="1"/>
  </w:num>
  <w:num w:numId="15" w16cid:durableId="232618268">
    <w:abstractNumId w:val="0"/>
  </w:num>
  <w:num w:numId="16" w16cid:durableId="20953960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09269881">
    <w:abstractNumId w:val="11"/>
  </w:num>
  <w:num w:numId="18" w16cid:durableId="1979844143">
    <w:abstractNumId w:val="21"/>
  </w:num>
  <w:num w:numId="19" w16cid:durableId="1597208649">
    <w:abstractNumId w:val="13"/>
  </w:num>
  <w:num w:numId="20" w16cid:durableId="255865564">
    <w:abstractNumId w:val="10"/>
  </w:num>
  <w:num w:numId="21" w16cid:durableId="273178508">
    <w:abstractNumId w:val="15"/>
  </w:num>
  <w:num w:numId="22" w16cid:durableId="736129565">
    <w:abstractNumId w:val="16"/>
  </w:num>
  <w:num w:numId="23" w16cid:durableId="1076364672">
    <w:abstractNumId w:val="18"/>
  </w:num>
  <w:num w:numId="24" w16cid:durableId="7799110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8414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3992876">
    <w:abstractNumId w:val="19"/>
  </w:num>
  <w:num w:numId="27" w16cid:durableId="264881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8D"/>
    <w:rsid w:val="0001696F"/>
    <w:rsid w:val="00076A2C"/>
    <w:rsid w:val="000D0D0A"/>
    <w:rsid w:val="000E303B"/>
    <w:rsid w:val="00103163"/>
    <w:rsid w:val="00106B19"/>
    <w:rsid w:val="001133EF"/>
    <w:rsid w:val="00115D93"/>
    <w:rsid w:val="001247A8"/>
    <w:rsid w:val="001342E0"/>
    <w:rsid w:val="001370B2"/>
    <w:rsid w:val="001378C0"/>
    <w:rsid w:val="001658F9"/>
    <w:rsid w:val="0018694A"/>
    <w:rsid w:val="0019129B"/>
    <w:rsid w:val="001A3287"/>
    <w:rsid w:val="001A6508"/>
    <w:rsid w:val="001D4C31"/>
    <w:rsid w:val="001E4D21"/>
    <w:rsid w:val="00207CD1"/>
    <w:rsid w:val="00226657"/>
    <w:rsid w:val="002477A2"/>
    <w:rsid w:val="00263A51"/>
    <w:rsid w:val="00267E02"/>
    <w:rsid w:val="00271321"/>
    <w:rsid w:val="00277DEA"/>
    <w:rsid w:val="002A5D44"/>
    <w:rsid w:val="002C3F32"/>
    <w:rsid w:val="002C4E3D"/>
    <w:rsid w:val="002D2336"/>
    <w:rsid w:val="002D47BE"/>
    <w:rsid w:val="002E0BC4"/>
    <w:rsid w:val="002E4737"/>
    <w:rsid w:val="002F1B76"/>
    <w:rsid w:val="0033568E"/>
    <w:rsid w:val="00343F8D"/>
    <w:rsid w:val="00355FF5"/>
    <w:rsid w:val="00361350"/>
    <w:rsid w:val="003A3A92"/>
    <w:rsid w:val="003C3FAE"/>
    <w:rsid w:val="003C66B4"/>
    <w:rsid w:val="004038CB"/>
    <w:rsid w:val="0040546F"/>
    <w:rsid w:val="004177BD"/>
    <w:rsid w:val="0042404A"/>
    <w:rsid w:val="0044618F"/>
    <w:rsid w:val="00465C35"/>
    <w:rsid w:val="0046769A"/>
    <w:rsid w:val="00475FB3"/>
    <w:rsid w:val="004C37A9"/>
    <w:rsid w:val="004D1D50"/>
    <w:rsid w:val="004F259E"/>
    <w:rsid w:val="004F633A"/>
    <w:rsid w:val="00504C7F"/>
    <w:rsid w:val="00511F1D"/>
    <w:rsid w:val="00520F36"/>
    <w:rsid w:val="00524E8D"/>
    <w:rsid w:val="00534E13"/>
    <w:rsid w:val="00540615"/>
    <w:rsid w:val="00540A6D"/>
    <w:rsid w:val="00553536"/>
    <w:rsid w:val="00566679"/>
    <w:rsid w:val="00571EEA"/>
    <w:rsid w:val="00575417"/>
    <w:rsid w:val="005768E1"/>
    <w:rsid w:val="005B1938"/>
    <w:rsid w:val="005C3890"/>
    <w:rsid w:val="005F7BFE"/>
    <w:rsid w:val="00600017"/>
    <w:rsid w:val="00602682"/>
    <w:rsid w:val="006235CA"/>
    <w:rsid w:val="0062366E"/>
    <w:rsid w:val="006279FF"/>
    <w:rsid w:val="00637707"/>
    <w:rsid w:val="006643AB"/>
    <w:rsid w:val="006A11AE"/>
    <w:rsid w:val="006B1F53"/>
    <w:rsid w:val="006B224B"/>
    <w:rsid w:val="006F0A53"/>
    <w:rsid w:val="0071402E"/>
    <w:rsid w:val="007210CD"/>
    <w:rsid w:val="00732045"/>
    <w:rsid w:val="0073275D"/>
    <w:rsid w:val="007369DB"/>
    <w:rsid w:val="0077110E"/>
    <w:rsid w:val="007956C2"/>
    <w:rsid w:val="00796BDB"/>
    <w:rsid w:val="007A187E"/>
    <w:rsid w:val="007C72C2"/>
    <w:rsid w:val="007D4436"/>
    <w:rsid w:val="007E6AA1"/>
    <w:rsid w:val="007F257A"/>
    <w:rsid w:val="007F3665"/>
    <w:rsid w:val="00800037"/>
    <w:rsid w:val="00816E81"/>
    <w:rsid w:val="0082299A"/>
    <w:rsid w:val="0083391C"/>
    <w:rsid w:val="0084546D"/>
    <w:rsid w:val="00860978"/>
    <w:rsid w:val="00861D73"/>
    <w:rsid w:val="00866713"/>
    <w:rsid w:val="00882919"/>
    <w:rsid w:val="00897553"/>
    <w:rsid w:val="008A4E87"/>
    <w:rsid w:val="008D76E6"/>
    <w:rsid w:val="008F7F28"/>
    <w:rsid w:val="0092392D"/>
    <w:rsid w:val="0093234A"/>
    <w:rsid w:val="00956A78"/>
    <w:rsid w:val="0097363B"/>
    <w:rsid w:val="00973F53"/>
    <w:rsid w:val="0098348E"/>
    <w:rsid w:val="009A6BAA"/>
    <w:rsid w:val="009A76A8"/>
    <w:rsid w:val="009C307F"/>
    <w:rsid w:val="009C353C"/>
    <w:rsid w:val="009D5955"/>
    <w:rsid w:val="009F0FB8"/>
    <w:rsid w:val="00A01F4F"/>
    <w:rsid w:val="00A109AF"/>
    <w:rsid w:val="00A11EA2"/>
    <w:rsid w:val="00A125FB"/>
    <w:rsid w:val="00A2113E"/>
    <w:rsid w:val="00A23A51"/>
    <w:rsid w:val="00A24607"/>
    <w:rsid w:val="00A25CD3"/>
    <w:rsid w:val="00A51849"/>
    <w:rsid w:val="00A709FE"/>
    <w:rsid w:val="00A73C60"/>
    <w:rsid w:val="00A82767"/>
    <w:rsid w:val="00A83048"/>
    <w:rsid w:val="00A9680D"/>
    <w:rsid w:val="00AA332F"/>
    <w:rsid w:val="00AA7BBB"/>
    <w:rsid w:val="00AB64A8"/>
    <w:rsid w:val="00AC0266"/>
    <w:rsid w:val="00AC0F1D"/>
    <w:rsid w:val="00AD24EC"/>
    <w:rsid w:val="00B27B00"/>
    <w:rsid w:val="00B309F9"/>
    <w:rsid w:val="00B32B60"/>
    <w:rsid w:val="00B37963"/>
    <w:rsid w:val="00B51005"/>
    <w:rsid w:val="00B61619"/>
    <w:rsid w:val="00B672AE"/>
    <w:rsid w:val="00BB38C1"/>
    <w:rsid w:val="00BB4545"/>
    <w:rsid w:val="00BD5873"/>
    <w:rsid w:val="00BF4B60"/>
    <w:rsid w:val="00BF7D7E"/>
    <w:rsid w:val="00C049D7"/>
    <w:rsid w:val="00C04BE3"/>
    <w:rsid w:val="00C22AE4"/>
    <w:rsid w:val="00C25D29"/>
    <w:rsid w:val="00C2625E"/>
    <w:rsid w:val="00C27A7C"/>
    <w:rsid w:val="00C42437"/>
    <w:rsid w:val="00CA08ED"/>
    <w:rsid w:val="00CC6EAA"/>
    <w:rsid w:val="00CE5172"/>
    <w:rsid w:val="00CF0534"/>
    <w:rsid w:val="00CF183B"/>
    <w:rsid w:val="00D27956"/>
    <w:rsid w:val="00D375CD"/>
    <w:rsid w:val="00D37B53"/>
    <w:rsid w:val="00D553A2"/>
    <w:rsid w:val="00D72F49"/>
    <w:rsid w:val="00D774D3"/>
    <w:rsid w:val="00D904E8"/>
    <w:rsid w:val="00DA08C3"/>
    <w:rsid w:val="00DB5A3E"/>
    <w:rsid w:val="00DC22AA"/>
    <w:rsid w:val="00DD1A99"/>
    <w:rsid w:val="00DE62C6"/>
    <w:rsid w:val="00DF74DD"/>
    <w:rsid w:val="00E25AD0"/>
    <w:rsid w:val="00E4428F"/>
    <w:rsid w:val="00E4448E"/>
    <w:rsid w:val="00E47427"/>
    <w:rsid w:val="00E93668"/>
    <w:rsid w:val="00E95647"/>
    <w:rsid w:val="00EB6350"/>
    <w:rsid w:val="00EC12B6"/>
    <w:rsid w:val="00ED799B"/>
    <w:rsid w:val="00F15B57"/>
    <w:rsid w:val="00F35EF4"/>
    <w:rsid w:val="00F3614C"/>
    <w:rsid w:val="00F37FE5"/>
    <w:rsid w:val="00F427DB"/>
    <w:rsid w:val="00F5315F"/>
    <w:rsid w:val="00F66D39"/>
    <w:rsid w:val="00FA5EB1"/>
    <w:rsid w:val="00FA7439"/>
    <w:rsid w:val="00FC4EC0"/>
    <w:rsid w:val="00FC6D7D"/>
    <w:rsid w:val="00FF01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11C4F"/>
  <w15:docId w15:val="{8A3933E5-EA58-4C2F-9F0A-DC41532C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66E"/>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D799B"/>
    <w:pPr>
      <w:keepNext/>
      <w:keepLines/>
      <w:spacing w:before="360"/>
      <w:ind w:left="567" w:hanging="567"/>
      <w:outlineLvl w:val="0"/>
    </w:pPr>
    <w:rPr>
      <w:b/>
      <w:sz w:val="28"/>
    </w:rPr>
  </w:style>
  <w:style w:type="paragraph" w:styleId="Heading2">
    <w:name w:val="heading 2"/>
    <w:basedOn w:val="Heading1"/>
    <w:next w:val="Normal"/>
    <w:qFormat/>
    <w:rsid w:val="00ED799B"/>
    <w:pPr>
      <w:spacing w:before="200"/>
      <w:outlineLvl w:val="1"/>
    </w:pPr>
    <w:rPr>
      <w:sz w:val="24"/>
    </w:rPr>
  </w:style>
  <w:style w:type="paragraph" w:styleId="Heading3">
    <w:name w:val="heading 3"/>
    <w:basedOn w:val="Heading1"/>
    <w:next w:val="Normal"/>
    <w:qFormat/>
    <w:rsid w:val="00ED799B"/>
    <w:pPr>
      <w:spacing w:before="200"/>
      <w:outlineLvl w:val="2"/>
    </w:pPr>
    <w:rPr>
      <w:sz w:val="24"/>
    </w:rPr>
  </w:style>
  <w:style w:type="paragraph" w:styleId="Heading4">
    <w:name w:val="heading 4"/>
    <w:basedOn w:val="Heading3"/>
    <w:next w:val="Normal"/>
    <w:qFormat/>
    <w:rsid w:val="00732045"/>
    <w:pPr>
      <w:ind w:left="1134" w:hanging="1134"/>
      <w:outlineLvl w:val="3"/>
    </w:pPr>
  </w:style>
  <w:style w:type="paragraph" w:styleId="Heading5">
    <w:name w:val="heading 5"/>
    <w:basedOn w:val="Heading4"/>
    <w:next w:val="Normal"/>
    <w:qFormat/>
    <w:rsid w:val="00732045"/>
    <w:pPr>
      <w:outlineLvl w:val="4"/>
    </w:pPr>
  </w:style>
  <w:style w:type="paragraph" w:styleId="Heading6">
    <w:name w:val="heading 6"/>
    <w:basedOn w:val="Heading4"/>
    <w:next w:val="Normal"/>
    <w:qFormat/>
    <w:rsid w:val="00732045"/>
    <w:pPr>
      <w:outlineLvl w:val="5"/>
    </w:pPr>
  </w:style>
  <w:style w:type="paragraph" w:styleId="Heading7">
    <w:name w:val="heading 7"/>
    <w:basedOn w:val="Heading4"/>
    <w:next w:val="Normal"/>
    <w:qFormat/>
    <w:rsid w:val="00732045"/>
    <w:pPr>
      <w:ind w:left="1701" w:hanging="1701"/>
      <w:outlineLvl w:val="6"/>
    </w:pPr>
  </w:style>
  <w:style w:type="paragraph" w:styleId="Heading8">
    <w:name w:val="heading 8"/>
    <w:basedOn w:val="Heading4"/>
    <w:next w:val="Normal"/>
    <w:qFormat/>
    <w:rsid w:val="00732045"/>
    <w:pPr>
      <w:ind w:left="1701" w:hanging="1701"/>
      <w:outlineLvl w:val="7"/>
    </w:pPr>
  </w:style>
  <w:style w:type="paragraph" w:styleId="Heading9">
    <w:name w:val="heading 9"/>
    <w:basedOn w:val="Heading4"/>
    <w:next w:val="Normal"/>
    <w:qFormat/>
    <w:rsid w:val="0073204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19129B"/>
  </w:style>
  <w:style w:type="paragraph" w:styleId="TOC3">
    <w:name w:val="toc 3"/>
    <w:basedOn w:val="TOC1"/>
    <w:next w:val="Normal"/>
    <w:rsid w:val="001658F9"/>
  </w:style>
  <w:style w:type="paragraph" w:styleId="TOC2">
    <w:name w:val="toc 2"/>
    <w:basedOn w:val="TOC1"/>
    <w:next w:val="Normal"/>
    <w:rsid w:val="001658F9"/>
    <w:pPr>
      <w:spacing w:before="160"/>
    </w:pPr>
  </w:style>
  <w:style w:type="paragraph" w:styleId="TOC1">
    <w:name w:val="toc 1"/>
    <w:basedOn w:val="Normal"/>
    <w:rsid w:val="001658F9"/>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19129B"/>
  </w:style>
  <w:style w:type="paragraph" w:styleId="TOC6">
    <w:name w:val="toc 6"/>
    <w:basedOn w:val="TOC5"/>
    <w:next w:val="Normal"/>
    <w:rsid w:val="0019129B"/>
  </w:style>
  <w:style w:type="paragraph" w:styleId="TOC5">
    <w:name w:val="toc 5"/>
    <w:basedOn w:val="TOC4"/>
    <w:next w:val="Normal"/>
    <w:rsid w:val="0019129B"/>
    <w:rPr>
      <w:lang w:val="fr-CH"/>
    </w:rPr>
  </w:style>
  <w:style w:type="paragraph" w:styleId="TOC4">
    <w:name w:val="toc 4"/>
    <w:basedOn w:val="TOC1"/>
    <w:next w:val="Normal"/>
    <w:rsid w:val="0019129B"/>
  </w:style>
  <w:style w:type="paragraph" w:styleId="Index7">
    <w:name w:val="index 7"/>
    <w:basedOn w:val="Normal"/>
    <w:next w:val="Normal"/>
    <w:rsid w:val="005C3890"/>
    <w:pPr>
      <w:ind w:left="1698"/>
    </w:pPr>
  </w:style>
  <w:style w:type="paragraph" w:styleId="Index6">
    <w:name w:val="index 6"/>
    <w:basedOn w:val="Normal"/>
    <w:next w:val="Normal"/>
    <w:rsid w:val="005C3890"/>
    <w:pPr>
      <w:ind w:left="1415"/>
    </w:pPr>
  </w:style>
  <w:style w:type="paragraph" w:styleId="Index5">
    <w:name w:val="index 5"/>
    <w:basedOn w:val="Normal"/>
    <w:next w:val="Normal"/>
    <w:rsid w:val="005C3890"/>
    <w:pPr>
      <w:ind w:left="1132"/>
    </w:pPr>
  </w:style>
  <w:style w:type="paragraph" w:styleId="Index4">
    <w:name w:val="index 4"/>
    <w:basedOn w:val="Normal"/>
    <w:next w:val="Normal"/>
    <w:rsid w:val="005C3890"/>
    <w:pPr>
      <w:ind w:left="849"/>
    </w:pPr>
  </w:style>
  <w:style w:type="paragraph" w:styleId="Index3">
    <w:name w:val="index 3"/>
    <w:basedOn w:val="Normal"/>
    <w:next w:val="Normal"/>
    <w:rsid w:val="005C3890"/>
    <w:pPr>
      <w:ind w:left="566"/>
    </w:pPr>
  </w:style>
  <w:style w:type="paragraph" w:styleId="Index2">
    <w:name w:val="index 2"/>
    <w:basedOn w:val="Normal"/>
    <w:next w:val="Normal"/>
    <w:rsid w:val="005C3890"/>
    <w:pPr>
      <w:ind w:left="283"/>
    </w:pPr>
  </w:style>
  <w:style w:type="paragraph" w:styleId="Index1">
    <w:name w:val="index 1"/>
    <w:basedOn w:val="Normal"/>
    <w:next w:val="Normal"/>
    <w:rsid w:val="005C3890"/>
  </w:style>
  <w:style w:type="character" w:styleId="LineNumber">
    <w:name w:val="line number"/>
    <w:basedOn w:val="DefaultParagraphFont"/>
    <w:rsid w:val="005C3890"/>
  </w:style>
  <w:style w:type="paragraph" w:styleId="IndexHeading">
    <w:name w:val="index heading"/>
    <w:basedOn w:val="Normal"/>
    <w:next w:val="Index1"/>
    <w:rsid w:val="005C3890"/>
  </w:style>
  <w:style w:type="paragraph" w:styleId="Footer">
    <w:name w:val="footer"/>
    <w:basedOn w:val="Normal"/>
    <w:rsid w:val="0073204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73204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732045"/>
    <w:rPr>
      <w:rFonts w:ascii="Calibri" w:hAnsi="Calibri"/>
      <w:position w:val="6"/>
      <w:sz w:val="16"/>
    </w:rPr>
  </w:style>
  <w:style w:type="paragraph" w:styleId="FootnoteText">
    <w:name w:val="footnote text"/>
    <w:basedOn w:val="Normal"/>
    <w:rsid w:val="00ED799B"/>
    <w:pPr>
      <w:keepLines/>
      <w:tabs>
        <w:tab w:val="left" w:pos="256"/>
      </w:tabs>
      <w:ind w:left="256" w:hanging="256"/>
    </w:pPr>
    <w:rPr>
      <w:sz w:val="22"/>
    </w:rPr>
  </w:style>
  <w:style w:type="paragraph" w:styleId="NormalIndent">
    <w:name w:val="Normal Indent"/>
    <w:basedOn w:val="Normal"/>
    <w:rsid w:val="00732045"/>
    <w:pPr>
      <w:ind w:left="567"/>
    </w:pPr>
  </w:style>
  <w:style w:type="paragraph" w:customStyle="1" w:styleId="enumlev1">
    <w:name w:val="enumlev1"/>
    <w:basedOn w:val="Normal"/>
    <w:rsid w:val="009D5955"/>
    <w:pPr>
      <w:spacing w:before="80"/>
      <w:ind w:left="567" w:hanging="567"/>
    </w:pPr>
  </w:style>
  <w:style w:type="paragraph" w:customStyle="1" w:styleId="enumlev2">
    <w:name w:val="enumlev2"/>
    <w:basedOn w:val="enumlev1"/>
    <w:rsid w:val="00732045"/>
    <w:pPr>
      <w:ind w:left="1134"/>
    </w:pPr>
  </w:style>
  <w:style w:type="paragraph" w:customStyle="1" w:styleId="enumlev3">
    <w:name w:val="enumlev3"/>
    <w:basedOn w:val="enumlev2"/>
    <w:rsid w:val="009D5955"/>
    <w:pPr>
      <w:ind w:left="1701"/>
    </w:pPr>
  </w:style>
  <w:style w:type="paragraph" w:customStyle="1" w:styleId="Equation">
    <w:name w:val="Equation"/>
    <w:basedOn w:val="Normal"/>
    <w:rsid w:val="005C3890"/>
    <w:pPr>
      <w:tabs>
        <w:tab w:val="center" w:pos="4820"/>
        <w:tab w:val="right" w:pos="9639"/>
      </w:tabs>
    </w:pPr>
  </w:style>
  <w:style w:type="paragraph" w:customStyle="1" w:styleId="Head">
    <w:name w:val="Head"/>
    <w:basedOn w:val="Normal"/>
    <w:rsid w:val="005C3890"/>
    <w:pPr>
      <w:tabs>
        <w:tab w:val="left" w:pos="6663"/>
      </w:tabs>
      <w:overflowPunct/>
      <w:autoSpaceDE/>
      <w:autoSpaceDN/>
      <w:adjustRightInd/>
      <w:spacing w:before="0"/>
      <w:textAlignment w:val="auto"/>
    </w:pPr>
  </w:style>
  <w:style w:type="paragraph" w:customStyle="1" w:styleId="Normalaftertitle">
    <w:name w:val="Normal after title"/>
    <w:basedOn w:val="Normal"/>
    <w:next w:val="Normal"/>
    <w:rsid w:val="00732045"/>
    <w:pPr>
      <w:spacing w:before="240"/>
    </w:pPr>
  </w:style>
  <w:style w:type="paragraph" w:customStyle="1" w:styleId="Call">
    <w:name w:val="Call"/>
    <w:basedOn w:val="Normal"/>
    <w:next w:val="Normal"/>
    <w:rsid w:val="00732045"/>
    <w:pPr>
      <w:keepNext/>
      <w:keepLines/>
      <w:tabs>
        <w:tab w:val="clear" w:pos="1134"/>
        <w:tab w:val="clear" w:pos="1701"/>
        <w:tab w:val="clear" w:pos="2268"/>
        <w:tab w:val="clear" w:pos="2835"/>
      </w:tabs>
      <w:spacing w:before="160"/>
      <w:ind w:left="567"/>
    </w:pPr>
    <w:rPr>
      <w:i/>
    </w:rPr>
  </w:style>
  <w:style w:type="paragraph" w:customStyle="1" w:styleId="toc0">
    <w:name w:val="toc 0"/>
    <w:basedOn w:val="Normal"/>
    <w:next w:val="TOC1"/>
    <w:rsid w:val="00732045"/>
    <w:pPr>
      <w:tabs>
        <w:tab w:val="clear" w:pos="567"/>
        <w:tab w:val="clear" w:pos="1134"/>
        <w:tab w:val="clear" w:pos="1701"/>
        <w:tab w:val="clear" w:pos="2268"/>
        <w:tab w:val="clear" w:pos="2835"/>
        <w:tab w:val="right" w:pos="9781"/>
      </w:tabs>
    </w:pPr>
    <w:rPr>
      <w:b/>
    </w:rPr>
  </w:style>
  <w:style w:type="paragraph" w:styleId="List">
    <w:name w:val="List"/>
    <w:basedOn w:val="Normal"/>
    <w:rsid w:val="005C3890"/>
    <w:pPr>
      <w:tabs>
        <w:tab w:val="left" w:pos="2127"/>
      </w:tabs>
      <w:ind w:left="2127" w:hanging="2127"/>
    </w:pPr>
  </w:style>
  <w:style w:type="paragraph" w:customStyle="1" w:styleId="Part">
    <w:name w:val="Part"/>
    <w:basedOn w:val="Normal"/>
    <w:rsid w:val="005C3890"/>
    <w:pPr>
      <w:tabs>
        <w:tab w:val="left" w:pos="1276"/>
      </w:tabs>
      <w:spacing w:before="199"/>
      <w:ind w:left="1701" w:hanging="1701"/>
    </w:pPr>
    <w:rPr>
      <w:caps/>
    </w:rPr>
  </w:style>
  <w:style w:type="paragraph" w:customStyle="1" w:styleId="Reasons">
    <w:name w:val="Reasons"/>
    <w:basedOn w:val="Normal"/>
    <w:qFormat/>
    <w:rsid w:val="00732045"/>
  </w:style>
  <w:style w:type="paragraph" w:customStyle="1" w:styleId="meeting">
    <w:name w:val="meeting"/>
    <w:basedOn w:val="Head"/>
    <w:next w:val="Head"/>
    <w:rsid w:val="005C3890"/>
    <w:pPr>
      <w:tabs>
        <w:tab w:val="left" w:pos="7371"/>
      </w:tabs>
      <w:spacing w:after="567"/>
    </w:pPr>
  </w:style>
  <w:style w:type="paragraph" w:customStyle="1" w:styleId="Subject">
    <w:name w:val="Subject"/>
    <w:basedOn w:val="Normal"/>
    <w:next w:val="Source"/>
    <w:rsid w:val="005C3890"/>
    <w:pPr>
      <w:tabs>
        <w:tab w:val="left" w:pos="709"/>
      </w:tabs>
      <w:spacing w:before="0"/>
      <w:ind w:left="709" w:hanging="709"/>
    </w:pPr>
  </w:style>
  <w:style w:type="paragraph" w:customStyle="1" w:styleId="Source">
    <w:name w:val="Source"/>
    <w:basedOn w:val="Normal"/>
    <w:next w:val="Title1"/>
    <w:rsid w:val="006B1F53"/>
    <w:pPr>
      <w:framePr w:hSpace="181" w:wrap="around" w:vAnchor="page" w:hAnchor="page" w:x="1589" w:y="2314"/>
      <w:spacing w:before="840"/>
    </w:pPr>
    <w:rPr>
      <w:rFonts w:cstheme="minorHAnsi"/>
      <w:b/>
      <w:color w:val="000000"/>
      <w:sz w:val="32"/>
      <w:szCs w:val="32"/>
    </w:rPr>
  </w:style>
  <w:style w:type="paragraph" w:customStyle="1" w:styleId="Object">
    <w:name w:val="Object"/>
    <w:basedOn w:val="Subject"/>
    <w:next w:val="Subject"/>
    <w:rsid w:val="005C3890"/>
  </w:style>
  <w:style w:type="paragraph" w:customStyle="1" w:styleId="Data">
    <w:name w:val="Data"/>
    <w:basedOn w:val="Subject"/>
    <w:next w:val="Subject"/>
    <w:rsid w:val="005C3890"/>
  </w:style>
  <w:style w:type="paragraph" w:customStyle="1" w:styleId="Headingb">
    <w:name w:val="Heading_b"/>
    <w:basedOn w:val="Heading3"/>
    <w:next w:val="Normal"/>
    <w:rsid w:val="00ED799B"/>
    <w:pPr>
      <w:spacing w:before="160"/>
      <w:ind w:left="0" w:firstLine="0"/>
      <w:outlineLvl w:val="0"/>
    </w:pPr>
  </w:style>
  <w:style w:type="paragraph" w:customStyle="1" w:styleId="Title1">
    <w:name w:val="Title 1"/>
    <w:basedOn w:val="Normal"/>
    <w:next w:val="Normalaftertitle"/>
    <w:rsid w:val="0071402E"/>
    <w:pPr>
      <w:spacing w:before="360"/>
      <w:jc w:val="center"/>
    </w:pPr>
    <w:rPr>
      <w:caps/>
    </w:rPr>
  </w:style>
  <w:style w:type="paragraph" w:customStyle="1" w:styleId="dnum">
    <w:name w:val="dnum"/>
    <w:basedOn w:val="Normal"/>
    <w:rsid w:val="005C3890"/>
    <w:pPr>
      <w:framePr w:hSpace="181" w:wrap="notBeside" w:vAnchor="page" w:hAnchor="margin" w:x="1" w:y="852"/>
      <w:shd w:val="solid" w:color="FFFFFF" w:fill="FFFFFF"/>
      <w:tabs>
        <w:tab w:val="left" w:pos="1871"/>
      </w:tabs>
    </w:pPr>
    <w:rPr>
      <w:b/>
      <w:bCs/>
    </w:rPr>
  </w:style>
  <w:style w:type="paragraph" w:customStyle="1" w:styleId="FirstFooter">
    <w:name w:val="FirstFooter"/>
    <w:basedOn w:val="Footer"/>
    <w:rsid w:val="00732045"/>
    <w:rPr>
      <w:caps w:val="0"/>
    </w:rPr>
  </w:style>
  <w:style w:type="paragraph" w:customStyle="1" w:styleId="Note">
    <w:name w:val="Note"/>
    <w:basedOn w:val="Normal"/>
    <w:rsid w:val="0071402E"/>
    <w:pPr>
      <w:spacing w:before="80"/>
    </w:pPr>
    <w:rPr>
      <w:sz w:val="22"/>
    </w:rPr>
  </w:style>
  <w:style w:type="paragraph" w:styleId="TOC9">
    <w:name w:val="toc 9"/>
    <w:basedOn w:val="Normal"/>
    <w:next w:val="Normal"/>
    <w:rsid w:val="00732045"/>
    <w:pPr>
      <w:tabs>
        <w:tab w:val="clear" w:pos="567"/>
        <w:tab w:val="clear" w:pos="1134"/>
        <w:tab w:val="clear" w:pos="1701"/>
        <w:tab w:val="clear" w:pos="2268"/>
        <w:tab w:val="clear" w:pos="2835"/>
        <w:tab w:val="right" w:leader="dot" w:pos="9645"/>
      </w:tabs>
      <w:ind w:left="1920"/>
    </w:pPr>
  </w:style>
  <w:style w:type="paragraph" w:customStyle="1" w:styleId="ddate">
    <w:name w:val="ddate"/>
    <w:basedOn w:val="Normal"/>
    <w:rsid w:val="005C3890"/>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5C3890"/>
    <w:pPr>
      <w:framePr w:hSpace="181" w:wrap="notBeside" w:vAnchor="page" w:hAnchor="margin" w:x="1" w:y="852"/>
      <w:shd w:val="solid" w:color="FFFFFF" w:fill="FFFFFF"/>
      <w:tabs>
        <w:tab w:val="left" w:pos="1871"/>
      </w:tabs>
      <w:spacing w:before="0"/>
    </w:pPr>
    <w:rPr>
      <w:b/>
      <w:bCs/>
    </w:rPr>
  </w:style>
  <w:style w:type="character" w:styleId="Hyperlink">
    <w:name w:val="Hyperlink"/>
    <w:basedOn w:val="DefaultParagraphFont"/>
    <w:rsid w:val="002D47BE"/>
    <w:rPr>
      <w:rFonts w:eastAsiaTheme="minorHAnsi" w:cstheme="minorBidi"/>
      <w:color w:val="4F81BD" w:themeColor="accent1"/>
      <w:szCs w:val="22"/>
      <w:u w:val="single"/>
    </w:rPr>
  </w:style>
  <w:style w:type="character" w:styleId="FollowedHyperlink">
    <w:name w:val="FollowedHyperlink"/>
    <w:basedOn w:val="DefaultParagraphFont"/>
    <w:rsid w:val="005C3890"/>
    <w:rPr>
      <w:color w:val="800080"/>
      <w:u w:val="single"/>
    </w:rPr>
  </w:style>
  <w:style w:type="paragraph" w:customStyle="1" w:styleId="AnnexNo">
    <w:name w:val="Annex_No"/>
    <w:basedOn w:val="Normal"/>
    <w:next w:val="Annexref"/>
    <w:rsid w:val="00BB38C1"/>
    <w:pPr>
      <w:keepNext/>
      <w:keepLines/>
      <w:spacing w:before="720"/>
      <w:jc w:val="center"/>
    </w:pPr>
    <w:rPr>
      <w:caps/>
      <w:sz w:val="28"/>
    </w:rPr>
  </w:style>
  <w:style w:type="paragraph" w:customStyle="1" w:styleId="Annexref">
    <w:name w:val="Annex_ref"/>
    <w:basedOn w:val="Normal"/>
    <w:next w:val="Annextitle"/>
    <w:rsid w:val="00BB38C1"/>
    <w:pPr>
      <w:keepNext/>
      <w:keepLines/>
      <w:jc w:val="center"/>
    </w:pPr>
    <w:rPr>
      <w:sz w:val="28"/>
    </w:rPr>
  </w:style>
  <w:style w:type="paragraph" w:customStyle="1" w:styleId="Annextitle">
    <w:name w:val="Annex_title"/>
    <w:basedOn w:val="Normal"/>
    <w:next w:val="Normalaftertitle"/>
    <w:rsid w:val="00BB38C1"/>
    <w:pPr>
      <w:keepNext/>
      <w:keepLines/>
      <w:spacing w:before="240" w:after="240"/>
      <w:jc w:val="center"/>
    </w:pPr>
    <w:rPr>
      <w:b/>
      <w:sz w:val="28"/>
    </w:rPr>
  </w:style>
  <w:style w:type="paragraph" w:customStyle="1" w:styleId="AppendixNo">
    <w:name w:val="Appendix_No"/>
    <w:basedOn w:val="AnnexNo"/>
    <w:next w:val="Appendixref"/>
    <w:rsid w:val="00BB38C1"/>
  </w:style>
  <w:style w:type="paragraph" w:customStyle="1" w:styleId="Appendixref">
    <w:name w:val="Appendix_ref"/>
    <w:basedOn w:val="Annexref"/>
    <w:next w:val="Appendixtitle"/>
    <w:rsid w:val="00732045"/>
  </w:style>
  <w:style w:type="paragraph" w:customStyle="1" w:styleId="Appendixtitle">
    <w:name w:val="Appendix_title"/>
    <w:basedOn w:val="Annextitle"/>
    <w:next w:val="Normalaftertitle"/>
    <w:rsid w:val="00BB38C1"/>
  </w:style>
  <w:style w:type="paragraph" w:customStyle="1" w:styleId="Artheading">
    <w:name w:val="Art_heading"/>
    <w:basedOn w:val="Normal"/>
    <w:next w:val="Normalaftertitle"/>
    <w:rsid w:val="00732045"/>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BB38C1"/>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38C1"/>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732045"/>
  </w:style>
  <w:style w:type="paragraph" w:customStyle="1" w:styleId="Chaptitle">
    <w:name w:val="Chap_title"/>
    <w:basedOn w:val="Arttitle"/>
    <w:next w:val="Normalaftertitle"/>
    <w:rsid w:val="00732045"/>
  </w:style>
  <w:style w:type="paragraph" w:customStyle="1" w:styleId="Equationlegend">
    <w:name w:val="Equation_legend"/>
    <w:basedOn w:val="NormalIndent"/>
    <w:rsid w:val="005C3890"/>
    <w:pPr>
      <w:tabs>
        <w:tab w:val="right" w:pos="1531"/>
      </w:tabs>
      <w:spacing w:before="80"/>
      <w:ind w:left="1701" w:hanging="1701"/>
    </w:pPr>
  </w:style>
  <w:style w:type="paragraph" w:customStyle="1" w:styleId="Figure">
    <w:name w:val="Figure"/>
    <w:basedOn w:val="Normal"/>
    <w:next w:val="Normal"/>
    <w:rsid w:val="009D5955"/>
    <w:pPr>
      <w:spacing w:after="240"/>
      <w:jc w:val="center"/>
    </w:pPr>
  </w:style>
  <w:style w:type="paragraph" w:customStyle="1" w:styleId="Figurelegend">
    <w:name w:val="Figure_legend"/>
    <w:basedOn w:val="Normal"/>
    <w:next w:val="Normal"/>
    <w:rsid w:val="009D5955"/>
    <w:pPr>
      <w:spacing w:before="20" w:after="240"/>
    </w:pPr>
    <w:rPr>
      <w:sz w:val="18"/>
    </w:rPr>
  </w:style>
  <w:style w:type="paragraph" w:customStyle="1" w:styleId="TableNo">
    <w:name w:val="Table_No"/>
    <w:basedOn w:val="Normal"/>
    <w:next w:val="Tabletitle"/>
    <w:rsid w:val="0071402E"/>
    <w:pPr>
      <w:keepNext/>
      <w:keepLines/>
      <w:spacing w:before="480" w:after="120"/>
      <w:jc w:val="center"/>
    </w:pPr>
    <w:rPr>
      <w:caps/>
    </w:rPr>
  </w:style>
  <w:style w:type="paragraph" w:customStyle="1" w:styleId="Tabletitle">
    <w:name w:val="Table_title"/>
    <w:basedOn w:val="TableNo"/>
    <w:next w:val="Tabletext"/>
    <w:rsid w:val="0071402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Figuretitle">
    <w:name w:val="Figure_title"/>
    <w:basedOn w:val="Tabletitle"/>
    <w:next w:val="Normalaftertitle"/>
    <w:rsid w:val="009D5955"/>
    <w:pPr>
      <w:spacing w:before="120" w:after="0"/>
    </w:pPr>
  </w:style>
  <w:style w:type="paragraph" w:customStyle="1" w:styleId="Figurewithouttitle">
    <w:name w:val="Figure_without_title"/>
    <w:basedOn w:val="Figure"/>
    <w:next w:val="Normal"/>
    <w:rsid w:val="00ED799B"/>
  </w:style>
  <w:style w:type="paragraph" w:customStyle="1" w:styleId="Headingi">
    <w:name w:val="Heading_i"/>
    <w:basedOn w:val="Heading3"/>
    <w:next w:val="Normal"/>
    <w:rsid w:val="00ED799B"/>
    <w:pPr>
      <w:spacing w:before="160"/>
      <w:ind w:left="0" w:firstLine="0"/>
      <w:outlineLvl w:val="0"/>
    </w:pPr>
    <w:rPr>
      <w:b w:val="0"/>
      <w:i/>
    </w:rPr>
  </w:style>
  <w:style w:type="character" w:styleId="PageNumber">
    <w:name w:val="page number"/>
    <w:basedOn w:val="DefaultParagraphFont"/>
    <w:rsid w:val="00732045"/>
    <w:rPr>
      <w:rFonts w:ascii="Calibri" w:hAnsi="Calibri"/>
    </w:rPr>
  </w:style>
  <w:style w:type="paragraph" w:customStyle="1" w:styleId="PartNo">
    <w:name w:val="Part_No"/>
    <w:basedOn w:val="AnnexNo"/>
    <w:next w:val="Parttitle"/>
    <w:rsid w:val="005C3890"/>
  </w:style>
  <w:style w:type="paragraph" w:customStyle="1" w:styleId="Partref">
    <w:name w:val="Part_ref"/>
    <w:basedOn w:val="Annexref"/>
    <w:next w:val="Normalaftertitle"/>
    <w:rsid w:val="005C3890"/>
  </w:style>
  <w:style w:type="paragraph" w:customStyle="1" w:styleId="Parttitle">
    <w:name w:val="Part_title"/>
    <w:basedOn w:val="Annextitle"/>
    <w:next w:val="Partref"/>
    <w:rsid w:val="005C3890"/>
  </w:style>
  <w:style w:type="paragraph" w:customStyle="1" w:styleId="RecNo">
    <w:name w:val="Rec_No"/>
    <w:basedOn w:val="Normal"/>
    <w:next w:val="Rectitle"/>
    <w:rsid w:val="0071402E"/>
    <w:pPr>
      <w:keepNext/>
      <w:keepLines/>
      <w:spacing w:before="720"/>
      <w:jc w:val="center"/>
    </w:pPr>
    <w:rPr>
      <w:caps/>
      <w:sz w:val="28"/>
    </w:rPr>
  </w:style>
  <w:style w:type="paragraph" w:customStyle="1" w:styleId="Rectitle">
    <w:name w:val="Rec_title"/>
    <w:basedOn w:val="Normal"/>
    <w:next w:val="Heading1"/>
    <w:rsid w:val="0071402E"/>
    <w:pPr>
      <w:keepNext/>
      <w:keepLines/>
      <w:jc w:val="center"/>
    </w:pPr>
    <w:rPr>
      <w:b/>
      <w:sz w:val="28"/>
    </w:rPr>
  </w:style>
  <w:style w:type="paragraph" w:customStyle="1" w:styleId="Recref">
    <w:name w:val="Rec_ref"/>
    <w:basedOn w:val="Rectitle"/>
    <w:next w:val="Recdate"/>
    <w:rsid w:val="005C3890"/>
    <w:rPr>
      <w:rFonts w:ascii="Times New Roman" w:hAnsi="Times New Roman"/>
      <w:b w:val="0"/>
      <w:sz w:val="24"/>
    </w:rPr>
  </w:style>
  <w:style w:type="paragraph" w:customStyle="1" w:styleId="Recdate">
    <w:name w:val="Rec_date"/>
    <w:basedOn w:val="Recref"/>
    <w:next w:val="Normalaftertitle"/>
    <w:rsid w:val="005C3890"/>
    <w:pPr>
      <w:jc w:val="right"/>
    </w:pPr>
    <w:rPr>
      <w:sz w:val="22"/>
    </w:rPr>
  </w:style>
  <w:style w:type="paragraph" w:customStyle="1" w:styleId="Questiondate">
    <w:name w:val="Question_date"/>
    <w:basedOn w:val="Recdate"/>
    <w:next w:val="Normalaftertitle"/>
    <w:rsid w:val="0071402E"/>
  </w:style>
  <w:style w:type="paragraph" w:customStyle="1" w:styleId="QuestionNo">
    <w:name w:val="Question_No"/>
    <w:basedOn w:val="RecNo"/>
    <w:next w:val="Questiontitle"/>
    <w:rsid w:val="0071402E"/>
  </w:style>
  <w:style w:type="paragraph" w:customStyle="1" w:styleId="Questionref">
    <w:name w:val="Question_ref"/>
    <w:basedOn w:val="Recref"/>
    <w:next w:val="Questiondate"/>
    <w:rsid w:val="005C3890"/>
  </w:style>
  <w:style w:type="paragraph" w:customStyle="1" w:styleId="Questiontitle">
    <w:name w:val="Question_title"/>
    <w:basedOn w:val="Rectitle"/>
    <w:next w:val="Questionref"/>
    <w:rsid w:val="005C3890"/>
  </w:style>
  <w:style w:type="paragraph" w:customStyle="1" w:styleId="Reftext">
    <w:name w:val="Ref_text"/>
    <w:basedOn w:val="Normal"/>
    <w:rsid w:val="00732045"/>
    <w:pPr>
      <w:ind w:left="567" w:hanging="567"/>
    </w:pPr>
  </w:style>
  <w:style w:type="paragraph" w:customStyle="1" w:styleId="Reftitle">
    <w:name w:val="Ref_title"/>
    <w:basedOn w:val="Normal"/>
    <w:next w:val="Reftext"/>
    <w:rsid w:val="00732045"/>
    <w:pPr>
      <w:spacing w:before="480"/>
      <w:jc w:val="center"/>
    </w:pPr>
    <w:rPr>
      <w:caps/>
      <w:sz w:val="28"/>
    </w:rPr>
  </w:style>
  <w:style w:type="paragraph" w:customStyle="1" w:styleId="Repdate">
    <w:name w:val="Rep_date"/>
    <w:basedOn w:val="Recdate"/>
    <w:next w:val="Normalaftertitle"/>
    <w:rsid w:val="005C3890"/>
  </w:style>
  <w:style w:type="paragraph" w:customStyle="1" w:styleId="RepNo">
    <w:name w:val="Rep_No"/>
    <w:basedOn w:val="RecNo"/>
    <w:next w:val="Reptitle"/>
    <w:rsid w:val="0071402E"/>
  </w:style>
  <w:style w:type="paragraph" w:customStyle="1" w:styleId="Repref">
    <w:name w:val="Rep_ref"/>
    <w:basedOn w:val="Recref"/>
    <w:next w:val="Repdate"/>
    <w:rsid w:val="005C3890"/>
  </w:style>
  <w:style w:type="paragraph" w:customStyle="1" w:styleId="Reptitle">
    <w:name w:val="Rep_title"/>
    <w:basedOn w:val="Rectitle"/>
    <w:next w:val="Repref"/>
    <w:rsid w:val="005C3890"/>
  </w:style>
  <w:style w:type="paragraph" w:customStyle="1" w:styleId="Resdate">
    <w:name w:val="Res_date"/>
    <w:basedOn w:val="Recdate"/>
    <w:next w:val="Normalaftertitle"/>
    <w:rsid w:val="005C3890"/>
  </w:style>
  <w:style w:type="paragraph" w:customStyle="1" w:styleId="ResNo">
    <w:name w:val="Res_No"/>
    <w:basedOn w:val="AnnexNo"/>
    <w:next w:val="Restitle"/>
    <w:rsid w:val="0071402E"/>
  </w:style>
  <w:style w:type="paragraph" w:customStyle="1" w:styleId="Resref">
    <w:name w:val="Res_ref"/>
    <w:basedOn w:val="Recref"/>
    <w:next w:val="Resdate"/>
    <w:rsid w:val="005C3890"/>
  </w:style>
  <w:style w:type="paragraph" w:customStyle="1" w:styleId="Restitle">
    <w:name w:val="Res_title"/>
    <w:basedOn w:val="Annextitle"/>
    <w:next w:val="Normal"/>
    <w:rsid w:val="00732045"/>
  </w:style>
  <w:style w:type="paragraph" w:customStyle="1" w:styleId="SectionNo">
    <w:name w:val="Section_No"/>
    <w:basedOn w:val="AnnexNo"/>
    <w:next w:val="Sectiontitle"/>
    <w:rsid w:val="0071402E"/>
  </w:style>
  <w:style w:type="paragraph" w:customStyle="1" w:styleId="Sectiontitle">
    <w:name w:val="Section_title"/>
    <w:basedOn w:val="Normal"/>
    <w:next w:val="Normalaftertitle"/>
    <w:rsid w:val="005C3890"/>
    <w:rPr>
      <w:sz w:val="28"/>
    </w:rPr>
  </w:style>
  <w:style w:type="paragraph" w:customStyle="1" w:styleId="SpecialFooter">
    <w:name w:val="Special Footer"/>
    <w:basedOn w:val="Footer"/>
    <w:rsid w:val="005C3890"/>
    <w:pPr>
      <w:tabs>
        <w:tab w:val="left" w:pos="567"/>
        <w:tab w:val="left" w:pos="1134"/>
        <w:tab w:val="left" w:pos="1701"/>
        <w:tab w:val="left" w:pos="2268"/>
        <w:tab w:val="left" w:pos="2835"/>
      </w:tabs>
      <w:jc w:val="both"/>
    </w:pPr>
    <w:rPr>
      <w:caps w:val="0"/>
      <w:noProof w:val="0"/>
    </w:rPr>
  </w:style>
  <w:style w:type="paragraph" w:customStyle="1" w:styleId="Tabletext">
    <w:name w:val="Table_text"/>
    <w:basedOn w:val="Normal"/>
    <w:rsid w:val="0071402E"/>
    <w:pPr>
      <w:tabs>
        <w:tab w:val="clear" w:pos="1134"/>
        <w:tab w:val="clear" w:pos="1701"/>
        <w:tab w:val="clear" w:pos="2268"/>
        <w:tab w:val="clear" w:pos="2835"/>
        <w:tab w:val="left" w:pos="284"/>
        <w:tab w:val="left" w:pos="851"/>
      </w:tabs>
      <w:spacing w:before="40" w:after="40"/>
    </w:pPr>
    <w:rPr>
      <w:sz w:val="22"/>
    </w:rPr>
  </w:style>
  <w:style w:type="paragraph" w:customStyle="1" w:styleId="Tablehead">
    <w:name w:val="Table_head"/>
    <w:basedOn w:val="Tabletext"/>
    <w:rsid w:val="0071402E"/>
    <w:pPr>
      <w:keepNext/>
      <w:keepLines/>
      <w:spacing w:before="80" w:after="80"/>
      <w:jc w:val="center"/>
    </w:pPr>
    <w:rPr>
      <w:b/>
    </w:rPr>
  </w:style>
  <w:style w:type="paragraph" w:customStyle="1" w:styleId="Tablelegend">
    <w:name w:val="Table_legend"/>
    <w:basedOn w:val="Tabletext"/>
    <w:rsid w:val="0071402E"/>
    <w:pPr>
      <w:ind w:left="284" w:hanging="284"/>
    </w:pPr>
    <w:rPr>
      <w:sz w:val="20"/>
    </w:rPr>
  </w:style>
  <w:style w:type="paragraph" w:customStyle="1" w:styleId="Tableref">
    <w:name w:val="Table_ref"/>
    <w:basedOn w:val="Normal"/>
    <w:next w:val="Tabletitle"/>
    <w:rsid w:val="0071402E"/>
    <w:pPr>
      <w:keepNext/>
      <w:keepLines/>
      <w:jc w:val="center"/>
    </w:pPr>
    <w:rPr>
      <w:sz w:val="20"/>
    </w:rPr>
  </w:style>
  <w:style w:type="paragraph" w:customStyle="1" w:styleId="Title2">
    <w:name w:val="Title 2"/>
    <w:basedOn w:val="Title1"/>
    <w:next w:val="Normalaftertitle"/>
    <w:rsid w:val="006B224B"/>
    <w:pPr>
      <w:keepNext/>
      <w:keepLines/>
      <w:spacing w:before="240"/>
    </w:pPr>
    <w:rPr>
      <w:b/>
      <w:caps w:val="0"/>
    </w:rPr>
  </w:style>
  <w:style w:type="paragraph" w:customStyle="1" w:styleId="Title3">
    <w:name w:val="Title 3"/>
    <w:basedOn w:val="Title2"/>
    <w:next w:val="Normalaftertitle"/>
    <w:rsid w:val="006B224B"/>
    <w:rPr>
      <w:b w:val="0"/>
      <w:caps/>
    </w:rPr>
  </w:style>
  <w:style w:type="paragraph" w:customStyle="1" w:styleId="Title4">
    <w:name w:val="Title 4"/>
    <w:basedOn w:val="Annextitle"/>
    <w:next w:val="Normal"/>
    <w:rsid w:val="00CE5172"/>
    <w:pPr>
      <w:spacing w:after="120"/>
    </w:pPr>
    <w:rPr>
      <w:b w:val="0"/>
    </w:rPr>
  </w:style>
  <w:style w:type="paragraph" w:customStyle="1" w:styleId="FigureNo">
    <w:name w:val="Figure_No"/>
    <w:basedOn w:val="Normal"/>
    <w:next w:val="Figuretitle"/>
    <w:rsid w:val="009D5955"/>
    <w:pPr>
      <w:keepNext/>
      <w:keepLines/>
      <w:spacing w:before="480" w:after="120"/>
      <w:jc w:val="center"/>
    </w:pPr>
    <w:rPr>
      <w:caps/>
    </w:rPr>
  </w:style>
  <w:style w:type="paragraph" w:customStyle="1" w:styleId="firstfooter0">
    <w:name w:val="firstfooter"/>
    <w:basedOn w:val="Normal"/>
    <w:rsid w:val="00732045"/>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Subtitle">
    <w:name w:val="Sub_title"/>
    <w:basedOn w:val="Normal"/>
    <w:qFormat/>
    <w:rsid w:val="00A51849"/>
    <w:pPr>
      <w:framePr w:hSpace="180" w:wrap="around" w:hAnchor="page" w:x="1821" w:y="2317"/>
      <w:spacing w:after="160"/>
    </w:pPr>
    <w:rPr>
      <w:sz w:val="34"/>
      <w:lang w:val="en-GB"/>
    </w:rPr>
  </w:style>
  <w:style w:type="character" w:customStyle="1" w:styleId="HeaderChar">
    <w:name w:val="Header Char"/>
    <w:basedOn w:val="DefaultParagraphFont"/>
    <w:link w:val="Header"/>
    <w:uiPriority w:val="99"/>
    <w:rsid w:val="00A51849"/>
    <w:rPr>
      <w:rFonts w:ascii="Calibri" w:hAnsi="Calibri"/>
      <w:sz w:val="18"/>
      <w:lang w:val="fr-FR" w:eastAsia="en-US"/>
    </w:rPr>
  </w:style>
  <w:style w:type="table" w:styleId="TableGrid">
    <w:name w:val="Table Grid"/>
    <w:basedOn w:val="TableNormal"/>
    <w:uiPriority w:val="39"/>
    <w:rsid w:val="00A51849"/>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647"/>
    <w:rPr>
      <w:rFonts w:ascii="Calibri" w:hAnsi="Calibri"/>
      <w:sz w:val="24"/>
      <w:lang w:val="fr-FR" w:eastAsia="en-US"/>
    </w:rPr>
  </w:style>
  <w:style w:type="character" w:styleId="PlaceholderText">
    <w:name w:val="Placeholder Text"/>
    <w:basedOn w:val="DefaultParagraphFont"/>
    <w:uiPriority w:val="99"/>
    <w:semiHidden/>
    <w:rsid w:val="00FC6D7D"/>
    <w:rPr>
      <w:color w:val="666666"/>
    </w:rPr>
  </w:style>
  <w:style w:type="character" w:styleId="UnresolvedMention">
    <w:name w:val="Unresolved Mention"/>
    <w:basedOn w:val="DefaultParagraphFont"/>
    <w:uiPriority w:val="99"/>
    <w:semiHidden/>
    <w:unhideWhenUsed/>
    <w:rsid w:val="00FC6D7D"/>
    <w:rPr>
      <w:color w:val="605E5C"/>
      <w:shd w:val="clear" w:color="auto" w:fill="E1DFDD"/>
    </w:rPr>
  </w:style>
  <w:style w:type="paragraph" w:customStyle="1" w:styleId="Referencetext">
    <w:name w:val="Reference_text"/>
    <w:basedOn w:val="Normal"/>
    <w:rsid w:val="00CE5172"/>
    <w:pPr>
      <w:framePr w:hSpace="181" w:wrap="around" w:vAnchor="page" w:hAnchor="page" w:x="1589" w:y="2314"/>
      <w:spacing w:after="160"/>
    </w:pPr>
    <w:rPr>
      <w:i/>
      <w:iCs/>
      <w:sz w:val="22"/>
      <w:szCs w:val="22"/>
    </w:rPr>
  </w:style>
  <w:style w:type="paragraph" w:styleId="ListParagraph">
    <w:name w:val="List Paragraph"/>
    <w:basedOn w:val="Normal"/>
    <w:uiPriority w:val="34"/>
    <w:qFormat/>
    <w:rsid w:val="00A9680D"/>
    <w:pPr>
      <w:ind w:left="720"/>
      <w:contextualSpacing/>
      <w:textAlignment w:val="auto"/>
    </w:pPr>
    <w:rPr>
      <w:lang w:val="en-GB"/>
    </w:rPr>
  </w:style>
  <w:style w:type="table" w:styleId="GridTable1Light-Accent1">
    <w:name w:val="Grid Table 1 Light Accent 1"/>
    <w:basedOn w:val="TableNormal"/>
    <w:uiPriority w:val="46"/>
    <w:rsid w:val="00A9680D"/>
    <w:rPr>
      <w:rFonts w:asciiTheme="minorHAnsi" w:hAnsiTheme="minorHAnsi"/>
      <w:kern w:val="2"/>
      <w:sz w:val="24"/>
      <w:szCs w:val="24"/>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3-CL-C-0107/fr" TargetMode="External"/><Relationship Id="rId18" Type="http://schemas.openxmlformats.org/officeDocument/2006/relationships/hyperlink" Target="https://www.itu.int/md/S24-CL-C-0086/fr" TargetMode="External"/><Relationship Id="rId26" Type="http://schemas.openxmlformats.org/officeDocument/2006/relationships/hyperlink" Target="https://www.itu.int/md/S26-CL-C-0120/fr" TargetMode="External"/><Relationship Id="rId3" Type="http://schemas.openxmlformats.org/officeDocument/2006/relationships/styles" Target="styles.xml"/><Relationship Id="rId21" Type="http://schemas.openxmlformats.org/officeDocument/2006/relationships/hyperlink" Target="https://www.itu.int/md/S24-SG-CIR-0011/f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md/S23-CL-C-0084/fr" TargetMode="External"/><Relationship Id="rId17" Type="http://schemas.openxmlformats.org/officeDocument/2006/relationships/hyperlink" Target="https://www.itu.int/md/S24-CL-C-0004/fr" TargetMode="External"/><Relationship Id="rId25" Type="http://schemas.openxmlformats.org/officeDocument/2006/relationships/hyperlink" Target="https://www.itu.int/md/S26-CL-C-0004/f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md/S23-SG-CIR-0053/fr" TargetMode="External"/><Relationship Id="rId20" Type="http://schemas.openxmlformats.org/officeDocument/2006/relationships/hyperlink" Target="https://www.itu.int/md/S24-CL-C-0113/f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3-CL-C-0004/fr" TargetMode="External"/><Relationship Id="rId24" Type="http://schemas.openxmlformats.org/officeDocument/2006/relationships/hyperlink" Target="https://www.itu.int/md/S25-SG-CIR-0048/fr" TargetMode="External"/><Relationship Id="rId32" Type="http://schemas.openxmlformats.org/officeDocument/2006/relationships/hyperlink" Target="mailto:ppelections@itu.int" TargetMode="External"/><Relationship Id="rId5" Type="http://schemas.openxmlformats.org/officeDocument/2006/relationships/webSettings" Target="webSettings.xml"/><Relationship Id="rId15" Type="http://schemas.openxmlformats.org/officeDocument/2006/relationships/hyperlink" Target="https://www.itu.int/md/S23-SG-CIR-0044/fr" TargetMode="External"/><Relationship Id="rId23" Type="http://schemas.openxmlformats.org/officeDocument/2006/relationships/hyperlink" Target="https://www.itu.int/md/S25-SG-CIR-0047/fr" TargetMode="External"/><Relationship Id="rId28" Type="http://schemas.openxmlformats.org/officeDocument/2006/relationships/footer" Target="footer1.xml"/><Relationship Id="rId10" Type="http://schemas.openxmlformats.org/officeDocument/2006/relationships/hyperlink" Target="https://www.itu.int/md/S23-C23ADD-C-0014/fr" TargetMode="External"/><Relationship Id="rId19" Type="http://schemas.openxmlformats.org/officeDocument/2006/relationships/hyperlink" Target="https://www.itu.int/md/S24-CL-INF-0013/fr"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tu.int/en/council/Documents/basic-texts-2023/RES-077-F.pdf" TargetMode="External"/><Relationship Id="rId14" Type="http://schemas.openxmlformats.org/officeDocument/2006/relationships/hyperlink" Target="https://www.itu.int/md/S23-C23ADD-C-0004/fr" TargetMode="External"/><Relationship Id="rId22" Type="http://schemas.openxmlformats.org/officeDocument/2006/relationships/hyperlink" Target="https://www.itu.int/md/S25-CL-C-0004/fr"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hyperlink" Target="https://www.itu.int/en/council/Documents/basic-texts/Convention-F.pdf"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GS\PF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ED18C-09F6-4192-BC84-E58410D0B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PF_Council26EXT.dotx</Template>
  <TotalTime>7</TotalTime>
  <Pages>11</Pages>
  <Words>3682</Words>
  <Characters>20990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Secrétariat général - Pool</Manager>
  <Company>Union internationale des télécommunications (UIT)</Company>
  <LinksUpToDate>false</LinksUpToDate>
  <CharactersWithSpaces>24623</CharactersWithSpaces>
  <SharedDoc>false</SharedDoc>
  <HLinks>
    <vt:vector size="6" baseType="variant">
      <vt:variant>
        <vt:i4>3342371</vt:i4>
      </vt:variant>
      <vt:variant>
        <vt:i4>24</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Travaux préparatoires en vue de la Conférence de plénipotentiaires de 2026</dc:title>
  <dc:subject>Session extraordinaire du Conseil 2026 de l'UIT</dc:subject>
  <cp:keywords>C26-EXT; C26; C2026; Council 2026; PP26</cp:keywords>
  <dc:description/>
  <cp:lastPrinted>2000-07-18T08:55:00Z</cp:lastPrinted>
  <dcterms:created xsi:type="dcterms:W3CDTF">2026-08-19T13:51:00Z</dcterms:created>
  <dcterms:modified xsi:type="dcterms:W3CDTF">2026-08-19T14:30:00Z</dcterms:modified>
  <cp:category>Document de conférence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C17/-F</vt:lpwstr>
  </property>
  <property fmtid="{D5CDD505-2E9C-101B-9397-08002B2CF9AE}" pid="3" name="Docdate">
    <vt:lpwstr>janvier 2017</vt:lpwstr>
  </property>
  <property fmtid="{D5CDD505-2E9C-101B-9397-08002B2CF9AE}" pid="4" name="Docorlang">
    <vt:lpwstr>Original: anglais</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3b117b70c20e9b2783321a6b7cab6c2f080bb257cb74c6787543e88ec12dc3bd</vt:lpwstr>
  </property>
</Properties>
</file>