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4B51C8" w14:paraId="21464EE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66455CA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23BF583" w14:textId="66DD897B" w:rsidR="00AD3606" w:rsidRPr="00301AEE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A34013">
              <w:rPr>
                <w:b/>
                <w:lang w:val="fr-CH"/>
              </w:rPr>
              <w:t>IEG-WTPF-26</w:t>
            </w:r>
            <w:r w:rsidR="00524E9C">
              <w:rPr>
                <w:b/>
                <w:lang w:val="fr-CH"/>
              </w:rPr>
              <w:t>-</w:t>
            </w:r>
            <w:r w:rsidR="003354ED">
              <w:rPr>
                <w:b/>
                <w:lang w:val="fr-CH"/>
              </w:rPr>
              <w:t>3</w:t>
            </w:r>
            <w:r w:rsidR="00F66A26">
              <w:rPr>
                <w:b/>
                <w:lang w:val="fr-FR"/>
              </w:rPr>
              <w:t>/</w:t>
            </w:r>
            <w:r w:rsidR="00237222">
              <w:rPr>
                <w:b/>
                <w:lang w:val="fr-FR"/>
              </w:rPr>
              <w:t>21</w:t>
            </w:r>
          </w:p>
        </w:tc>
      </w:tr>
      <w:tr w:rsidR="00AD3606" w:rsidRPr="00147C54" w14:paraId="6F2F1E77" w14:textId="77777777" w:rsidTr="00AD3606">
        <w:trPr>
          <w:cantSplit/>
        </w:trPr>
        <w:tc>
          <w:tcPr>
            <w:tcW w:w="3969" w:type="dxa"/>
            <w:vMerge/>
          </w:tcPr>
          <w:p w14:paraId="214CA844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DFF7B9" w14:textId="1A07D227" w:rsidR="00AD3606" w:rsidRPr="00147C54" w:rsidRDefault="00237222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19 September 2025</w:t>
            </w:r>
          </w:p>
        </w:tc>
      </w:tr>
      <w:tr w:rsidR="00AD3606" w:rsidRPr="00147C54" w14:paraId="2CAF110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DB0A626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CE307CC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3ED256CD" w14:textId="77777777" w:rsidTr="00AD3606">
        <w:trPr>
          <w:cantSplit/>
          <w:trHeight w:val="23"/>
        </w:trPr>
        <w:tc>
          <w:tcPr>
            <w:tcW w:w="3969" w:type="dxa"/>
          </w:tcPr>
          <w:p w14:paraId="532CED05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D8DAA7C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3681B2A7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658C4C6" w14:textId="2F5D3AB1" w:rsidR="00AD3606" w:rsidRPr="00237222" w:rsidRDefault="00A34013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237222">
              <w:t>Report</w:t>
            </w:r>
            <w:r w:rsidR="00EA2E93" w:rsidRPr="00237222">
              <w:t xml:space="preserve"> by the </w:t>
            </w:r>
            <w:r w:rsidR="00237222" w:rsidRPr="00237222">
              <w:t>Chair of IEG-WTPF</w:t>
            </w:r>
          </w:p>
        </w:tc>
      </w:tr>
      <w:tr w:rsidR="00AD3606" w:rsidRPr="00147C54" w14:paraId="6EAF8DEF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8AF7887" w14:textId="46537A7D" w:rsidR="00AD3606" w:rsidRPr="00237222" w:rsidRDefault="00237222" w:rsidP="00237222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237222">
              <w:rPr>
                <w:lang w:val="en-TT"/>
              </w:rPr>
              <w:t>PROPOSED CHAPEAU OPINION</w:t>
            </w:r>
          </w:p>
        </w:tc>
      </w:tr>
      <w:tr w:rsidR="00AD3606" w:rsidRPr="00147C54" w14:paraId="289E30A5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FE5012F" w14:textId="77777777" w:rsidR="00AD3606" w:rsidRPr="00237222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37222">
              <w:rPr>
                <w:b/>
                <w:bCs/>
                <w:sz w:val="26"/>
                <w:szCs w:val="26"/>
              </w:rPr>
              <w:t>Purpose</w:t>
            </w:r>
          </w:p>
          <w:p w14:paraId="3D3C67FA" w14:textId="77777777" w:rsidR="00237222" w:rsidRDefault="00237222" w:rsidP="00237222">
            <w:r w:rsidRPr="008920CB">
              <w:t xml:space="preserve">This document provides a </w:t>
            </w:r>
            <w:r w:rsidRPr="008920CB">
              <w:rPr>
                <w:i/>
                <w:iCs/>
              </w:rPr>
              <w:t>Chapeau Opinion</w:t>
            </w:r>
            <w:r w:rsidRPr="008920CB">
              <w:t xml:space="preserve"> prepared by the Chair of the Informal Expert Group. The opinion addresses the five thematic draft Opinions under the agreed theme for WTPF-26, </w:t>
            </w:r>
            <w:r w:rsidRPr="008920CB">
              <w:rPr>
                <w:i/>
                <w:iCs/>
              </w:rPr>
              <w:t>“Accelerating an inclusive, sustainable, resilient, and innovative digital future.”</w:t>
            </w:r>
            <w:r w:rsidRPr="008920CB">
              <w:t xml:space="preserve"> It reflects their interlinkages and sets them within a single context for consideration by the Informal Expert Group.</w:t>
            </w:r>
          </w:p>
          <w:p w14:paraId="516DA734" w14:textId="77777777" w:rsidR="00237222" w:rsidRPr="008920CB" w:rsidRDefault="00237222" w:rsidP="00237222">
            <w:r w:rsidRPr="008920CB">
              <w:t xml:space="preserve">The Chapeau Opinion highlights the </w:t>
            </w:r>
            <w:r>
              <w:t>connections</w:t>
            </w:r>
            <w:r w:rsidRPr="008920CB">
              <w:t xml:space="preserve"> among the five themes and underscores the importance of addressing them in an integrated manner to support inclusive and forward-looking digital policy discussions at WTPF-26.</w:t>
            </w:r>
          </w:p>
          <w:p w14:paraId="76B4575F" w14:textId="77777777" w:rsidR="00237222" w:rsidRPr="008920CB" w:rsidRDefault="00237222" w:rsidP="0023722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hyperlink w:anchor="BridDigDivide" w:history="1">
              <w:r w:rsidRPr="008920CB">
                <w:rPr>
                  <w:lang w:val="en-GB"/>
                </w:rPr>
                <w:t>Bridging digital divides, particularly on gender and age as well as skills and connectivity</w:t>
              </w:r>
            </w:hyperlink>
          </w:p>
          <w:p w14:paraId="7F88BD69" w14:textId="77777777" w:rsidR="00237222" w:rsidRPr="008920CB" w:rsidRDefault="00237222" w:rsidP="0023722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hyperlink w:anchor="GreeningDigitTransf" w:history="1">
              <w:r w:rsidRPr="008920CB">
                <w:rPr>
                  <w:lang w:val="en-GB"/>
                </w:rPr>
                <w:t>Green digital transformation: climate change and environmental sustainability</w:t>
              </w:r>
            </w:hyperlink>
          </w:p>
          <w:p w14:paraId="3BD7668C" w14:textId="77777777" w:rsidR="00237222" w:rsidRPr="008920CB" w:rsidRDefault="00237222" w:rsidP="0023722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hyperlink w:anchor="Resilience" w:history="1">
              <w:r w:rsidRPr="008920CB">
                <w:rPr>
                  <w:lang w:val="en-GB"/>
                </w:rPr>
                <w:t>Resilience of telecommunication/ICTs</w:t>
              </w:r>
            </w:hyperlink>
          </w:p>
          <w:p w14:paraId="5185D702" w14:textId="77777777" w:rsidR="00237222" w:rsidRPr="008920CB" w:rsidRDefault="00237222" w:rsidP="00237222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hyperlink w:anchor="SpaceConnect" w:history="1">
              <w:r w:rsidRPr="008920CB">
                <w:rPr>
                  <w:lang w:val="en-GB"/>
                </w:rPr>
                <w:t>Space connectivity</w:t>
              </w:r>
            </w:hyperlink>
          </w:p>
          <w:p w14:paraId="6F6B4F8C" w14:textId="169652E0" w:rsidR="00AD3606" w:rsidRPr="00237222" w:rsidRDefault="00237222" w:rsidP="00237222">
            <w:hyperlink w:anchor="StrengtheningICT" w:history="1">
              <w:r w:rsidRPr="008920CB">
                <w:t>Strengthening ICT-centric innovation ecosystems and entrepreneurship</w:t>
              </w:r>
            </w:hyperlink>
          </w:p>
          <w:p w14:paraId="02D7A825" w14:textId="77777777" w:rsidR="00AD3606" w:rsidRPr="00237222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37222">
              <w:rPr>
                <w:b/>
                <w:bCs/>
                <w:sz w:val="26"/>
                <w:szCs w:val="26"/>
              </w:rPr>
              <w:t>Action required</w:t>
            </w:r>
          </w:p>
          <w:p w14:paraId="5209D599" w14:textId="77777777" w:rsidR="00237222" w:rsidRPr="00913683" w:rsidRDefault="00237222" w:rsidP="00237222">
            <w:pPr>
              <w:spacing w:after="120"/>
            </w:pPr>
            <w:r w:rsidRPr="00913683">
              <w:t>The Informal Expert Group on WTPF-26 is invited to:</w:t>
            </w:r>
          </w:p>
          <w:p w14:paraId="5E5422BA" w14:textId="77777777" w:rsidR="00237222" w:rsidRDefault="00237222" w:rsidP="00237222">
            <w:pPr>
              <w:pStyle w:val="ListParagraph"/>
              <w:numPr>
                <w:ilvl w:val="0"/>
                <w:numId w:val="17"/>
              </w:numPr>
            </w:pPr>
            <w:r w:rsidRPr="008920CB">
              <w:rPr>
                <w:b/>
                <w:bCs/>
              </w:rPr>
              <w:t>Consider</w:t>
            </w:r>
            <w:r>
              <w:t xml:space="preserve"> and </w:t>
            </w:r>
            <w:r w:rsidRPr="008920CB">
              <w:rPr>
                <w:b/>
                <w:bCs/>
              </w:rPr>
              <w:t>Discuss</w:t>
            </w:r>
            <w:r>
              <w:t xml:space="preserve"> this Chapeau Opinion as an overview that frames the thematic draft </w:t>
            </w:r>
            <w:proofErr w:type="gramStart"/>
            <w:r>
              <w:t>Opinions;</w:t>
            </w:r>
            <w:proofErr w:type="gramEnd"/>
          </w:p>
          <w:p w14:paraId="265A57B4" w14:textId="5CC512BC" w:rsidR="00EA2E93" w:rsidRPr="00237222" w:rsidRDefault="00237222" w:rsidP="00237222">
            <w:pPr>
              <w:spacing w:before="160"/>
              <w:rPr>
                <w:b/>
                <w:bCs/>
                <w:szCs w:val="24"/>
              </w:rPr>
            </w:pPr>
            <w:r w:rsidRPr="008920CB">
              <w:rPr>
                <w:b/>
                <w:bCs/>
              </w:rPr>
              <w:t>Provide comments</w:t>
            </w:r>
            <w:r>
              <w:t xml:space="preserve"> and suggestions to guide the Chair in refining the text ahead of the next deadline for written inputs.</w:t>
            </w:r>
          </w:p>
          <w:p w14:paraId="72E35A13" w14:textId="77777777" w:rsidR="00AD3606" w:rsidRPr="00237222" w:rsidRDefault="00CD3C91" w:rsidP="00CD3C91">
            <w:r w:rsidRPr="00237222">
              <w:t>_______________</w:t>
            </w:r>
          </w:p>
          <w:p w14:paraId="170378E6" w14:textId="77777777" w:rsidR="00AD3606" w:rsidRPr="00237222" w:rsidRDefault="00AD3606" w:rsidP="00663050">
            <w:pPr>
              <w:spacing w:before="160"/>
              <w:rPr>
                <w:sz w:val="26"/>
                <w:szCs w:val="26"/>
              </w:rPr>
            </w:pPr>
            <w:r w:rsidRPr="00237222">
              <w:rPr>
                <w:b/>
                <w:bCs/>
                <w:sz w:val="26"/>
                <w:szCs w:val="26"/>
              </w:rPr>
              <w:t>References</w:t>
            </w:r>
            <w:r w:rsidR="00301AEE" w:rsidRPr="00237222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B41DBE7" w14:textId="2C756C70" w:rsidR="00AD3606" w:rsidRPr="00237222" w:rsidRDefault="00A34013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8" w:history="1">
              <w:r w:rsidRPr="00237222">
                <w:rPr>
                  <w:rStyle w:val="Hyperlink"/>
                  <w:i/>
                  <w:iCs/>
                  <w:sz w:val="22"/>
                  <w:szCs w:val="22"/>
                </w:rPr>
                <w:t>IEG-WTPF-26 webpage</w:t>
              </w:r>
            </w:hyperlink>
          </w:p>
        </w:tc>
      </w:tr>
    </w:tbl>
    <w:p w14:paraId="57BCEA01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056A0DD2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27CEF195" w14:textId="3A2CDB58" w:rsidR="00237222" w:rsidRPr="00B462F0" w:rsidRDefault="00237222" w:rsidP="00237222">
      <w:pPr>
        <w:spacing w:after="120"/>
        <w:outlineLvl w:val="0"/>
        <w:rPr>
          <w:rFonts w:eastAsiaTheme="minorEastAsia" w:cs="Calibri"/>
          <w:b/>
          <w:lang w:eastAsia="zh-CN"/>
        </w:rPr>
      </w:pPr>
      <w:r w:rsidRPr="00B462F0">
        <w:rPr>
          <w:rFonts w:eastAsiaTheme="minorEastAsia" w:cs="Calibri"/>
          <w:b/>
          <w:lang w:eastAsia="zh-CN"/>
        </w:rPr>
        <w:lastRenderedPageBreak/>
        <w:t>DRAFT OPINION</w:t>
      </w:r>
    </w:p>
    <w:p w14:paraId="4916A863" w14:textId="77777777" w:rsidR="00237222" w:rsidRPr="00B462F0" w:rsidRDefault="00237222" w:rsidP="00237222">
      <w:pPr>
        <w:spacing w:before="240" w:after="120"/>
        <w:rPr>
          <w:rFonts w:cs="Calibri"/>
        </w:rPr>
      </w:pPr>
      <w:r w:rsidRPr="00B462F0">
        <w:rPr>
          <w:rFonts w:cs="Calibri"/>
          <w:b/>
          <w:bCs/>
        </w:rPr>
        <w:t>Accelerating an Inclusive, Sustainable, Resilient, and Innovative Digital Future</w:t>
      </w:r>
    </w:p>
    <w:p w14:paraId="0546ADD8" w14:textId="77777777" w:rsidR="00237222" w:rsidRPr="00B462F0" w:rsidRDefault="00237222" w:rsidP="00237222">
      <w:pPr>
        <w:pStyle w:val="Normalaftertitle"/>
        <w:spacing w:before="120" w:after="120"/>
        <w:rPr>
          <w:rFonts w:eastAsiaTheme="minorEastAsia" w:cs="Calibri"/>
          <w:szCs w:val="24"/>
        </w:rPr>
      </w:pPr>
      <w:r w:rsidRPr="00B462F0">
        <w:rPr>
          <w:rFonts w:eastAsiaTheme="minorEastAsia" w:cs="Calibri"/>
          <w:szCs w:val="24"/>
        </w:rPr>
        <w:t>The Seventh World Telecommunication/ICT Policy Forum (Nassau, 2026),</w:t>
      </w:r>
    </w:p>
    <w:p w14:paraId="0E2AF029" w14:textId="32E55F59" w:rsidR="00237222" w:rsidRPr="00B462F0" w:rsidRDefault="00237222" w:rsidP="00237222">
      <w:pPr>
        <w:spacing w:before="360" w:after="120"/>
        <w:rPr>
          <w:rFonts w:cs="Calibri"/>
          <w:b/>
          <w:bCs/>
        </w:rPr>
      </w:pPr>
      <w:r w:rsidRPr="00B462F0">
        <w:rPr>
          <w:rFonts w:cs="Calibri"/>
          <w:b/>
          <w:bCs/>
        </w:rPr>
        <w:t>Recalling</w:t>
      </w:r>
    </w:p>
    <w:p w14:paraId="204C17A8" w14:textId="77777777" w:rsidR="00237222" w:rsidRDefault="00237222" w:rsidP="003F225E">
      <w:pPr>
        <w:pStyle w:val="ListParagraph"/>
        <w:numPr>
          <w:ilvl w:val="0"/>
          <w:numId w:val="19"/>
        </w:numPr>
        <w:spacing w:before="240" w:after="120" w:line="240" w:lineRule="auto"/>
        <w:ind w:left="426" w:hanging="426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that the World Telecommunications/ICT Policy Forum (WTPF), established by the Plenipotentiary Conference (Kyoto, 1994), and successfully convened in 1996, 1998, 2001, 2009, 2013 and 2021, has provided a venue for ITU Member States and Sector Members to exchange views and information on emerging policy issues arising from the changing telecommunication/ICT environment, producing non-binding opinions that serve to create a shared vision among global telecommunications/ICT policy-makers;</w:t>
      </w:r>
    </w:p>
    <w:p w14:paraId="4DB2A429" w14:textId="77777777" w:rsidR="00237222" w:rsidRPr="00EC7605" w:rsidRDefault="00237222" w:rsidP="003F225E">
      <w:pPr>
        <w:pStyle w:val="ListParagraph"/>
        <w:numPr>
          <w:ilvl w:val="0"/>
          <w:numId w:val="19"/>
        </w:numPr>
        <w:spacing w:before="240" w:after="120" w:line="240" w:lineRule="auto"/>
        <w:ind w:left="426" w:hanging="426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</w:rPr>
        <w:t>Resolution 2 (Rev. Bucharest, 2022) calling for the organization of a World Telecommunication/Information and Communication Technology Policy Foru</w:t>
      </w:r>
      <w:r>
        <w:rPr>
          <w:rFonts w:ascii="Calibri" w:hAnsi="Calibri" w:cs="Calibri"/>
        </w:rPr>
        <w:t>m</w:t>
      </w:r>
      <w:r w:rsidRPr="00B462F0">
        <w:rPr>
          <w:rFonts w:ascii="Calibri" w:hAnsi="Calibri" w:cs="Calibri"/>
        </w:rPr>
        <w:t xml:space="preserve"> in 2026</w:t>
      </w:r>
      <w:r>
        <w:rPr>
          <w:rFonts w:ascii="Calibri" w:hAnsi="Calibri" w:cs="Calibri"/>
        </w:rPr>
        <w:t xml:space="preserve"> (WTPF-26</w:t>
      </w:r>
      <w:proofErr w:type="gramStart"/>
      <w:r>
        <w:rPr>
          <w:rFonts w:ascii="Calibri" w:hAnsi="Calibri" w:cs="Calibri"/>
        </w:rPr>
        <w:t>)</w:t>
      </w:r>
      <w:r w:rsidRPr="00B462F0">
        <w:rPr>
          <w:rFonts w:ascii="Calibri" w:hAnsi="Calibri" w:cs="Calibri"/>
        </w:rPr>
        <w:t>;</w:t>
      </w:r>
      <w:proofErr w:type="gramEnd"/>
    </w:p>
    <w:p w14:paraId="0150FC89" w14:textId="54509808" w:rsidR="00237222" w:rsidRPr="00B462F0" w:rsidRDefault="00237222" w:rsidP="003F225E">
      <w:pPr>
        <w:pStyle w:val="ListParagraph"/>
        <w:numPr>
          <w:ilvl w:val="0"/>
          <w:numId w:val="19"/>
        </w:numPr>
        <w:spacing w:before="240" w:after="120" w:line="240" w:lineRule="auto"/>
        <w:ind w:left="426" w:hanging="426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Decision 641 (C24), that called for the ITU Secretary-General to convene a balanced, informal group of experts to assist with the preparation</w:t>
      </w:r>
      <w:r>
        <w:rPr>
          <w:rFonts w:ascii="Calibri" w:hAnsi="Calibri" w:cs="Calibri"/>
          <w:lang w:val="en-GB"/>
        </w:rPr>
        <w:t xml:space="preserve"> for</w:t>
      </w:r>
      <w:r w:rsidRPr="00B462F0">
        <w:rPr>
          <w:rFonts w:ascii="Calibri" w:hAnsi="Calibri" w:cs="Calibri"/>
          <w:lang w:val="en-GB"/>
        </w:rPr>
        <w:t xml:space="preserve"> (WTPF-26), under the theme "Accelerating an inclusive, sustainable, resilient, and innovative digital future</w:t>
      </w:r>
      <w:proofErr w:type="gramStart"/>
      <w:r w:rsidRPr="00B462F0">
        <w:rPr>
          <w:rFonts w:ascii="Calibri" w:hAnsi="Calibri" w:cs="Calibri"/>
          <w:lang w:val="en-GB"/>
        </w:rPr>
        <w:t>";</w:t>
      </w:r>
      <w:proofErr w:type="gramEnd"/>
      <w:r w:rsidRPr="00B462F0">
        <w:rPr>
          <w:rFonts w:ascii="Calibri" w:hAnsi="Calibri" w:cs="Calibri"/>
          <w:lang w:val="en-GB"/>
        </w:rPr>
        <w:t xml:space="preserve"> discussing challenges and opportunities to address the following</w:t>
      </w:r>
      <w:r>
        <w:rPr>
          <w:rFonts w:ascii="Calibri" w:hAnsi="Calibri" w:cs="Calibri"/>
          <w:lang w:val="en-GB"/>
        </w:rPr>
        <w:t xml:space="preserve"> critical issues</w:t>
      </w:r>
      <w:r w:rsidRPr="00B462F0">
        <w:rPr>
          <w:rFonts w:ascii="Calibri" w:hAnsi="Calibri" w:cs="Calibri"/>
          <w:lang w:val="en-GB"/>
        </w:rPr>
        <w:t>:</w:t>
      </w:r>
    </w:p>
    <w:p w14:paraId="1AF4C9DF" w14:textId="77777777" w:rsidR="00237222" w:rsidRPr="00B462F0" w:rsidRDefault="00237222" w:rsidP="00237222">
      <w:pPr>
        <w:pStyle w:val="ListParagraph"/>
        <w:numPr>
          <w:ilvl w:val="0"/>
          <w:numId w:val="20"/>
        </w:numPr>
        <w:spacing w:before="120" w:after="60" w:line="240" w:lineRule="auto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bridging digital divides</w:t>
      </w:r>
    </w:p>
    <w:p w14:paraId="3BF12909" w14:textId="77777777" w:rsidR="00237222" w:rsidRPr="00B462F0" w:rsidRDefault="00237222" w:rsidP="00237222">
      <w:pPr>
        <w:pStyle w:val="ListParagraph"/>
        <w:numPr>
          <w:ilvl w:val="0"/>
          <w:numId w:val="20"/>
        </w:numPr>
        <w:spacing w:before="60" w:after="60" w:line="240" w:lineRule="auto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green digital transformation: climate change and environmental sustainability</w:t>
      </w:r>
    </w:p>
    <w:p w14:paraId="2DC00604" w14:textId="77777777" w:rsidR="00237222" w:rsidRPr="00B462F0" w:rsidRDefault="00237222" w:rsidP="00237222">
      <w:pPr>
        <w:pStyle w:val="ListParagraph"/>
        <w:numPr>
          <w:ilvl w:val="0"/>
          <w:numId w:val="20"/>
        </w:numPr>
        <w:spacing w:before="60" w:after="60" w:line="240" w:lineRule="auto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resilience of telecommunication/ICTs</w:t>
      </w:r>
    </w:p>
    <w:p w14:paraId="3AB38B0A" w14:textId="77777777" w:rsidR="00237222" w:rsidRPr="00B462F0" w:rsidRDefault="00237222" w:rsidP="00237222">
      <w:pPr>
        <w:pStyle w:val="ListParagraph"/>
        <w:numPr>
          <w:ilvl w:val="0"/>
          <w:numId w:val="20"/>
        </w:numPr>
        <w:spacing w:before="60" w:after="60" w:line="240" w:lineRule="auto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space connectivity</w:t>
      </w:r>
    </w:p>
    <w:p w14:paraId="14E9D255" w14:textId="77777777" w:rsidR="00237222" w:rsidRPr="00B462F0" w:rsidRDefault="00237222" w:rsidP="00237222">
      <w:pPr>
        <w:pStyle w:val="ListParagraph"/>
        <w:numPr>
          <w:ilvl w:val="0"/>
          <w:numId w:val="20"/>
        </w:numPr>
        <w:spacing w:before="60" w:after="120" w:line="240" w:lineRule="auto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>strengthening ICT-centric innovation ecosystems and entrepreneurship</w:t>
      </w:r>
    </w:p>
    <w:p w14:paraId="72F9EDD7" w14:textId="77777777" w:rsidR="00237222" w:rsidRPr="00B462F0" w:rsidRDefault="00237222" w:rsidP="003F225E">
      <w:pPr>
        <w:pStyle w:val="ListParagraph"/>
        <w:numPr>
          <w:ilvl w:val="0"/>
          <w:numId w:val="19"/>
        </w:numPr>
        <w:spacing w:before="360" w:after="120" w:line="240" w:lineRule="auto"/>
        <w:ind w:left="426" w:hanging="426"/>
        <w:contextualSpacing w:val="0"/>
        <w:rPr>
          <w:rFonts w:ascii="Calibri" w:hAnsi="Calibri" w:cs="Calibri"/>
          <w:lang w:val="en-GB"/>
        </w:rPr>
      </w:pPr>
      <w:r w:rsidRPr="00B462F0">
        <w:rPr>
          <w:rFonts w:ascii="Calibri" w:hAnsi="Calibri" w:cs="Calibri"/>
          <w:lang w:val="en-GB"/>
        </w:rPr>
        <w:t xml:space="preserve">Decision 641 (C25) to convene the seventh WTPF (WTPF-26) in the Bahamas from 9 to 11 June 2026, with a Strategic Dialogue hosted on 8 June </w:t>
      </w:r>
      <w:proofErr w:type="gramStart"/>
      <w:r w:rsidRPr="00B462F0">
        <w:rPr>
          <w:rFonts w:ascii="Calibri" w:hAnsi="Calibri" w:cs="Calibri"/>
          <w:lang w:val="en-GB"/>
        </w:rPr>
        <w:t>2026;</w:t>
      </w:r>
      <w:proofErr w:type="gramEnd"/>
    </w:p>
    <w:p w14:paraId="79264D55" w14:textId="77777777" w:rsidR="00237222" w:rsidRPr="00B462F0" w:rsidRDefault="00237222" w:rsidP="00237222">
      <w:pPr>
        <w:spacing w:before="360" w:after="120"/>
        <w:rPr>
          <w:rFonts w:cs="Calibri"/>
        </w:rPr>
      </w:pPr>
      <w:r w:rsidRPr="00B462F0">
        <w:rPr>
          <w:rFonts w:cs="Calibri"/>
          <w:b/>
          <w:bCs/>
        </w:rPr>
        <w:t>considering</w:t>
      </w:r>
    </w:p>
    <w:p w14:paraId="4D71BC60" w14:textId="77777777" w:rsidR="00237222" w:rsidRPr="005074FE" w:rsidRDefault="00237222" w:rsidP="001777BC">
      <w:pPr>
        <w:pStyle w:val="ListParagraph"/>
        <w:numPr>
          <w:ilvl w:val="0"/>
          <w:numId w:val="21"/>
        </w:numPr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5074FE">
        <w:rPr>
          <w:rFonts w:ascii="Calibri" w:hAnsi="Calibri" w:cs="Calibri"/>
        </w:rPr>
        <w:t xml:space="preserve">the need for global cooperation in the development of policies that ensure everyone can access and benefit from telecommunications/ICT technologies, while safeguarding social, economic, and environmental sustainability, and the need to foster innovation and resilience so that </w:t>
      </w:r>
      <w:r>
        <w:rPr>
          <w:rFonts w:ascii="Calibri" w:hAnsi="Calibri" w:cs="Calibri"/>
        </w:rPr>
        <w:t xml:space="preserve">these technologies </w:t>
      </w:r>
      <w:r w:rsidRPr="005074FE">
        <w:rPr>
          <w:rFonts w:ascii="Calibri" w:hAnsi="Calibri" w:cs="Calibri"/>
        </w:rPr>
        <w:t>can adapt to future challenges and drive equitable global development</w:t>
      </w:r>
      <w:r>
        <w:rPr>
          <w:rFonts w:ascii="Calibri" w:hAnsi="Calibri" w:cs="Calibri"/>
        </w:rPr>
        <w:t>,</w:t>
      </w:r>
    </w:p>
    <w:p w14:paraId="0952A30D" w14:textId="1152C8AF" w:rsidR="00237222" w:rsidRPr="00B462F0" w:rsidRDefault="00237222" w:rsidP="001777BC">
      <w:pPr>
        <w:keepNext/>
        <w:keepLines/>
        <w:spacing w:before="240" w:after="120"/>
        <w:ind w:left="425" w:hanging="425"/>
        <w:rPr>
          <w:rFonts w:cs="Calibri"/>
        </w:rPr>
      </w:pPr>
      <w:r w:rsidRPr="00B462F0">
        <w:rPr>
          <w:rFonts w:cs="Calibri"/>
        </w:rPr>
        <w:lastRenderedPageBreak/>
        <w:t>b)</w:t>
      </w:r>
      <w:r>
        <w:rPr>
          <w:rFonts w:cs="Calibri"/>
        </w:rPr>
        <w:tab/>
      </w:r>
      <w:r w:rsidRPr="00B462F0">
        <w:rPr>
          <w:rFonts w:cs="Calibri"/>
        </w:rPr>
        <w:t>the rapid digital transformation</w:t>
      </w:r>
      <w:r>
        <w:rPr>
          <w:rFonts w:cs="Calibri"/>
        </w:rPr>
        <w:t xml:space="preserve"> taking place</w:t>
      </w:r>
      <w:r w:rsidRPr="00B462F0">
        <w:rPr>
          <w:rFonts w:cs="Calibri"/>
        </w:rPr>
        <w:t xml:space="preserve"> globally and the persistent digital divides between and within countries, particularly affecting women and girls, </w:t>
      </w:r>
      <w:r>
        <w:rPr>
          <w:rFonts w:cs="Calibri"/>
        </w:rPr>
        <w:t>elder adults</w:t>
      </w:r>
      <w:r w:rsidRPr="00B462F0">
        <w:rPr>
          <w:rFonts w:cs="Calibri"/>
        </w:rPr>
        <w:t xml:space="preserve">, persons with disabilities, and other marginalized </w:t>
      </w:r>
      <w:proofErr w:type="gramStart"/>
      <w:r w:rsidRPr="00B462F0">
        <w:rPr>
          <w:rFonts w:cs="Calibri"/>
        </w:rPr>
        <w:t>groups;</w:t>
      </w:r>
      <w:proofErr w:type="gramEnd"/>
    </w:p>
    <w:p w14:paraId="4245ECEF" w14:textId="2D7297A2" w:rsidR="00237222" w:rsidRPr="00B462F0" w:rsidRDefault="00237222" w:rsidP="001777BC">
      <w:pPr>
        <w:keepNext/>
        <w:keepLines/>
        <w:spacing w:before="240" w:after="120"/>
        <w:ind w:left="425" w:hanging="425"/>
        <w:rPr>
          <w:rFonts w:cs="Calibri"/>
        </w:rPr>
      </w:pPr>
      <w:r w:rsidRPr="00B462F0">
        <w:rPr>
          <w:rFonts w:cs="Calibri"/>
        </w:rPr>
        <w:t>c)</w:t>
      </w:r>
      <w:r>
        <w:rPr>
          <w:rFonts w:cs="Calibri"/>
        </w:rPr>
        <w:tab/>
      </w:r>
      <w:r w:rsidRPr="00B462F0">
        <w:rPr>
          <w:rFonts w:cs="Calibri"/>
        </w:rPr>
        <w:t xml:space="preserve">the increasing urgency of addressing climate </w:t>
      </w:r>
      <w:r>
        <w:rPr>
          <w:rFonts w:cs="Calibri"/>
        </w:rPr>
        <w:t>resilience</w:t>
      </w:r>
      <w:r w:rsidRPr="00B462F0">
        <w:rPr>
          <w:rFonts w:cs="Calibri"/>
        </w:rPr>
        <w:t xml:space="preserve">, and the potential of </w:t>
      </w:r>
      <w:r w:rsidRPr="005074FE">
        <w:rPr>
          <w:rFonts w:cs="Calibri"/>
        </w:rPr>
        <w:t>telecommunications/ICT technologies</w:t>
      </w:r>
      <w:r w:rsidRPr="00B462F0">
        <w:rPr>
          <w:rFonts w:cs="Calibri"/>
        </w:rPr>
        <w:t xml:space="preserve"> to enable a green transition while reducing their own environmental </w:t>
      </w:r>
      <w:proofErr w:type="gramStart"/>
      <w:r w:rsidRPr="00B462F0">
        <w:rPr>
          <w:rFonts w:cs="Calibri"/>
        </w:rPr>
        <w:t>footprint;</w:t>
      </w:r>
      <w:proofErr w:type="gramEnd"/>
    </w:p>
    <w:p w14:paraId="0F9F640B" w14:textId="202FDA80" w:rsidR="00237222" w:rsidRPr="00B462F0" w:rsidRDefault="00237222" w:rsidP="001777BC">
      <w:pPr>
        <w:keepNext/>
        <w:keepLines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5" w:hanging="425"/>
        <w:rPr>
          <w:rFonts w:cs="Calibri"/>
        </w:rPr>
      </w:pPr>
      <w:r w:rsidRPr="00B462F0">
        <w:rPr>
          <w:rFonts w:cs="Calibri"/>
        </w:rPr>
        <w:t xml:space="preserve">d) </w:t>
      </w:r>
      <w:r>
        <w:rPr>
          <w:rFonts w:cs="Calibri"/>
        </w:rPr>
        <w:tab/>
      </w:r>
      <w:r w:rsidRPr="00B462F0">
        <w:rPr>
          <w:rFonts w:cs="Calibri"/>
        </w:rPr>
        <w:t xml:space="preserve">the growing dependence of societies and economies on resilient telecommunication/ICT infrastructure and services, especially in the context of disasters, pandemics, and other global </w:t>
      </w:r>
      <w:proofErr w:type="gramStart"/>
      <w:r w:rsidRPr="00B462F0">
        <w:rPr>
          <w:rFonts w:cs="Calibri"/>
        </w:rPr>
        <w:t>shocks;</w:t>
      </w:r>
      <w:proofErr w:type="gramEnd"/>
    </w:p>
    <w:p w14:paraId="70CDBDF4" w14:textId="72889A48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e)</w:t>
      </w:r>
      <w:r>
        <w:rPr>
          <w:rFonts w:cs="Calibri"/>
        </w:rPr>
        <w:tab/>
      </w:r>
      <w:r w:rsidRPr="00B462F0">
        <w:rPr>
          <w:rFonts w:cs="Calibri"/>
        </w:rPr>
        <w:t>the emergence of new opportunities provided by space-based connectivity to extend access to unserved</w:t>
      </w:r>
      <w:r>
        <w:rPr>
          <w:rFonts w:cs="Calibri"/>
        </w:rPr>
        <w:t>,</w:t>
      </w:r>
      <w:r w:rsidRPr="00B462F0">
        <w:rPr>
          <w:rFonts w:cs="Calibri"/>
        </w:rPr>
        <w:t xml:space="preserve"> underserved </w:t>
      </w:r>
      <w:r>
        <w:rPr>
          <w:rFonts w:cs="Calibri"/>
        </w:rPr>
        <w:t xml:space="preserve">and marginalised </w:t>
      </w:r>
      <w:r w:rsidRPr="00B462F0">
        <w:rPr>
          <w:rFonts w:cs="Calibri"/>
        </w:rPr>
        <w:t xml:space="preserve">communities, especially in remote and small island developing </w:t>
      </w:r>
      <w:proofErr w:type="gramStart"/>
      <w:r w:rsidRPr="00B462F0">
        <w:rPr>
          <w:rFonts w:cs="Calibri"/>
        </w:rPr>
        <w:t>states;</w:t>
      </w:r>
      <w:proofErr w:type="gramEnd"/>
    </w:p>
    <w:p w14:paraId="1FFD302E" w14:textId="241050D0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f)</w:t>
      </w:r>
      <w:r>
        <w:rPr>
          <w:rFonts w:cs="Calibri"/>
        </w:rPr>
        <w:tab/>
      </w:r>
      <w:r w:rsidRPr="00B462F0">
        <w:rPr>
          <w:rFonts w:cs="Calibri"/>
        </w:rPr>
        <w:t>the importance of strengthening ICT-centric innovation ecosystems and entrepreneurship to create inclusive opportunities for sustainable economic growth and decent work, particularly for youth and women</w:t>
      </w:r>
      <w:r>
        <w:rPr>
          <w:rFonts w:cs="Calibri"/>
        </w:rPr>
        <w:t xml:space="preserve">, persons with disabilities and other marginalised </w:t>
      </w:r>
      <w:proofErr w:type="gramStart"/>
      <w:r>
        <w:rPr>
          <w:rFonts w:cs="Calibri"/>
        </w:rPr>
        <w:t>groups</w:t>
      </w:r>
      <w:r w:rsidRPr="00B462F0">
        <w:rPr>
          <w:rFonts w:cs="Calibri"/>
        </w:rPr>
        <w:t>;</w:t>
      </w:r>
      <w:proofErr w:type="gramEnd"/>
    </w:p>
    <w:p w14:paraId="4F2E15F9" w14:textId="77777777" w:rsidR="00237222" w:rsidRPr="00B462F0" w:rsidRDefault="00237222" w:rsidP="00237222">
      <w:pPr>
        <w:spacing w:before="360" w:after="120"/>
        <w:rPr>
          <w:rFonts w:cs="Calibri"/>
        </w:rPr>
      </w:pPr>
      <w:r w:rsidRPr="00B462F0">
        <w:rPr>
          <w:rFonts w:cs="Calibri"/>
          <w:b/>
          <w:bCs/>
        </w:rPr>
        <w:t>recognizing</w:t>
      </w:r>
    </w:p>
    <w:p w14:paraId="360DD350" w14:textId="25960613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a)</w:t>
      </w:r>
      <w:r>
        <w:rPr>
          <w:rFonts w:cs="Calibri"/>
        </w:rPr>
        <w:tab/>
      </w:r>
      <w:r w:rsidRPr="00B462F0">
        <w:rPr>
          <w:rFonts w:cs="Calibri"/>
        </w:rPr>
        <w:t xml:space="preserve">the importance of accelerating universal, meaningful, and affordable connectivity and digital skills development </w:t>
      </w:r>
      <w:proofErr w:type="gramStart"/>
      <w:r w:rsidRPr="00B462F0">
        <w:rPr>
          <w:rFonts w:cs="Calibri"/>
        </w:rPr>
        <w:t>in order to</w:t>
      </w:r>
      <w:proofErr w:type="gramEnd"/>
      <w:r w:rsidRPr="00B462F0">
        <w:rPr>
          <w:rFonts w:cs="Calibri"/>
        </w:rPr>
        <w:t xml:space="preserve"> address global </w:t>
      </w:r>
      <w:proofErr w:type="gramStart"/>
      <w:r w:rsidRPr="00B462F0">
        <w:rPr>
          <w:rFonts w:cs="Calibri"/>
        </w:rPr>
        <w:t>inequality;</w:t>
      </w:r>
      <w:proofErr w:type="gramEnd"/>
    </w:p>
    <w:p w14:paraId="4B708671" w14:textId="00A4ABAD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b)</w:t>
      </w:r>
      <w:r>
        <w:rPr>
          <w:rFonts w:cs="Calibri"/>
        </w:rPr>
        <w:tab/>
      </w:r>
      <w:r w:rsidRPr="00B462F0">
        <w:rPr>
          <w:rFonts w:cs="Calibri"/>
        </w:rPr>
        <w:t xml:space="preserve">that the resilience, sustainability, and inclusiveness of the digital future are interlinked and mutually reinforcing, requiring coherent and holistic policies and international </w:t>
      </w:r>
      <w:proofErr w:type="gramStart"/>
      <w:r w:rsidRPr="00B462F0">
        <w:rPr>
          <w:rFonts w:cs="Calibri"/>
        </w:rPr>
        <w:t>cooperation;</w:t>
      </w:r>
      <w:proofErr w:type="gramEnd"/>
    </w:p>
    <w:p w14:paraId="36E289D9" w14:textId="5E9B2B9B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c)</w:t>
      </w:r>
      <w:r>
        <w:rPr>
          <w:rFonts w:cs="Calibri"/>
        </w:rPr>
        <w:tab/>
      </w:r>
      <w:r w:rsidRPr="00B462F0">
        <w:rPr>
          <w:rFonts w:cs="Calibri"/>
        </w:rPr>
        <w:t>that space-based</w:t>
      </w:r>
      <w:r>
        <w:rPr>
          <w:rFonts w:cs="Calibri"/>
        </w:rPr>
        <w:t xml:space="preserve"> </w:t>
      </w:r>
      <w:r w:rsidRPr="005074FE">
        <w:rPr>
          <w:rFonts w:cs="Calibri"/>
        </w:rPr>
        <w:t>telecommunications/ICT technologies</w:t>
      </w:r>
      <w:r w:rsidRPr="00B462F0">
        <w:rPr>
          <w:rFonts w:cs="Calibri"/>
        </w:rPr>
        <w:t xml:space="preserve">, </w:t>
      </w:r>
      <w:r>
        <w:rPr>
          <w:rFonts w:cs="Calibri"/>
        </w:rPr>
        <w:t xml:space="preserve">working </w:t>
      </w:r>
      <w:r w:rsidRPr="003F1EE8">
        <w:rPr>
          <w:rFonts w:cs="Calibri"/>
        </w:rPr>
        <w:t xml:space="preserve">together </w:t>
      </w:r>
      <w:r w:rsidRPr="00B462F0">
        <w:rPr>
          <w:rFonts w:cs="Calibri"/>
        </w:rPr>
        <w:t xml:space="preserve">with terrestrial networks, can bridge gaps in coverage, enhance resilience, and foster </w:t>
      </w:r>
      <w:proofErr w:type="gramStart"/>
      <w:r w:rsidRPr="00B462F0">
        <w:rPr>
          <w:rFonts w:cs="Calibri"/>
        </w:rPr>
        <w:t>innovation;</w:t>
      </w:r>
      <w:proofErr w:type="gramEnd"/>
    </w:p>
    <w:p w14:paraId="2BCF19C8" w14:textId="3FADB3F9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d)</w:t>
      </w:r>
      <w:r>
        <w:rPr>
          <w:rFonts w:cs="Calibri"/>
        </w:rPr>
        <w:tab/>
      </w:r>
      <w:r w:rsidRPr="00B462F0">
        <w:rPr>
          <w:rFonts w:cs="Calibri"/>
        </w:rPr>
        <w:t xml:space="preserve">that innovation ecosystems and entrepreneurship drive the development and adoption of emerging digital technologies that can advance climate action, enable green digital transformation, and generate new sources of employment and </w:t>
      </w:r>
      <w:proofErr w:type="gramStart"/>
      <w:r w:rsidRPr="00B462F0">
        <w:rPr>
          <w:rFonts w:cs="Calibri"/>
        </w:rPr>
        <w:t>growth;</w:t>
      </w:r>
      <w:proofErr w:type="gramEnd"/>
    </w:p>
    <w:p w14:paraId="431CE03A" w14:textId="77777777" w:rsidR="00237222" w:rsidRPr="00B462F0" w:rsidRDefault="00237222" w:rsidP="00237222">
      <w:pPr>
        <w:spacing w:before="360" w:after="120"/>
        <w:rPr>
          <w:rFonts w:cs="Calibri"/>
        </w:rPr>
      </w:pPr>
      <w:r w:rsidRPr="00B462F0">
        <w:rPr>
          <w:rFonts w:cs="Calibri"/>
          <w:b/>
          <w:bCs/>
        </w:rPr>
        <w:t>noting</w:t>
      </w:r>
    </w:p>
    <w:p w14:paraId="45D2F15A" w14:textId="39CB05A1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a)</w:t>
      </w:r>
      <w:r>
        <w:rPr>
          <w:rFonts w:cs="Calibri"/>
        </w:rPr>
        <w:tab/>
      </w:r>
      <w:r w:rsidRPr="00B462F0">
        <w:rPr>
          <w:rFonts w:cs="Calibri"/>
        </w:rPr>
        <w:t xml:space="preserve">ongoing initiatives by the ITU and other relevant organizations to support capacity-building, digital inclusion, sustainable ICT practices, infrastructure resilience, and innovation </w:t>
      </w:r>
      <w:proofErr w:type="gramStart"/>
      <w:r w:rsidRPr="00B462F0">
        <w:rPr>
          <w:rFonts w:cs="Calibri"/>
        </w:rPr>
        <w:t>ecosystems;</w:t>
      </w:r>
      <w:proofErr w:type="gramEnd"/>
    </w:p>
    <w:p w14:paraId="4881F332" w14:textId="6F6C2D56" w:rsidR="00237222" w:rsidRPr="00B462F0" w:rsidRDefault="00237222" w:rsidP="001777B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before="240" w:after="120"/>
        <w:ind w:left="426" w:hanging="426"/>
        <w:rPr>
          <w:rFonts w:cs="Calibri"/>
        </w:rPr>
      </w:pPr>
      <w:r w:rsidRPr="00B462F0">
        <w:rPr>
          <w:rFonts w:cs="Calibri"/>
        </w:rPr>
        <w:t>b)</w:t>
      </w:r>
      <w:r>
        <w:rPr>
          <w:rFonts w:cs="Calibri"/>
        </w:rPr>
        <w:tab/>
      </w:r>
      <w:r w:rsidRPr="00B462F0">
        <w:rPr>
          <w:rFonts w:cs="Calibri"/>
        </w:rPr>
        <w:t xml:space="preserve">the need for enhanced multi-stakeholder cooperation, including governments, private sector, academia, civil society, youth and women, to accelerate </w:t>
      </w:r>
      <w:proofErr w:type="gramStart"/>
      <w:r w:rsidRPr="00B462F0">
        <w:rPr>
          <w:rFonts w:cs="Calibri"/>
        </w:rPr>
        <w:t>progress;</w:t>
      </w:r>
      <w:proofErr w:type="gramEnd"/>
    </w:p>
    <w:p w14:paraId="3C5B956A" w14:textId="77777777" w:rsidR="00237222" w:rsidRPr="00B462F0" w:rsidRDefault="00237222" w:rsidP="001777BC">
      <w:pPr>
        <w:keepNext/>
        <w:keepLines/>
        <w:spacing w:before="360" w:after="120"/>
        <w:rPr>
          <w:rFonts w:cs="Calibri"/>
        </w:rPr>
      </w:pPr>
      <w:r w:rsidRPr="00B462F0">
        <w:rPr>
          <w:rFonts w:cs="Calibri"/>
          <w:b/>
          <w:bCs/>
        </w:rPr>
        <w:lastRenderedPageBreak/>
        <w:t xml:space="preserve">is of the </w:t>
      </w:r>
      <w:r>
        <w:rPr>
          <w:rFonts w:cs="Calibri"/>
          <w:b/>
          <w:bCs/>
        </w:rPr>
        <w:t>view</w:t>
      </w:r>
    </w:p>
    <w:p w14:paraId="207FCB97" w14:textId="77777777" w:rsidR="00237222" w:rsidRPr="003F1EE8" w:rsidRDefault="00237222" w:rsidP="001777BC">
      <w:pPr>
        <w:pStyle w:val="ListParagraph"/>
        <w:keepNext/>
        <w:keepLines/>
        <w:numPr>
          <w:ilvl w:val="0"/>
          <w:numId w:val="18"/>
        </w:numPr>
        <w:tabs>
          <w:tab w:val="clear" w:pos="360"/>
        </w:tabs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3F1EE8">
        <w:rPr>
          <w:rFonts w:ascii="Calibri" w:hAnsi="Calibri" w:cs="Calibri"/>
        </w:rPr>
        <w:t xml:space="preserve">that bridging digital divides, </w:t>
      </w:r>
      <w:r>
        <w:rPr>
          <w:rFonts w:ascii="Calibri" w:hAnsi="Calibri" w:cs="Calibri"/>
        </w:rPr>
        <w:t xml:space="preserve">including </w:t>
      </w:r>
      <w:r w:rsidRPr="003F1EE8">
        <w:rPr>
          <w:rFonts w:ascii="Calibri" w:hAnsi="Calibri" w:cs="Calibri"/>
        </w:rPr>
        <w:t xml:space="preserve">skills and connectivity gaps, is </w:t>
      </w:r>
      <w:r>
        <w:rPr>
          <w:rFonts w:ascii="Calibri" w:hAnsi="Calibri" w:cs="Calibri"/>
        </w:rPr>
        <w:t>fundamental</w:t>
      </w:r>
      <w:r w:rsidRPr="003F1EE8">
        <w:rPr>
          <w:rFonts w:ascii="Calibri" w:hAnsi="Calibri" w:cs="Calibri"/>
        </w:rPr>
        <w:t xml:space="preserve"> to achieving an inclusive digital future and unlocking the potential of all people</w:t>
      </w:r>
      <w:r>
        <w:rPr>
          <w:rFonts w:ascii="Calibri" w:hAnsi="Calibri" w:cs="Calibri"/>
        </w:rPr>
        <w:t>, particularly women, youth</w:t>
      </w:r>
      <w:r w:rsidRPr="003F1EE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elder adults, persons with disabilities, and other marginalised </w:t>
      </w:r>
      <w:proofErr w:type="gramStart"/>
      <w:r>
        <w:rPr>
          <w:rFonts w:ascii="Calibri" w:hAnsi="Calibri" w:cs="Calibri"/>
        </w:rPr>
        <w:t>groups</w:t>
      </w:r>
      <w:r w:rsidRPr="003F1EE8">
        <w:rPr>
          <w:rFonts w:ascii="Calibri" w:hAnsi="Calibri" w:cs="Calibri"/>
        </w:rPr>
        <w:t>;</w:t>
      </w:r>
      <w:proofErr w:type="gramEnd"/>
    </w:p>
    <w:p w14:paraId="61B22FA7" w14:textId="77777777" w:rsidR="00237222" w:rsidRPr="00B462F0" w:rsidRDefault="00237222" w:rsidP="001777BC">
      <w:pPr>
        <w:numPr>
          <w:ilvl w:val="0"/>
          <w:numId w:val="18"/>
        </w:numPr>
        <w:tabs>
          <w:tab w:val="clear" w:pos="360"/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426" w:hanging="426"/>
        <w:textAlignment w:val="auto"/>
        <w:rPr>
          <w:rFonts w:cs="Calibri"/>
        </w:rPr>
      </w:pPr>
      <w:r w:rsidRPr="00B462F0">
        <w:rPr>
          <w:rFonts w:cs="Calibri"/>
        </w:rPr>
        <w:t xml:space="preserve">that green digital transformation must be embedded into the design, deployment, and use of </w:t>
      </w:r>
      <w:r>
        <w:rPr>
          <w:rFonts w:cs="Calibri"/>
        </w:rPr>
        <w:t>telecommunication/</w:t>
      </w:r>
      <w:r w:rsidRPr="00B462F0">
        <w:rPr>
          <w:rFonts w:cs="Calibri"/>
        </w:rPr>
        <w:t>ICT</w:t>
      </w:r>
      <w:r>
        <w:rPr>
          <w:rFonts w:cs="Calibri"/>
        </w:rPr>
        <w:t xml:space="preserve"> technologies</w:t>
      </w:r>
      <w:r w:rsidRPr="00B462F0">
        <w:rPr>
          <w:rFonts w:cs="Calibri"/>
        </w:rPr>
        <w:t xml:space="preserve">, reducing their environmental impact and enabling climate </w:t>
      </w:r>
      <w:r>
        <w:rPr>
          <w:rFonts w:cs="Calibri"/>
        </w:rPr>
        <w:t xml:space="preserve">resilience and environmental sustainability </w:t>
      </w:r>
      <w:r w:rsidRPr="00B462F0">
        <w:rPr>
          <w:rFonts w:cs="Calibri"/>
        </w:rPr>
        <w:t xml:space="preserve">across </w:t>
      </w:r>
      <w:proofErr w:type="gramStart"/>
      <w:r w:rsidRPr="00B462F0">
        <w:rPr>
          <w:rFonts w:cs="Calibri"/>
        </w:rPr>
        <w:t>sectors;</w:t>
      </w:r>
      <w:proofErr w:type="gramEnd"/>
    </w:p>
    <w:p w14:paraId="0BDB04AB" w14:textId="77777777" w:rsidR="00237222" w:rsidRPr="00B462F0" w:rsidRDefault="00237222" w:rsidP="001777BC">
      <w:pPr>
        <w:numPr>
          <w:ilvl w:val="0"/>
          <w:numId w:val="18"/>
        </w:numPr>
        <w:tabs>
          <w:tab w:val="clear" w:pos="360"/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426" w:hanging="426"/>
        <w:textAlignment w:val="auto"/>
        <w:rPr>
          <w:rFonts w:cs="Calibri"/>
        </w:rPr>
      </w:pPr>
      <w:r w:rsidRPr="00B462F0">
        <w:rPr>
          <w:rFonts w:cs="Calibri"/>
        </w:rPr>
        <w:t xml:space="preserve">that enhancing the resilience of telecommunication/ICT infrastructure and services is essential to ensure continuity of digital connectivity and services in the face of disruptions, disasters, and </w:t>
      </w:r>
      <w:r>
        <w:rPr>
          <w:rFonts w:cs="Calibri"/>
        </w:rPr>
        <w:t xml:space="preserve">global </w:t>
      </w:r>
      <w:proofErr w:type="gramStart"/>
      <w:r w:rsidRPr="00B462F0">
        <w:rPr>
          <w:rFonts w:cs="Calibri"/>
        </w:rPr>
        <w:t>crises;</w:t>
      </w:r>
      <w:proofErr w:type="gramEnd"/>
    </w:p>
    <w:p w14:paraId="6C4ED648" w14:textId="77777777" w:rsidR="00237222" w:rsidRPr="00B462F0" w:rsidRDefault="00237222" w:rsidP="001777BC">
      <w:pPr>
        <w:numPr>
          <w:ilvl w:val="0"/>
          <w:numId w:val="18"/>
        </w:numPr>
        <w:tabs>
          <w:tab w:val="clear" w:pos="360"/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426" w:hanging="426"/>
        <w:textAlignment w:val="auto"/>
        <w:rPr>
          <w:rFonts w:cs="Calibri"/>
        </w:rPr>
      </w:pPr>
      <w:r w:rsidRPr="00B462F0">
        <w:rPr>
          <w:rFonts w:cs="Calibri"/>
        </w:rPr>
        <w:t xml:space="preserve">that space connectivity solutions can complement terrestrial networks to accelerate universal access, strengthen resilience, and </w:t>
      </w:r>
      <w:r>
        <w:rPr>
          <w:rFonts w:cs="Calibri"/>
        </w:rPr>
        <w:t>accelerate the adoption of</w:t>
      </w:r>
      <w:r w:rsidRPr="00B462F0">
        <w:rPr>
          <w:rFonts w:cs="Calibri"/>
        </w:rPr>
        <w:t xml:space="preserve"> innovative services, especially in remote and underserved </w:t>
      </w:r>
      <w:proofErr w:type="gramStart"/>
      <w:r w:rsidRPr="00B462F0">
        <w:rPr>
          <w:rFonts w:cs="Calibri"/>
        </w:rPr>
        <w:t>regions;</w:t>
      </w:r>
      <w:proofErr w:type="gramEnd"/>
    </w:p>
    <w:p w14:paraId="277F70E8" w14:textId="77777777" w:rsidR="00237222" w:rsidRPr="00B462F0" w:rsidRDefault="00237222" w:rsidP="001777BC">
      <w:pPr>
        <w:numPr>
          <w:ilvl w:val="0"/>
          <w:numId w:val="18"/>
        </w:numPr>
        <w:tabs>
          <w:tab w:val="clear" w:pos="360"/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426" w:hanging="426"/>
        <w:textAlignment w:val="auto"/>
        <w:rPr>
          <w:rFonts w:cs="Calibri"/>
        </w:rPr>
      </w:pPr>
      <w:r w:rsidRPr="00B462F0">
        <w:rPr>
          <w:rFonts w:cs="Calibri"/>
        </w:rPr>
        <w:t xml:space="preserve">that fostering ICT-centric innovation ecosystems and entrepreneurship, including support for start-ups and </w:t>
      </w:r>
      <w:r>
        <w:rPr>
          <w:rFonts w:cs="Calibri"/>
        </w:rPr>
        <w:t>micro, small and medium enterprises (</w:t>
      </w:r>
      <w:r w:rsidRPr="00B462F0">
        <w:rPr>
          <w:rFonts w:cs="Calibri"/>
        </w:rPr>
        <w:t>MSMEs</w:t>
      </w:r>
      <w:r>
        <w:rPr>
          <w:rFonts w:cs="Calibri"/>
        </w:rPr>
        <w:t>)</w:t>
      </w:r>
      <w:r w:rsidRPr="00B462F0">
        <w:rPr>
          <w:rFonts w:cs="Calibri"/>
        </w:rPr>
        <w:t>, can generate inclusive soci</w:t>
      </w:r>
      <w:r>
        <w:rPr>
          <w:rFonts w:cs="Calibri"/>
        </w:rPr>
        <w:t>al and e</w:t>
      </w:r>
      <w:r w:rsidRPr="00B462F0">
        <w:rPr>
          <w:rFonts w:cs="Calibri"/>
        </w:rPr>
        <w:t xml:space="preserve">conomic opportunities, accelerate green and digital transitions, and promote </w:t>
      </w:r>
      <w:proofErr w:type="gramStart"/>
      <w:r w:rsidRPr="00B462F0">
        <w:rPr>
          <w:rFonts w:cs="Calibri"/>
        </w:rPr>
        <w:t>resilience;</w:t>
      </w:r>
      <w:proofErr w:type="gramEnd"/>
    </w:p>
    <w:p w14:paraId="5F1B4BB9" w14:textId="77777777" w:rsidR="00237222" w:rsidRPr="00B462F0" w:rsidRDefault="00237222" w:rsidP="001777BC">
      <w:pPr>
        <w:numPr>
          <w:ilvl w:val="0"/>
          <w:numId w:val="18"/>
        </w:numPr>
        <w:tabs>
          <w:tab w:val="clear" w:pos="360"/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ind w:left="426" w:hanging="426"/>
        <w:textAlignment w:val="auto"/>
        <w:rPr>
          <w:rFonts w:cs="Calibri"/>
        </w:rPr>
      </w:pPr>
      <w:r w:rsidRPr="00B462F0">
        <w:rPr>
          <w:rFonts w:cs="Calibri"/>
        </w:rPr>
        <w:t xml:space="preserve">that these five priority areas are mutually reinforcing and </w:t>
      </w:r>
      <w:r>
        <w:rPr>
          <w:rFonts w:cs="Calibri"/>
        </w:rPr>
        <w:t xml:space="preserve">would appropriately </w:t>
      </w:r>
      <w:r w:rsidRPr="00B462F0">
        <w:rPr>
          <w:rFonts w:cs="Calibri"/>
        </w:rPr>
        <w:t xml:space="preserve">be pursued in an integrated manner through national policies, regional collaboration, and international cooperation under the auspices of the </w:t>
      </w:r>
      <w:r>
        <w:rPr>
          <w:rFonts w:cs="Calibri"/>
        </w:rPr>
        <w:t xml:space="preserve">ITU and other relevant </w:t>
      </w:r>
      <w:proofErr w:type="gramStart"/>
      <w:r>
        <w:rPr>
          <w:rFonts w:cs="Calibri"/>
        </w:rPr>
        <w:t>stakeholders</w:t>
      </w:r>
      <w:r w:rsidRPr="00B462F0">
        <w:rPr>
          <w:rFonts w:cs="Calibri"/>
        </w:rPr>
        <w:t>;</w:t>
      </w:r>
      <w:proofErr w:type="gramEnd"/>
    </w:p>
    <w:p w14:paraId="464589B6" w14:textId="77777777" w:rsidR="00237222" w:rsidRPr="00B462F0" w:rsidRDefault="00237222" w:rsidP="00237222">
      <w:pPr>
        <w:spacing w:before="360" w:after="120"/>
        <w:rPr>
          <w:rFonts w:cs="Calibri"/>
        </w:rPr>
      </w:pPr>
      <w:r w:rsidRPr="00B462F0">
        <w:rPr>
          <w:rFonts w:cs="Calibri"/>
          <w:b/>
          <w:bCs/>
        </w:rPr>
        <w:t>encourages</w:t>
      </w:r>
    </w:p>
    <w:p w14:paraId="74C0F3B7" w14:textId="77777777" w:rsidR="00237222" w:rsidRDefault="00237222" w:rsidP="001777BC">
      <w:pPr>
        <w:pStyle w:val="ListParagraph"/>
        <w:numPr>
          <w:ilvl w:val="0"/>
          <w:numId w:val="22"/>
        </w:numPr>
        <w:tabs>
          <w:tab w:val="clear" w:pos="360"/>
        </w:tabs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E27805">
        <w:rPr>
          <w:rFonts w:ascii="Calibri" w:hAnsi="Calibri" w:cs="Calibri"/>
        </w:rPr>
        <w:t xml:space="preserve">Member States and Sector Members of the ITU to promote policies and programmes that simultaneously advance digital inclusion, environmental sustainability, resilience, space connectivity, and </w:t>
      </w:r>
      <w:proofErr w:type="gramStart"/>
      <w:r w:rsidRPr="00E27805">
        <w:rPr>
          <w:rFonts w:ascii="Calibri" w:hAnsi="Calibri" w:cs="Calibri"/>
        </w:rPr>
        <w:t>innovation;</w:t>
      </w:r>
      <w:proofErr w:type="gramEnd"/>
    </w:p>
    <w:p w14:paraId="624BAEC5" w14:textId="77777777" w:rsidR="00237222" w:rsidRDefault="00237222" w:rsidP="001777BC">
      <w:pPr>
        <w:pStyle w:val="ListParagraph"/>
        <w:numPr>
          <w:ilvl w:val="0"/>
          <w:numId w:val="22"/>
        </w:numPr>
        <w:tabs>
          <w:tab w:val="clear" w:pos="360"/>
        </w:tabs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E27805">
        <w:rPr>
          <w:rFonts w:ascii="Calibri" w:hAnsi="Calibri" w:cs="Calibri"/>
        </w:rPr>
        <w:t xml:space="preserve">the strengthening of partnerships between governments, the private sector, civil society, academia and other stakeholders to mobilize resources, share knowledge, and develop innovative solutions to accelerate progress across these interlinked </w:t>
      </w:r>
      <w:proofErr w:type="gramStart"/>
      <w:r w:rsidRPr="00E27805">
        <w:rPr>
          <w:rFonts w:ascii="Calibri" w:hAnsi="Calibri" w:cs="Calibri"/>
        </w:rPr>
        <w:t>areas;</w:t>
      </w:r>
      <w:proofErr w:type="gramEnd"/>
    </w:p>
    <w:p w14:paraId="2719F34D" w14:textId="77777777" w:rsidR="00237222" w:rsidRDefault="00237222" w:rsidP="001777BC">
      <w:pPr>
        <w:pStyle w:val="ListParagraph"/>
        <w:numPr>
          <w:ilvl w:val="0"/>
          <w:numId w:val="22"/>
        </w:numPr>
        <w:tabs>
          <w:tab w:val="clear" w:pos="360"/>
        </w:tabs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E27805">
        <w:rPr>
          <w:rFonts w:ascii="Calibri" w:hAnsi="Calibri" w:cs="Calibri"/>
        </w:rPr>
        <w:t xml:space="preserve">the development of common principles, standards, and frameworks that support inclusive and sustainable digital transformation, foster resilience, and leverage space-based and terrestrial technologies </w:t>
      </w:r>
      <w:proofErr w:type="gramStart"/>
      <w:r w:rsidRPr="00E27805">
        <w:rPr>
          <w:rFonts w:ascii="Calibri" w:hAnsi="Calibri" w:cs="Calibri"/>
        </w:rPr>
        <w:t>harmoniously;</w:t>
      </w:r>
      <w:proofErr w:type="gramEnd"/>
    </w:p>
    <w:p w14:paraId="399229F8" w14:textId="77777777" w:rsidR="00237222" w:rsidRPr="00E27805" w:rsidRDefault="00237222" w:rsidP="001777BC">
      <w:pPr>
        <w:pStyle w:val="ListParagraph"/>
        <w:numPr>
          <w:ilvl w:val="0"/>
          <w:numId w:val="22"/>
        </w:numPr>
        <w:tabs>
          <w:tab w:val="clear" w:pos="360"/>
        </w:tabs>
        <w:spacing w:before="240" w:after="120" w:line="240" w:lineRule="auto"/>
        <w:ind w:left="426" w:hanging="426"/>
        <w:contextualSpacing w:val="0"/>
        <w:rPr>
          <w:rFonts w:ascii="Calibri" w:hAnsi="Calibri" w:cs="Calibri"/>
        </w:rPr>
      </w:pPr>
      <w:r w:rsidRPr="00E27805">
        <w:rPr>
          <w:rFonts w:ascii="Calibri" w:hAnsi="Calibri" w:cs="Calibri"/>
        </w:rPr>
        <w:t xml:space="preserve">further collaboration </w:t>
      </w:r>
      <w:r>
        <w:rPr>
          <w:rFonts w:ascii="Calibri" w:hAnsi="Calibri" w:cs="Calibri"/>
        </w:rPr>
        <w:t xml:space="preserve">amongst </w:t>
      </w:r>
      <w:r w:rsidRPr="00E27805">
        <w:rPr>
          <w:rFonts w:ascii="Calibri" w:hAnsi="Calibri" w:cs="Calibri"/>
        </w:rPr>
        <w:t>other international and regional organizations</w:t>
      </w:r>
      <w:r>
        <w:rPr>
          <w:rFonts w:ascii="Calibri" w:hAnsi="Calibri" w:cs="Calibri"/>
        </w:rPr>
        <w:t xml:space="preserve">, and relevant stakeholders, </w:t>
      </w:r>
      <w:r w:rsidRPr="00E27805">
        <w:rPr>
          <w:rFonts w:ascii="Calibri" w:hAnsi="Calibri" w:cs="Calibri"/>
        </w:rPr>
        <w:t>to build capacities, promote best practices, and monitor progress towards an inclusive, sustainable, resilient, and innovative digital future for all.</w:t>
      </w:r>
    </w:p>
    <w:p w14:paraId="0CBCAD75" w14:textId="4E813C1C" w:rsidR="003354ED" w:rsidRPr="004B51C8" w:rsidRDefault="003354ED" w:rsidP="00237222">
      <w:pPr>
        <w:spacing w:before="600"/>
        <w:jc w:val="center"/>
      </w:pPr>
      <w:r>
        <w:t>______________</w:t>
      </w:r>
    </w:p>
    <w:sectPr w:rsidR="003354ED" w:rsidRPr="004B51C8" w:rsidSect="00AD3606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930C" w14:textId="77777777" w:rsidR="009B0EBB" w:rsidRDefault="009B0EBB">
      <w:r>
        <w:separator/>
      </w:r>
    </w:p>
  </w:endnote>
  <w:endnote w:type="continuationSeparator" w:id="0">
    <w:p w14:paraId="420B03BF" w14:textId="77777777" w:rsidR="009B0EBB" w:rsidRDefault="009B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6E9971C8" w14:textId="77777777" w:rsidTr="0042469C">
      <w:trPr>
        <w:jc w:val="center"/>
      </w:trPr>
      <w:tc>
        <w:tcPr>
          <w:tcW w:w="1803" w:type="dxa"/>
          <w:vAlign w:val="center"/>
        </w:tcPr>
        <w:p w14:paraId="595D99B9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76DF4650" w14:textId="524793DD" w:rsidR="00EE49E8" w:rsidRPr="00877BF2" w:rsidRDefault="00EE49E8" w:rsidP="00A34013">
          <w:pPr>
            <w:pStyle w:val="Header"/>
            <w:tabs>
              <w:tab w:val="left" w:pos="616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A34013">
            <w:rPr>
              <w:bCs/>
              <w:lang w:val="es-ES"/>
            </w:rPr>
            <w:t>IEG-WTPF-26</w:t>
          </w:r>
          <w:r w:rsidR="00A34013" w:rsidRPr="00870C17">
            <w:rPr>
              <w:bCs/>
              <w:lang w:val="es-ES"/>
            </w:rPr>
            <w:t>-</w:t>
          </w:r>
          <w:r w:rsidR="003354ED">
            <w:rPr>
              <w:bCs/>
              <w:lang w:val="es-ES"/>
            </w:rPr>
            <w:t>3</w:t>
          </w:r>
          <w:r w:rsidR="00A34013">
            <w:rPr>
              <w:bCs/>
              <w:lang w:val="es-ES"/>
            </w:rPr>
            <w:t>/</w:t>
          </w:r>
          <w:r w:rsidR="00237222">
            <w:rPr>
              <w:bCs/>
              <w:lang w:val="es-ES"/>
            </w:rPr>
            <w:t>21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FAEF647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13FA5BA9" w14:textId="77777777" w:rsidTr="00A52C84">
      <w:trPr>
        <w:jc w:val="center"/>
      </w:trPr>
      <w:tc>
        <w:tcPr>
          <w:tcW w:w="3107" w:type="dxa"/>
          <w:vAlign w:val="center"/>
        </w:tcPr>
        <w:p w14:paraId="0FF920AE" w14:textId="3725A522" w:rsidR="00EE49E8" w:rsidRPr="003354ED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3354ED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63677B84" w14:textId="6B64A15B" w:rsidR="00EE49E8" w:rsidRPr="000F6AB8" w:rsidRDefault="00EE49E8" w:rsidP="00A34013">
          <w:pPr>
            <w:pStyle w:val="Header"/>
            <w:tabs>
              <w:tab w:val="left" w:pos="486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A34013">
            <w:rPr>
              <w:bCs/>
              <w:lang w:val="es-ES"/>
            </w:rPr>
            <w:t>IEG-WTPF-26</w:t>
          </w:r>
          <w:r w:rsidR="00F73B2C" w:rsidRPr="00870C17">
            <w:rPr>
              <w:bCs/>
              <w:lang w:val="es-ES"/>
            </w:rPr>
            <w:t>-</w:t>
          </w:r>
          <w:r w:rsidR="003354ED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237222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69B1AAB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760C" w14:textId="77777777" w:rsidR="009B0EBB" w:rsidRDefault="009B0EBB">
      <w:r>
        <w:t>____________________</w:t>
      </w:r>
    </w:p>
  </w:footnote>
  <w:footnote w:type="continuationSeparator" w:id="0">
    <w:p w14:paraId="4360B1A5" w14:textId="77777777" w:rsidR="009B0EBB" w:rsidRDefault="009B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E372B6" w:rsidRPr="00784011" w14:paraId="25AB9B3D" w14:textId="77777777" w:rsidTr="002F314B">
      <w:trPr>
        <w:trHeight w:val="1304"/>
        <w:jc w:val="center"/>
      </w:trPr>
      <w:tc>
        <w:tcPr>
          <w:tcW w:w="6546" w:type="dxa"/>
        </w:tcPr>
        <w:p w14:paraId="5CE3A6BD" w14:textId="77777777" w:rsidR="00E372B6" w:rsidRPr="009621F8" w:rsidRDefault="00E372B6" w:rsidP="00E372B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BA29BF3" wp14:editId="48456988">
                    <wp:simplePos x="0" y="0"/>
                    <wp:positionH relativeFrom="column">
                      <wp:posOffset>1429385</wp:posOffset>
                    </wp:positionH>
                    <wp:positionV relativeFrom="paragraph">
                      <wp:posOffset>8785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472F06" w14:textId="46192D74" w:rsidR="00E372B6" w:rsidRDefault="00E372B6" w:rsidP="000D0DB0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Informal Expert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Group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636853"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pacing w:val="6"/>
                                    <w:szCs w:val="24"/>
                                  </w:rPr>
                                  <w:t>WTPF-26</w:t>
                                </w:r>
                                <w:r>
                                  <w:br/>
                                </w:r>
                                <w:r w:rsidR="003354ED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meeting </w:t>
                                </w:r>
                                <w:r w:rsidRPr="000D0DB0">
                                  <w:rPr>
                                    <w:sz w:val="20"/>
                                  </w:rPr>
                                  <w:t xml:space="preserve">– </w:t>
                                </w:r>
                                <w:r w:rsidR="000D0DB0" w:rsidRPr="000D0DB0">
                                  <w:rPr>
                                    <w:sz w:val="20"/>
                                  </w:rPr>
                                  <w:t>From 17 to 19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A29B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5pt;margin-top:.7pt;width:314.9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ezPAb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03472F06" w14:textId="46192D74" w:rsidR="00E372B6" w:rsidRDefault="00E372B6" w:rsidP="000D0DB0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Informal Expert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WTPF-26</w:t>
                          </w:r>
                          <w:r>
                            <w:br/>
                          </w:r>
                          <w:r w:rsidR="003354ED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130599">
                            <w:rPr>
                              <w:sz w:val="20"/>
                            </w:rPr>
                            <w:t xml:space="preserve">meeting </w:t>
                          </w:r>
                          <w:r w:rsidRPr="000D0DB0">
                            <w:rPr>
                              <w:sz w:val="20"/>
                            </w:rPr>
                            <w:t xml:space="preserve">– </w:t>
                          </w:r>
                          <w:r w:rsidR="000D0DB0" w:rsidRPr="000D0DB0">
                            <w:rPr>
                              <w:sz w:val="20"/>
                            </w:rPr>
                            <w:t>From 17 to 19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EE5F59" wp14:editId="38CCA41C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4807BEC" w14:textId="77777777" w:rsidR="00E372B6" w:rsidRDefault="00E372B6" w:rsidP="00E372B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01EC1B5" w14:textId="77777777" w:rsidR="00E372B6" w:rsidRDefault="00E372B6" w:rsidP="00E372B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6FA26B3" w14:textId="77777777" w:rsidR="00E372B6" w:rsidRPr="00784011" w:rsidRDefault="00E372B6" w:rsidP="00E372B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51BF1CE1" w14:textId="74067685" w:rsidR="00AD3606" w:rsidRPr="00E372B6" w:rsidRDefault="00E372B6" w:rsidP="00E372B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C0AAA7" wp14:editId="035F9267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83341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6A0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34C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2A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E00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66F8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83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620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207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865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B44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5AA9"/>
    <w:multiLevelType w:val="hybridMultilevel"/>
    <w:tmpl w:val="50E60FBE"/>
    <w:lvl w:ilvl="0" w:tplc="2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AB30B9"/>
    <w:multiLevelType w:val="multilevel"/>
    <w:tmpl w:val="942CC88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BD6147"/>
    <w:multiLevelType w:val="hybridMultilevel"/>
    <w:tmpl w:val="393E6F10"/>
    <w:lvl w:ilvl="0" w:tplc="05446B2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E5CA5"/>
    <w:multiLevelType w:val="multilevel"/>
    <w:tmpl w:val="942CC88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2691C9B"/>
    <w:multiLevelType w:val="hybridMultilevel"/>
    <w:tmpl w:val="DCF412B0"/>
    <w:lvl w:ilvl="0" w:tplc="05446B2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34D48"/>
    <w:multiLevelType w:val="hybridMultilevel"/>
    <w:tmpl w:val="2C3E8C98"/>
    <w:lvl w:ilvl="0" w:tplc="2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50EE4"/>
    <w:multiLevelType w:val="hybridMultilevel"/>
    <w:tmpl w:val="04A4565E"/>
    <w:lvl w:ilvl="0" w:tplc="2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816267">
    <w:abstractNumId w:val="9"/>
  </w:num>
  <w:num w:numId="2" w16cid:durableId="1317610487">
    <w:abstractNumId w:val="7"/>
  </w:num>
  <w:num w:numId="3" w16cid:durableId="700594878">
    <w:abstractNumId w:val="6"/>
  </w:num>
  <w:num w:numId="4" w16cid:durableId="981808299">
    <w:abstractNumId w:val="5"/>
  </w:num>
  <w:num w:numId="5" w16cid:durableId="452094071">
    <w:abstractNumId w:val="4"/>
  </w:num>
  <w:num w:numId="6" w16cid:durableId="1632519813">
    <w:abstractNumId w:val="8"/>
  </w:num>
  <w:num w:numId="7" w16cid:durableId="1110007609">
    <w:abstractNumId w:val="3"/>
  </w:num>
  <w:num w:numId="8" w16cid:durableId="76829135">
    <w:abstractNumId w:val="2"/>
  </w:num>
  <w:num w:numId="9" w16cid:durableId="1611011476">
    <w:abstractNumId w:val="1"/>
  </w:num>
  <w:num w:numId="10" w16cid:durableId="617955706">
    <w:abstractNumId w:val="0"/>
  </w:num>
  <w:num w:numId="11" w16cid:durableId="757948217">
    <w:abstractNumId w:val="8"/>
  </w:num>
  <w:num w:numId="12" w16cid:durableId="352731453">
    <w:abstractNumId w:val="3"/>
  </w:num>
  <w:num w:numId="13" w16cid:durableId="890842215">
    <w:abstractNumId w:val="2"/>
  </w:num>
  <w:num w:numId="14" w16cid:durableId="958536898">
    <w:abstractNumId w:val="1"/>
  </w:num>
  <w:num w:numId="15" w16cid:durableId="1298143016">
    <w:abstractNumId w:val="0"/>
  </w:num>
  <w:num w:numId="16" w16cid:durableId="125973867">
    <w:abstractNumId w:val="14"/>
  </w:num>
  <w:num w:numId="17" w16cid:durableId="1079983455">
    <w:abstractNumId w:val="12"/>
  </w:num>
  <w:num w:numId="18" w16cid:durableId="578901449">
    <w:abstractNumId w:val="11"/>
  </w:num>
  <w:num w:numId="19" w16cid:durableId="267398633">
    <w:abstractNumId w:val="16"/>
  </w:num>
  <w:num w:numId="20" w16cid:durableId="2123183138">
    <w:abstractNumId w:val="15"/>
  </w:num>
  <w:num w:numId="21" w16cid:durableId="1708136440">
    <w:abstractNumId w:val="10"/>
  </w:num>
  <w:num w:numId="22" w16cid:durableId="1023744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BB"/>
    <w:rsid w:val="00003A6D"/>
    <w:rsid w:val="000041A9"/>
    <w:rsid w:val="00004C8C"/>
    <w:rsid w:val="00006DB2"/>
    <w:rsid w:val="000120E4"/>
    <w:rsid w:val="000210D4"/>
    <w:rsid w:val="00046146"/>
    <w:rsid w:val="000525A1"/>
    <w:rsid w:val="00063016"/>
    <w:rsid w:val="00066795"/>
    <w:rsid w:val="00076AF6"/>
    <w:rsid w:val="00085CF2"/>
    <w:rsid w:val="000A1525"/>
    <w:rsid w:val="000B1705"/>
    <w:rsid w:val="000D0DB0"/>
    <w:rsid w:val="000D75B2"/>
    <w:rsid w:val="000F6AB8"/>
    <w:rsid w:val="001121F5"/>
    <w:rsid w:val="00130599"/>
    <w:rsid w:val="00131E18"/>
    <w:rsid w:val="001400DC"/>
    <w:rsid w:val="00140CE1"/>
    <w:rsid w:val="00147C54"/>
    <w:rsid w:val="0016259B"/>
    <w:rsid w:val="0017539C"/>
    <w:rsid w:val="00175AC2"/>
    <w:rsid w:val="0017609F"/>
    <w:rsid w:val="0017625E"/>
    <w:rsid w:val="001777BC"/>
    <w:rsid w:val="001A0480"/>
    <w:rsid w:val="001A7D1D"/>
    <w:rsid w:val="001B0595"/>
    <w:rsid w:val="001B51DD"/>
    <w:rsid w:val="001C628E"/>
    <w:rsid w:val="001D62DF"/>
    <w:rsid w:val="001E0F7B"/>
    <w:rsid w:val="001E0FBE"/>
    <w:rsid w:val="001E5FE7"/>
    <w:rsid w:val="00202BAF"/>
    <w:rsid w:val="00205D4E"/>
    <w:rsid w:val="002119FD"/>
    <w:rsid w:val="002130E0"/>
    <w:rsid w:val="00227AAB"/>
    <w:rsid w:val="00237222"/>
    <w:rsid w:val="002430CE"/>
    <w:rsid w:val="00244F7F"/>
    <w:rsid w:val="0025570E"/>
    <w:rsid w:val="002608B7"/>
    <w:rsid w:val="00264425"/>
    <w:rsid w:val="00265875"/>
    <w:rsid w:val="0027303B"/>
    <w:rsid w:val="0028109B"/>
    <w:rsid w:val="00287DE7"/>
    <w:rsid w:val="002A2188"/>
    <w:rsid w:val="002B1F58"/>
    <w:rsid w:val="002C1C7A"/>
    <w:rsid w:val="002C54E2"/>
    <w:rsid w:val="002E0AC3"/>
    <w:rsid w:val="002F2D06"/>
    <w:rsid w:val="0030160F"/>
    <w:rsid w:val="00301AEE"/>
    <w:rsid w:val="003145DF"/>
    <w:rsid w:val="00320223"/>
    <w:rsid w:val="00322AB8"/>
    <w:rsid w:val="00322D0D"/>
    <w:rsid w:val="003354ED"/>
    <w:rsid w:val="00361465"/>
    <w:rsid w:val="003877F5"/>
    <w:rsid w:val="003942D4"/>
    <w:rsid w:val="0039514F"/>
    <w:rsid w:val="003958A8"/>
    <w:rsid w:val="003B29C2"/>
    <w:rsid w:val="003C20CA"/>
    <w:rsid w:val="003C2533"/>
    <w:rsid w:val="003D2E43"/>
    <w:rsid w:val="003D5A7F"/>
    <w:rsid w:val="003D635C"/>
    <w:rsid w:val="003D71D8"/>
    <w:rsid w:val="003F225E"/>
    <w:rsid w:val="004016E2"/>
    <w:rsid w:val="0040435A"/>
    <w:rsid w:val="00416A24"/>
    <w:rsid w:val="00416A30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51C8"/>
    <w:rsid w:val="004D1851"/>
    <w:rsid w:val="004D599D"/>
    <w:rsid w:val="004E06D1"/>
    <w:rsid w:val="004E2EA5"/>
    <w:rsid w:val="004E3AEB"/>
    <w:rsid w:val="00500CA4"/>
    <w:rsid w:val="0050223C"/>
    <w:rsid w:val="00507750"/>
    <w:rsid w:val="005170FD"/>
    <w:rsid w:val="005243FF"/>
    <w:rsid w:val="00524E9C"/>
    <w:rsid w:val="005311D6"/>
    <w:rsid w:val="00536422"/>
    <w:rsid w:val="0054526E"/>
    <w:rsid w:val="005536C2"/>
    <w:rsid w:val="00564FBC"/>
    <w:rsid w:val="005800BC"/>
    <w:rsid w:val="00582442"/>
    <w:rsid w:val="005A335D"/>
    <w:rsid w:val="005B0869"/>
    <w:rsid w:val="005C13D4"/>
    <w:rsid w:val="005C77C0"/>
    <w:rsid w:val="005E2BD5"/>
    <w:rsid w:val="005E4F47"/>
    <w:rsid w:val="005F3269"/>
    <w:rsid w:val="005F7BEB"/>
    <w:rsid w:val="00612123"/>
    <w:rsid w:val="00615961"/>
    <w:rsid w:val="00623AE3"/>
    <w:rsid w:val="006261F4"/>
    <w:rsid w:val="0064737F"/>
    <w:rsid w:val="006535F1"/>
    <w:rsid w:val="0065557D"/>
    <w:rsid w:val="00660D50"/>
    <w:rsid w:val="00661E73"/>
    <w:rsid w:val="00662984"/>
    <w:rsid w:val="00663050"/>
    <w:rsid w:val="006716BB"/>
    <w:rsid w:val="006973C8"/>
    <w:rsid w:val="006A4862"/>
    <w:rsid w:val="006B1859"/>
    <w:rsid w:val="006B6680"/>
    <w:rsid w:val="006B6DCC"/>
    <w:rsid w:val="00701C70"/>
    <w:rsid w:val="00702DEF"/>
    <w:rsid w:val="00706861"/>
    <w:rsid w:val="00715596"/>
    <w:rsid w:val="007247CF"/>
    <w:rsid w:val="00726B8C"/>
    <w:rsid w:val="00727C44"/>
    <w:rsid w:val="0075051B"/>
    <w:rsid w:val="00753BE1"/>
    <w:rsid w:val="0077110E"/>
    <w:rsid w:val="00775655"/>
    <w:rsid w:val="007849D5"/>
    <w:rsid w:val="00793188"/>
    <w:rsid w:val="00794D34"/>
    <w:rsid w:val="007B3F0C"/>
    <w:rsid w:val="00806E3C"/>
    <w:rsid w:val="00813E5E"/>
    <w:rsid w:val="00816C2C"/>
    <w:rsid w:val="00834CF1"/>
    <w:rsid w:val="0083581B"/>
    <w:rsid w:val="00860EED"/>
    <w:rsid w:val="00863874"/>
    <w:rsid w:val="00864AFF"/>
    <w:rsid w:val="00865925"/>
    <w:rsid w:val="00870C17"/>
    <w:rsid w:val="00872B5C"/>
    <w:rsid w:val="00877BF2"/>
    <w:rsid w:val="00884F3A"/>
    <w:rsid w:val="00891503"/>
    <w:rsid w:val="008A2F06"/>
    <w:rsid w:val="008B4A6A"/>
    <w:rsid w:val="008C7E27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B0EBB"/>
    <w:rsid w:val="009B38C3"/>
    <w:rsid w:val="009B44BD"/>
    <w:rsid w:val="009E17BD"/>
    <w:rsid w:val="009E485A"/>
    <w:rsid w:val="009E5C0E"/>
    <w:rsid w:val="00A04CEC"/>
    <w:rsid w:val="00A27F92"/>
    <w:rsid w:val="00A32257"/>
    <w:rsid w:val="00A34013"/>
    <w:rsid w:val="00A36D20"/>
    <w:rsid w:val="00A43C03"/>
    <w:rsid w:val="00A46CD0"/>
    <w:rsid w:val="00A50166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2C1B"/>
    <w:rsid w:val="00B849D3"/>
    <w:rsid w:val="00B84B9D"/>
    <w:rsid w:val="00BA3A51"/>
    <w:rsid w:val="00BC251A"/>
    <w:rsid w:val="00BD032B"/>
    <w:rsid w:val="00BD0614"/>
    <w:rsid w:val="00BD094B"/>
    <w:rsid w:val="00BE2640"/>
    <w:rsid w:val="00C01189"/>
    <w:rsid w:val="00C374DE"/>
    <w:rsid w:val="00C47AD4"/>
    <w:rsid w:val="00C52D81"/>
    <w:rsid w:val="00C55198"/>
    <w:rsid w:val="00C567EC"/>
    <w:rsid w:val="00C725C6"/>
    <w:rsid w:val="00C922C7"/>
    <w:rsid w:val="00CA6393"/>
    <w:rsid w:val="00CB18FF"/>
    <w:rsid w:val="00CB24AA"/>
    <w:rsid w:val="00CC1AFD"/>
    <w:rsid w:val="00CD0C08"/>
    <w:rsid w:val="00CD3C91"/>
    <w:rsid w:val="00CE03FB"/>
    <w:rsid w:val="00CE433C"/>
    <w:rsid w:val="00CF0161"/>
    <w:rsid w:val="00CF33F3"/>
    <w:rsid w:val="00D06183"/>
    <w:rsid w:val="00D066FF"/>
    <w:rsid w:val="00D143DF"/>
    <w:rsid w:val="00D22C42"/>
    <w:rsid w:val="00D45669"/>
    <w:rsid w:val="00D464CC"/>
    <w:rsid w:val="00D522F6"/>
    <w:rsid w:val="00D65041"/>
    <w:rsid w:val="00D67039"/>
    <w:rsid w:val="00D86E6C"/>
    <w:rsid w:val="00DB00D5"/>
    <w:rsid w:val="00DB1936"/>
    <w:rsid w:val="00DB384B"/>
    <w:rsid w:val="00DF0189"/>
    <w:rsid w:val="00E06FD5"/>
    <w:rsid w:val="00E10E80"/>
    <w:rsid w:val="00E124F0"/>
    <w:rsid w:val="00E227F3"/>
    <w:rsid w:val="00E372B6"/>
    <w:rsid w:val="00E4728B"/>
    <w:rsid w:val="00E545C6"/>
    <w:rsid w:val="00E60F04"/>
    <w:rsid w:val="00E63EFF"/>
    <w:rsid w:val="00E65B24"/>
    <w:rsid w:val="00E854E4"/>
    <w:rsid w:val="00E85B67"/>
    <w:rsid w:val="00E86DBF"/>
    <w:rsid w:val="00EA2E93"/>
    <w:rsid w:val="00EB0D6F"/>
    <w:rsid w:val="00EB2232"/>
    <w:rsid w:val="00EC5337"/>
    <w:rsid w:val="00EC7C07"/>
    <w:rsid w:val="00EE49E8"/>
    <w:rsid w:val="00F02787"/>
    <w:rsid w:val="00F10B59"/>
    <w:rsid w:val="00F16BAB"/>
    <w:rsid w:val="00F2150A"/>
    <w:rsid w:val="00F231D8"/>
    <w:rsid w:val="00F44C00"/>
    <w:rsid w:val="00F45D2C"/>
    <w:rsid w:val="00F46C5F"/>
    <w:rsid w:val="00F632C0"/>
    <w:rsid w:val="00F66A26"/>
    <w:rsid w:val="00F73B2C"/>
    <w:rsid w:val="00F74694"/>
    <w:rsid w:val="00F86596"/>
    <w:rsid w:val="00F93FD4"/>
    <w:rsid w:val="00F94A63"/>
    <w:rsid w:val="00F95322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FDA2F"/>
  <w15:docId w15:val="{270DA025-B6CD-4A4D-A30B-B90B9B4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C1AFD"/>
    <w:rPr>
      <w:color w:val="666666"/>
    </w:rPr>
  </w:style>
  <w:style w:type="paragraph" w:customStyle="1" w:styleId="Reasons">
    <w:name w:val="Reasons"/>
    <w:basedOn w:val="Normal"/>
    <w:qFormat/>
    <w:rsid w:val="003354ED"/>
  </w:style>
  <w:style w:type="paragraph" w:styleId="ListParagraph">
    <w:name w:val="List Paragraph"/>
    <w:basedOn w:val="Normal"/>
    <w:uiPriority w:val="34"/>
    <w:qFormat/>
    <w:rsid w:val="0023722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en-T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Pages/ieg-wtpf-26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chapeau opinion</vt:lpstr>
    </vt:vector>
  </TitlesOfParts>
  <Manager/>
  <Company/>
  <LinksUpToDate>false</LinksUpToDate>
  <CharactersWithSpaces>8195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chapeau opinion</dc:title>
  <dc:subject>ITU Informal groups of experts on WTPF-26</dc:subject>
  <dc:creator>GBS</dc:creator>
  <cp:keywords>IEG3-WTPF-26</cp:keywords>
  <dc:description/>
  <cp:lastModifiedBy>GBS</cp:lastModifiedBy>
  <cp:revision>3</cp:revision>
  <dcterms:created xsi:type="dcterms:W3CDTF">2025-09-19T06:34:00Z</dcterms:created>
  <dcterms:modified xsi:type="dcterms:W3CDTF">2025-09-19T06:36:00Z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54ca7a0abae9c1fec765a5763a84b5b1ac93da14b3b346b7f358f225462eaf55</vt:lpwstr>
  </property>
</Properties>
</file>