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1464EE0" w14:textId="77777777" w:rsidTr="00AD3606">
        <w:trPr>
          <w:cantSplit/>
          <w:trHeight w:val="23"/>
        </w:trPr>
        <w:tc>
          <w:tcPr>
            <w:tcW w:w="3969" w:type="dxa"/>
            <w:vMerge w:val="restart"/>
            <w:tcMar>
              <w:left w:w="0" w:type="dxa"/>
            </w:tcMar>
          </w:tcPr>
          <w:p w14:paraId="466455C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23BF583" w14:textId="28DD293A"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A34013">
              <w:rPr>
                <w:b/>
                <w:lang w:val="fr-CH"/>
              </w:rPr>
              <w:t>IEG-WTPF-26</w:t>
            </w:r>
            <w:r w:rsidR="00524E9C">
              <w:rPr>
                <w:b/>
                <w:lang w:val="fr-CH"/>
              </w:rPr>
              <w:t>-</w:t>
            </w:r>
            <w:r w:rsidR="003354ED">
              <w:rPr>
                <w:b/>
                <w:lang w:val="fr-CH"/>
              </w:rPr>
              <w:t>3</w:t>
            </w:r>
            <w:r w:rsidR="00F66A26">
              <w:rPr>
                <w:b/>
                <w:lang w:val="fr-FR"/>
              </w:rPr>
              <w:t>/</w:t>
            </w:r>
            <w:r w:rsidR="00756188">
              <w:rPr>
                <w:b/>
                <w:lang w:val="fr-FR"/>
              </w:rPr>
              <w:t>19</w:t>
            </w:r>
          </w:p>
        </w:tc>
      </w:tr>
      <w:tr w:rsidR="00AD3606" w:rsidRPr="00147C54" w14:paraId="6F2F1E77" w14:textId="77777777" w:rsidTr="00AD3606">
        <w:trPr>
          <w:cantSplit/>
        </w:trPr>
        <w:tc>
          <w:tcPr>
            <w:tcW w:w="3969" w:type="dxa"/>
            <w:vMerge/>
          </w:tcPr>
          <w:p w14:paraId="214CA844"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4DFF7B9" w14:textId="2CF7FF4E" w:rsidR="00AD3606" w:rsidRPr="00147C54" w:rsidRDefault="0005727E" w:rsidP="00AD3606">
            <w:pPr>
              <w:tabs>
                <w:tab w:val="left" w:pos="851"/>
              </w:tabs>
              <w:spacing w:before="0"/>
              <w:jc w:val="right"/>
              <w:rPr>
                <w:b/>
              </w:rPr>
            </w:pPr>
            <w:r>
              <w:rPr>
                <w:b/>
              </w:rPr>
              <w:t>15 September 2025</w:t>
            </w:r>
          </w:p>
        </w:tc>
      </w:tr>
      <w:tr w:rsidR="00AD3606" w:rsidRPr="00147C54" w14:paraId="2CAF1106" w14:textId="77777777" w:rsidTr="00AD3606">
        <w:trPr>
          <w:cantSplit/>
          <w:trHeight w:val="23"/>
        </w:trPr>
        <w:tc>
          <w:tcPr>
            <w:tcW w:w="3969" w:type="dxa"/>
            <w:vMerge/>
          </w:tcPr>
          <w:p w14:paraId="7DB0A62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CE307C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ED256CD" w14:textId="77777777" w:rsidTr="00AD3606">
        <w:trPr>
          <w:cantSplit/>
          <w:trHeight w:val="23"/>
        </w:trPr>
        <w:tc>
          <w:tcPr>
            <w:tcW w:w="3969" w:type="dxa"/>
          </w:tcPr>
          <w:p w14:paraId="532CED05" w14:textId="77777777" w:rsidR="00472BAD" w:rsidRPr="00147C54" w:rsidRDefault="00472BAD" w:rsidP="00AD3606">
            <w:pPr>
              <w:tabs>
                <w:tab w:val="left" w:pos="851"/>
              </w:tabs>
              <w:spacing w:line="240" w:lineRule="atLeast"/>
              <w:rPr>
                <w:b/>
              </w:rPr>
            </w:pPr>
          </w:p>
        </w:tc>
        <w:tc>
          <w:tcPr>
            <w:tcW w:w="5245" w:type="dxa"/>
          </w:tcPr>
          <w:p w14:paraId="7D8DAA7C" w14:textId="77777777" w:rsidR="00472BAD" w:rsidRPr="00147C54" w:rsidRDefault="00472BAD" w:rsidP="00AD3606">
            <w:pPr>
              <w:tabs>
                <w:tab w:val="left" w:pos="851"/>
              </w:tabs>
              <w:spacing w:before="0" w:line="240" w:lineRule="atLeast"/>
              <w:jc w:val="right"/>
              <w:rPr>
                <w:b/>
              </w:rPr>
            </w:pPr>
          </w:p>
        </w:tc>
      </w:tr>
      <w:tr w:rsidR="00AD3606" w:rsidRPr="00147C54" w14:paraId="3681B2A7" w14:textId="77777777" w:rsidTr="00AD3606">
        <w:trPr>
          <w:cantSplit/>
        </w:trPr>
        <w:tc>
          <w:tcPr>
            <w:tcW w:w="9214" w:type="dxa"/>
            <w:gridSpan w:val="2"/>
            <w:tcMar>
              <w:left w:w="0" w:type="dxa"/>
            </w:tcMar>
          </w:tcPr>
          <w:p w14:paraId="2658C4C6" w14:textId="747661CA" w:rsidR="00AD3606" w:rsidRPr="00147C54" w:rsidRDefault="00A34013" w:rsidP="00E4728B">
            <w:pPr>
              <w:pStyle w:val="Source"/>
              <w:framePr w:hSpace="0" w:wrap="auto" w:vAnchor="margin" w:hAnchor="text" w:xAlign="left" w:yAlign="inline"/>
            </w:pPr>
            <w:bookmarkStart w:id="8" w:name="dsource" w:colFirst="0" w:colLast="0"/>
            <w:bookmarkEnd w:id="7"/>
            <w:r>
              <w:t>Report</w:t>
            </w:r>
            <w:r w:rsidR="00EA2E93" w:rsidRPr="00676C7D">
              <w:t xml:space="preserve"> by the </w:t>
            </w:r>
            <w:r w:rsidR="00EB053E">
              <w:t>Chair, IEG-WTPF-26</w:t>
            </w:r>
          </w:p>
        </w:tc>
      </w:tr>
      <w:tr w:rsidR="00AD3606" w:rsidRPr="00147C54" w14:paraId="6EAF8DEF" w14:textId="77777777" w:rsidTr="00AD3606">
        <w:trPr>
          <w:cantSplit/>
        </w:trPr>
        <w:tc>
          <w:tcPr>
            <w:tcW w:w="9214" w:type="dxa"/>
            <w:gridSpan w:val="2"/>
            <w:tcMar>
              <w:left w:w="0" w:type="dxa"/>
            </w:tcMar>
          </w:tcPr>
          <w:p w14:paraId="28AF7887" w14:textId="25BDE311" w:rsidR="00AD3606" w:rsidRPr="00147C54" w:rsidRDefault="00EB053E" w:rsidP="00EB053E">
            <w:pPr>
              <w:pStyle w:val="Subtitle"/>
              <w:framePr w:hSpace="0" w:wrap="auto" w:xAlign="left" w:yAlign="inline"/>
            </w:pPr>
            <w:bookmarkStart w:id="9" w:name="dtitle1" w:colFirst="0" w:colLast="0"/>
            <w:bookmarkEnd w:id="8"/>
            <w:r w:rsidRPr="00EB053E">
              <w:t xml:space="preserve">CONSOLIDATED CONTRIBUTIONS OF THE INFORMAL EXPERT GROUP MEMBERS TO THE </w:t>
            </w:r>
            <w:r w:rsidR="00434169">
              <w:t>THIRD</w:t>
            </w:r>
            <w:r w:rsidRPr="00EB053E">
              <w:t xml:space="preserve"> DRAFT REPORT BY THE ITU SECRETARY-GENERAL</w:t>
            </w:r>
          </w:p>
        </w:tc>
      </w:tr>
      <w:tr w:rsidR="00AD3606" w:rsidRPr="00147C54" w14:paraId="289E30A5" w14:textId="77777777" w:rsidTr="00AD3606">
        <w:trPr>
          <w:cantSplit/>
        </w:trPr>
        <w:tc>
          <w:tcPr>
            <w:tcW w:w="9214" w:type="dxa"/>
            <w:gridSpan w:val="2"/>
            <w:tcBorders>
              <w:top w:val="single" w:sz="4" w:space="0" w:color="auto"/>
              <w:bottom w:val="single" w:sz="4" w:space="0" w:color="auto"/>
            </w:tcBorders>
            <w:tcMar>
              <w:left w:w="0" w:type="dxa"/>
            </w:tcMar>
          </w:tcPr>
          <w:p w14:paraId="5FE5012F" w14:textId="77777777" w:rsidR="00AD3606" w:rsidRPr="00147C54" w:rsidRDefault="00F16BAB" w:rsidP="00F16BAB">
            <w:pPr>
              <w:spacing w:before="160"/>
              <w:rPr>
                <w:b/>
                <w:bCs/>
                <w:sz w:val="26"/>
                <w:szCs w:val="26"/>
              </w:rPr>
            </w:pPr>
            <w:r w:rsidRPr="00147C54">
              <w:rPr>
                <w:b/>
                <w:bCs/>
                <w:sz w:val="26"/>
                <w:szCs w:val="26"/>
              </w:rPr>
              <w:t>Purpose</w:t>
            </w:r>
          </w:p>
          <w:p w14:paraId="52F9485A" w14:textId="5CF530F3" w:rsidR="00EB053E" w:rsidRPr="00EB053E" w:rsidRDefault="00EB053E" w:rsidP="00EB053E">
            <w:pPr>
              <w:rPr>
                <w:highlight w:val="yellow"/>
              </w:rPr>
            </w:pPr>
            <w:r w:rsidRPr="00EB053E">
              <w:t xml:space="preserve">This document consolidates all contributions received from IEG-WTPF-26 members on the </w:t>
            </w:r>
            <w:r>
              <w:t>Third</w:t>
            </w:r>
            <w:r w:rsidRPr="00EB053E">
              <w:t xml:space="preserve"> Draft of the Secretary General's report. The document is for consideration and discussion to inform development of the next draft report and draft Opinions.</w:t>
            </w:r>
          </w:p>
          <w:p w14:paraId="02D7A825" w14:textId="77777777" w:rsidR="00AD3606" w:rsidRPr="00147C54" w:rsidRDefault="00AD3606" w:rsidP="00F16BAB">
            <w:pPr>
              <w:spacing w:before="160"/>
              <w:rPr>
                <w:b/>
                <w:bCs/>
                <w:sz w:val="26"/>
                <w:szCs w:val="26"/>
              </w:rPr>
            </w:pPr>
            <w:r w:rsidRPr="00147C54">
              <w:rPr>
                <w:b/>
                <w:bCs/>
                <w:sz w:val="26"/>
                <w:szCs w:val="26"/>
              </w:rPr>
              <w:t>Action required</w:t>
            </w:r>
          </w:p>
          <w:p w14:paraId="17707DC0" w14:textId="77777777" w:rsidR="00EB053E" w:rsidRPr="00EB053E" w:rsidRDefault="00EB053E" w:rsidP="00EB053E">
            <w:r w:rsidRPr="00EB053E">
              <w:t>The Informal Expert Group on WTPF-26 is invited to:</w:t>
            </w:r>
          </w:p>
          <w:p w14:paraId="5194ED9D" w14:textId="77777777" w:rsidR="00EB053E" w:rsidRPr="00EB053E" w:rsidRDefault="00EB053E" w:rsidP="00EB053E">
            <w:r w:rsidRPr="00EB053E">
              <w:t xml:space="preserve">– </w:t>
            </w:r>
            <w:r w:rsidRPr="00EB053E">
              <w:rPr>
                <w:b/>
                <w:bCs/>
              </w:rPr>
              <w:t>consider</w:t>
            </w:r>
            <w:r w:rsidRPr="00EB053E">
              <w:t xml:space="preserve"> and discuss the consolidated contributions;</w:t>
            </w:r>
          </w:p>
          <w:p w14:paraId="265A57B4" w14:textId="4EBEB6DF" w:rsidR="00EA2E93" w:rsidRPr="00A34013" w:rsidRDefault="00EB053E" w:rsidP="00EB053E">
            <w:pPr>
              <w:spacing w:before="60"/>
              <w:rPr>
                <w:b/>
                <w:bCs/>
                <w:szCs w:val="24"/>
              </w:rPr>
            </w:pPr>
            <w:r w:rsidRPr="00EB053E">
              <w:t xml:space="preserve">– </w:t>
            </w:r>
            <w:r w:rsidRPr="00EB053E">
              <w:rPr>
                <w:b/>
                <w:bCs/>
              </w:rPr>
              <w:t>provide guidance</w:t>
            </w:r>
            <w:r w:rsidRPr="00EB053E">
              <w:t xml:space="preserve"> on harmonizing overlapping proposals within each thematic</w:t>
            </w:r>
            <w:r>
              <w:t xml:space="preserve"> </w:t>
            </w:r>
            <w:r w:rsidRPr="00EB053E">
              <w:t>cluster.</w:t>
            </w:r>
          </w:p>
          <w:p w14:paraId="72E35A13" w14:textId="77777777" w:rsidR="00AD3606" w:rsidRPr="00CD3C91" w:rsidRDefault="00CD3C91" w:rsidP="00CD3C91">
            <w:r>
              <w:t>_______________</w:t>
            </w:r>
          </w:p>
          <w:p w14:paraId="170378E6" w14:textId="77777777" w:rsidR="00AD3606" w:rsidRPr="00006DB2" w:rsidRDefault="00AD3606" w:rsidP="00663050">
            <w:pPr>
              <w:spacing w:before="160"/>
              <w:rPr>
                <w:sz w:val="26"/>
                <w:szCs w:val="26"/>
              </w:rPr>
            </w:pPr>
            <w:r w:rsidRPr="00147C54">
              <w:rPr>
                <w:b/>
                <w:bCs/>
                <w:sz w:val="26"/>
                <w:szCs w:val="26"/>
              </w:rPr>
              <w:t>References</w:t>
            </w:r>
            <w:r w:rsidR="00301AEE">
              <w:rPr>
                <w:b/>
                <w:bCs/>
                <w:sz w:val="26"/>
                <w:szCs w:val="26"/>
              </w:rPr>
              <w:t xml:space="preserve"> </w:t>
            </w:r>
          </w:p>
          <w:p w14:paraId="7B41DBE7" w14:textId="54435B13" w:rsidR="00AD3606" w:rsidRPr="00524E9C" w:rsidRDefault="00A34013" w:rsidP="00F16BAB">
            <w:pPr>
              <w:spacing w:after="160"/>
              <w:rPr>
                <w:i/>
                <w:iCs/>
                <w:sz w:val="22"/>
                <w:szCs w:val="22"/>
              </w:rPr>
            </w:pPr>
            <w:hyperlink r:id="rId8" w:history="1">
              <w:r w:rsidRPr="00FD50B4">
                <w:rPr>
                  <w:rStyle w:val="Hyperlink"/>
                  <w:i/>
                  <w:iCs/>
                  <w:sz w:val="22"/>
                  <w:szCs w:val="22"/>
                </w:rPr>
                <w:t>IEG-WTPF-26 webpage</w:t>
              </w:r>
            </w:hyperlink>
            <w:r>
              <w:rPr>
                <w:i/>
                <w:iCs/>
                <w:sz w:val="22"/>
                <w:szCs w:val="22"/>
              </w:rPr>
              <w:t>;</w:t>
            </w:r>
          </w:p>
        </w:tc>
      </w:tr>
    </w:tbl>
    <w:p w14:paraId="57BCEA01"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56A0DD2"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735B6C15" w14:textId="154E571F" w:rsidR="00756188" w:rsidRDefault="00756188"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bookmarkStart w:id="11" w:name="_Hlk182852311"/>
      <w:bookmarkEnd w:id="5"/>
      <w:bookmarkEnd w:id="10"/>
      <w:r>
        <w:rPr>
          <w:noProof/>
        </w:rPr>
        <w:lastRenderedPageBreak/>
        <w:drawing>
          <wp:inline distT="0" distB="0" distL="0" distR="0" wp14:anchorId="7970EC8B" wp14:editId="26CF73B5">
            <wp:extent cx="604800" cy="669600"/>
            <wp:effectExtent l="0" t="0" r="5080" b="0"/>
            <wp:docPr id="10605280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28048" name="Picture 1"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800" cy="669600"/>
                    </a:xfrm>
                    <a:prstGeom prst="rect">
                      <a:avLst/>
                    </a:prstGeom>
                  </pic:spPr>
                </pic:pic>
              </a:graphicData>
            </a:graphic>
          </wp:inline>
        </w:drawing>
      </w:r>
    </w:p>
    <w:p w14:paraId="712A0D44" w14:textId="223F598E"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jc w:val="right"/>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31 March 2025</w:t>
      </w:r>
    </w:p>
    <w:p w14:paraId="754BD6DF"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eastAsiaTheme="minorEastAsia" w:hAnsiTheme="minorHAnsi" w:cstheme="minorBidi"/>
          <w:bCs/>
          <w:color w:val="4F81BD" w:themeColor="accent1"/>
          <w:sz w:val="28"/>
          <w:szCs w:val="22"/>
          <w:lang w:eastAsia="zh-CN"/>
        </w:rPr>
      </w:pPr>
      <w:r w:rsidRPr="00756188">
        <w:rPr>
          <w:rFonts w:asciiTheme="minorHAnsi" w:eastAsiaTheme="minorEastAsia" w:hAnsiTheme="minorHAnsi" w:cstheme="minorHAnsi"/>
          <w:b/>
          <w:color w:val="4F81BD" w:themeColor="accent1"/>
          <w:sz w:val="28"/>
          <w:szCs w:val="22"/>
          <w:lang w:eastAsia="zh-CN"/>
        </w:rPr>
        <w:t>Third draft Report by the ITU Secretary-General</w:t>
      </w:r>
      <w:r w:rsidRPr="00756188">
        <w:rPr>
          <w:rFonts w:asciiTheme="minorHAnsi" w:eastAsiaTheme="minorEastAsia" w:hAnsiTheme="minorHAnsi" w:cstheme="minorBidi"/>
          <w:b/>
          <w:color w:val="4F81BD" w:themeColor="accent1"/>
          <w:sz w:val="28"/>
          <w:szCs w:val="22"/>
          <w:lang w:eastAsia="zh-CN"/>
        </w:rPr>
        <w:t xml:space="preserve"> </w:t>
      </w:r>
      <w:r w:rsidRPr="00756188">
        <w:rPr>
          <w:rFonts w:asciiTheme="minorHAnsi" w:eastAsiaTheme="minorEastAsia" w:hAnsiTheme="minorHAnsi" w:cstheme="minorBidi"/>
          <w:b/>
          <w:color w:val="4F81BD" w:themeColor="accent1"/>
          <w:sz w:val="28"/>
          <w:szCs w:val="22"/>
          <w:lang w:eastAsia="zh-CN"/>
        </w:rPr>
        <w:br/>
      </w:r>
      <w:r w:rsidRPr="00756188">
        <w:rPr>
          <w:rFonts w:asciiTheme="minorHAnsi" w:eastAsiaTheme="minorEastAsia" w:hAnsiTheme="minorHAnsi" w:cstheme="minorBidi"/>
          <w:bCs/>
          <w:color w:val="4F81BD" w:themeColor="accent1"/>
          <w:sz w:val="28"/>
          <w:szCs w:val="22"/>
          <w:lang w:eastAsia="zh-CN"/>
        </w:rPr>
        <w:t xml:space="preserve">for the World Telecommunication/Information and Communication </w:t>
      </w:r>
      <w:r w:rsidRPr="00756188">
        <w:rPr>
          <w:rFonts w:asciiTheme="minorHAnsi" w:eastAsiaTheme="minorEastAsia" w:hAnsiTheme="minorHAnsi" w:cstheme="minorBidi"/>
          <w:bCs/>
          <w:color w:val="4F81BD" w:themeColor="accent1"/>
          <w:sz w:val="28"/>
          <w:szCs w:val="22"/>
          <w:lang w:eastAsia="zh-CN"/>
        </w:rPr>
        <w:br/>
        <w:t>Technology Policy Forum 2026</w:t>
      </w:r>
    </w:p>
    <w:p w14:paraId="797F1BE0" w14:textId="77777777" w:rsidR="00756188" w:rsidRPr="00756188" w:rsidRDefault="00756188" w:rsidP="00756188">
      <w:pPr>
        <w:keepNext/>
        <w:keepLines/>
        <w:numPr>
          <w:ilvl w:val="0"/>
          <w:numId w:val="17"/>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The Seventh World Telecommunication/Information and Communication Technology Policy Forum 2026 (WTPF-26)</w:t>
      </w:r>
    </w:p>
    <w:p w14:paraId="1C5D4BC0"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Originally established by the Plenipotentiary Conference (Kyoto, 1994) of the International Telecommunication Union (ITU), the World Telecommunication/Information and Communication Technology Policy Forum (WTPF) has been successfully convened in 1996, 1998, 2001, 2009, 2013 and 2021. By its </w:t>
      </w:r>
      <w:hyperlink r:id="rId10">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 xml:space="preserve">, the Plenipotentiary Conference of the ITU resolved to hold the next WTPF in 2026. </w:t>
      </w:r>
    </w:p>
    <w:p w14:paraId="422FC377"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1" w:history="1">
        <w:r w:rsidRPr="00756188">
          <w:rPr>
            <w:rFonts w:asciiTheme="minorHAnsi" w:eastAsiaTheme="minorEastAsia" w:hAnsiTheme="minorHAnsi" w:cstheme="minorBidi"/>
            <w:szCs w:val="28"/>
            <w:lang w:eastAsia="zh-CN"/>
          </w:rPr>
          <w:t>Resolution 2 (Rev. Bucharest, 2022)</w:t>
        </w:r>
      </w:hyperlink>
      <w:r w:rsidRPr="00756188">
        <w:rPr>
          <w:rFonts w:asciiTheme="minorHAnsi" w:eastAsiaTheme="minorEastAsia" w:hAnsiTheme="minorHAnsi" w:cstheme="minorBidi"/>
          <w:szCs w:val="28"/>
          <w:lang w:eastAsia="zh-CN"/>
        </w:rPr>
        <w:t>.</w:t>
      </w:r>
    </w:p>
    <w:p w14:paraId="3D6A8758"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HAnsi"/>
          <w:szCs w:val="28"/>
          <w:lang w:eastAsia="zh-CN"/>
        </w:rPr>
      </w:pPr>
      <w:r w:rsidRPr="00756188">
        <w:rPr>
          <w:rFonts w:asciiTheme="minorHAnsi" w:eastAsiaTheme="minorEastAsia" w:hAnsiTheme="minorHAnsi" w:cstheme="minorBidi"/>
          <w:szCs w:val="28"/>
          <w:lang w:eastAsia="zh-CN"/>
        </w:rPr>
        <w:t xml:space="preserve">By its </w:t>
      </w:r>
      <w:hyperlink r:id="rId12" w:history="1">
        <w:r w:rsidRPr="00756188">
          <w:rPr>
            <w:rFonts w:asciiTheme="minorHAnsi" w:eastAsiaTheme="minorEastAsia" w:hAnsiTheme="minorHAnsi" w:cstheme="minorHAnsi"/>
            <w:szCs w:val="28"/>
            <w:lang w:eastAsia="zh-CN"/>
          </w:rPr>
          <w:t>Decision 641 (Rev. Council 2024)</w:t>
        </w:r>
      </w:hyperlink>
      <w:r w:rsidRPr="00756188">
        <w:rPr>
          <w:rFonts w:asciiTheme="minorHAnsi" w:eastAsiaTheme="minorEastAsia" w:hAnsiTheme="minorHAnsi" w:cstheme="minorBidi"/>
          <w:szCs w:val="28"/>
          <w:lang w:eastAsia="zh-CN"/>
        </w:rPr>
        <w:t xml:space="preserve">, the ITU Council decided that </w:t>
      </w:r>
      <w:r w:rsidRPr="00756188">
        <w:rPr>
          <w:rFonts w:asciiTheme="minorHAnsi" w:eastAsiaTheme="minorEastAsia" w:hAnsiTheme="minorHAnsi" w:cstheme="minorHAnsi"/>
          <w:szCs w:val="28"/>
          <w:lang w:eastAsia="zh-CN"/>
        </w:rPr>
        <w:t>the theme for WTPF-26 is as follows:</w:t>
      </w:r>
    </w:p>
    <w:p w14:paraId="3AD7100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iCs/>
          <w:szCs w:val="22"/>
          <w:lang w:eastAsia="zh-CN"/>
        </w:rPr>
      </w:pPr>
      <w:r w:rsidRPr="00756188">
        <w:rPr>
          <w:rFonts w:asciiTheme="minorHAnsi" w:eastAsiaTheme="minorEastAsia" w:hAnsiTheme="minorHAnsi" w:cstheme="minorBidi"/>
          <w:szCs w:val="22"/>
          <w:lang w:eastAsia="zh-CN"/>
        </w:rPr>
        <w:tab/>
        <w:t>“</w:t>
      </w:r>
      <w:r w:rsidRPr="00756188">
        <w:rPr>
          <w:rFonts w:asciiTheme="minorHAnsi" w:eastAsiaTheme="minorEastAsia" w:hAnsiTheme="minorHAnsi" w:cstheme="minorBidi"/>
          <w:b/>
          <w:i/>
          <w:szCs w:val="22"/>
          <w:lang w:eastAsia="zh-CN"/>
        </w:rPr>
        <w:t>Accelerating an inclusive, sustainable, resilient, and innovative digital future</w:t>
      </w:r>
      <w:r w:rsidRPr="00756188">
        <w:rPr>
          <w:rFonts w:asciiTheme="minorHAnsi" w:eastAsiaTheme="minorEastAsia" w:hAnsiTheme="minorHAnsi" w:cstheme="minorBidi"/>
          <w:szCs w:val="22"/>
          <w:lang w:eastAsia="zh-CN"/>
        </w:rPr>
        <w:t>: In this regard, the WTPF-26 will discuss opportunities, challenges and policies to address the following:</w:t>
      </w:r>
    </w:p>
    <w:p w14:paraId="678E232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bridging digital divides, particularly on gender and age as well as skills and connectivity</w:t>
      </w:r>
    </w:p>
    <w:p w14:paraId="52E73D6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green digital transformation: climate change and environmental sustainability</w:t>
      </w:r>
    </w:p>
    <w:p w14:paraId="0C2B4EA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resilience of telecommunication/ICTs</w:t>
      </w:r>
    </w:p>
    <w:p w14:paraId="7475BD1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space connectivity </w:t>
      </w:r>
    </w:p>
    <w:p w14:paraId="63E382A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strengthening ICT-centric innovation ecosystems and entrepreneurship”</w:t>
      </w:r>
    </w:p>
    <w:p w14:paraId="2A1736BA"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lastRenderedPageBreak/>
        <w:t>WTPF-26 shall not produce prescriptive regulatory outcomes; however, it shall prepare reports and adopt non-</w:t>
      </w:r>
      <w:r w:rsidRPr="00756188">
        <w:rPr>
          <w:rFonts w:asciiTheme="minorHAnsi" w:eastAsiaTheme="minorEastAsia" w:hAnsiTheme="minorHAnsi" w:cstheme="minorHAnsi"/>
          <w:szCs w:val="28"/>
          <w:lang w:eastAsia="zh-CN"/>
        </w:rPr>
        <w:t>binding</w:t>
      </w:r>
      <w:r w:rsidRPr="00756188">
        <w:rPr>
          <w:rFonts w:asciiTheme="minorHAnsi" w:eastAsiaTheme="minorEastAsia" w:hAnsiTheme="minorHAnsi" w:cstheme="minorBidi"/>
          <w:szCs w:val="28"/>
          <w:lang w:eastAsia="zh-CN"/>
        </w:rPr>
        <w:t xml:space="preserve"> opinions by consensus for consideration by Member States, Sector Members, and relevant ITU meetings as per </w:t>
      </w:r>
      <w:hyperlink r:id="rId13">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 xml:space="preserve">. </w:t>
      </w:r>
    </w:p>
    <w:p w14:paraId="579B480C"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More </w:t>
      </w:r>
      <w:r w:rsidRPr="00756188">
        <w:rPr>
          <w:rFonts w:asciiTheme="minorHAnsi" w:eastAsiaTheme="minorEastAsia" w:hAnsiTheme="minorHAnsi" w:cstheme="minorHAnsi"/>
          <w:szCs w:val="28"/>
          <w:lang w:eastAsia="zh-CN"/>
        </w:rPr>
        <w:t>information</w:t>
      </w:r>
      <w:r w:rsidRPr="00756188">
        <w:rPr>
          <w:rFonts w:asciiTheme="minorHAnsi" w:eastAsiaTheme="minorEastAsia" w:hAnsiTheme="minorHAnsi" w:cstheme="minorBidi"/>
          <w:szCs w:val="28"/>
          <w:lang w:eastAsia="zh-CN"/>
        </w:rPr>
        <w:t xml:space="preserve"> relating to the preparatory process of WTPF-26 is posted on </w:t>
      </w:r>
      <w:hyperlink r:id="rId14" w:history="1">
        <w:r w:rsidRPr="00756188">
          <w:rPr>
            <w:rFonts w:asciiTheme="minorHAnsi" w:eastAsiaTheme="minorEastAsia" w:hAnsiTheme="minorHAnsi" w:cstheme="minorBidi"/>
            <w:color w:val="0000FF"/>
            <w:szCs w:val="28"/>
            <w:u w:val="single"/>
            <w:lang w:eastAsia="zh-CN"/>
          </w:rPr>
          <w:t>https://www.itu.int/en/council/Pages/ieg-wtpf-26.aspx</w:t>
        </w:r>
      </w:hyperlink>
      <w:r w:rsidRPr="00756188">
        <w:rPr>
          <w:rFonts w:asciiTheme="minorHAnsi" w:eastAsiaTheme="minorEastAsia" w:hAnsiTheme="minorHAnsi" w:cstheme="minorBidi"/>
          <w:szCs w:val="28"/>
          <w:lang w:eastAsia="zh-CN"/>
        </w:rPr>
        <w:t>.</w:t>
      </w:r>
    </w:p>
    <w:p w14:paraId="7B27E353" w14:textId="77777777" w:rsidR="00756188" w:rsidRPr="00756188" w:rsidRDefault="00756188" w:rsidP="00756188">
      <w:pPr>
        <w:keepNext/>
        <w:keepLines/>
        <w:numPr>
          <w:ilvl w:val="0"/>
          <w:numId w:val="17"/>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Preparatory process for the ITU Secretary-General’s Report</w:t>
      </w:r>
    </w:p>
    <w:p w14:paraId="4448E7BB"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Discussions at WTPF-26 shall be based solely on a single report by the ITU Secretary-General, and contributions from participants based on that report, prepared in accordance with a procedure adopted by the Council and based on the proposals of Member States and Sector Members, and on the views of Associates, Academia and stakeholders, and WTPF shall not consider drafts of any new opinions that were not presented during the preparatory period foreseen for drawing up the Secretary-General’s report prior to the forum as set out in </w:t>
      </w:r>
      <w:hyperlink r:id="rId15" w:history="1">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w:t>
      </w:r>
    </w:p>
    <w:p w14:paraId="3BEEBF16"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In accordance with </w:t>
      </w:r>
      <w:hyperlink r:id="rId16" w:history="1">
        <w:r w:rsidRPr="00756188">
          <w:rPr>
            <w:rFonts w:asciiTheme="minorHAnsi" w:eastAsiaTheme="minorEastAsia" w:hAnsiTheme="minorHAnsi" w:cstheme="minorBidi"/>
            <w:color w:val="0000FF"/>
            <w:szCs w:val="28"/>
            <w:u w:val="single"/>
            <w:lang w:eastAsia="zh-CN"/>
          </w:rPr>
          <w:t>Decision 641 (Council 2024)</w:t>
        </w:r>
      </w:hyperlink>
      <w:r w:rsidRPr="00756188">
        <w:rPr>
          <w:rFonts w:asciiTheme="minorHAnsi" w:eastAsiaTheme="minorEastAsia" w:hAnsiTheme="minorHAnsi" w:cstheme="minorBidi"/>
          <w:szCs w:val="28"/>
          <w:lang w:eastAsia="zh-CN"/>
        </w:rPr>
        <w:t>, the ITU Secretary-General shall convene a balanced, informal group of experts (IEG), each of whom is active in preparing for WTPF-26 in his/her own country, to assist in this process. In this regard, a circular letter (</w:t>
      </w:r>
      <w:hyperlink r:id="rId17" w:history="1">
        <w:r w:rsidRPr="00756188">
          <w:rPr>
            <w:rFonts w:asciiTheme="minorHAnsi" w:eastAsiaTheme="minorEastAsia" w:hAnsiTheme="minorHAnsi" w:cstheme="minorBidi"/>
            <w:color w:val="0000FF"/>
            <w:szCs w:val="28"/>
            <w:u w:val="single"/>
            <w:lang w:eastAsia="zh-CN"/>
          </w:rPr>
          <w:t>CL-24/44</w:t>
        </w:r>
      </w:hyperlink>
      <w:r w:rsidRPr="00756188">
        <w:rPr>
          <w:rFonts w:asciiTheme="minorHAnsi" w:eastAsiaTheme="minorEastAsia" w:hAnsiTheme="minorHAnsi" w:cstheme="minorBidi"/>
          <w:szCs w:val="28"/>
          <w:lang w:eastAsia="zh-CN"/>
        </w:rPr>
        <w:t>) has been sent on 14 June 2024 to Member States, the State of Palestine, Sector Members, Associates, Academia, and Organizations which have the right to attend ITU conferences and meetings as observers, calling for nomination of experts to constitute the IEG.</w:t>
      </w:r>
    </w:p>
    <w:p w14:paraId="512573C7"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preparatory process will be guided by the timetable set out as in Annex 2 of Decision 641 and in Table 1 below (revised based on agreement of the first IEG meeting). </w:t>
      </w:r>
    </w:p>
    <w:p w14:paraId="24D76965"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360" w:after="120"/>
        <w:jc w:val="center"/>
        <w:textAlignment w:val="auto"/>
        <w:rPr>
          <w:rFonts w:asciiTheme="minorHAnsi" w:eastAsiaTheme="minorEastAsia" w:hAnsiTheme="minorHAnsi" w:cstheme="minorBidi"/>
          <w:b/>
          <w:szCs w:val="22"/>
          <w:lang w:eastAsia="zh-CN"/>
        </w:rPr>
      </w:pPr>
      <w:r w:rsidRPr="00756188">
        <w:rPr>
          <w:rFonts w:asciiTheme="minorHAnsi" w:eastAsiaTheme="minorEastAsia" w:hAnsiTheme="minorHAnsi" w:cstheme="minorBidi"/>
          <w:b/>
          <w:szCs w:val="22"/>
          <w:lang w:eastAsia="zh-CN"/>
        </w:rPr>
        <w:t>Table 1: Timetable for the elaboration of the ITU Secretary-General’s Report</w:t>
      </w:r>
    </w:p>
    <w:tbl>
      <w:tblPr>
        <w:tblStyle w:val="TableGrid1"/>
        <w:tblW w:w="9639" w:type="dxa"/>
        <w:jc w:val="center"/>
        <w:tblLayout w:type="fixed"/>
        <w:tblCellMar>
          <w:left w:w="28" w:type="dxa"/>
          <w:right w:w="28" w:type="dxa"/>
        </w:tblCellMar>
        <w:tblLook w:val="04A0" w:firstRow="1" w:lastRow="0" w:firstColumn="1" w:lastColumn="0" w:noHBand="0" w:noVBand="1"/>
      </w:tblPr>
      <w:tblGrid>
        <w:gridCol w:w="2243"/>
        <w:gridCol w:w="7396"/>
      </w:tblGrid>
      <w:tr w:rsidR="00756188" w:rsidRPr="00756188" w14:paraId="309A50FB" w14:textId="77777777" w:rsidTr="00DD18FB">
        <w:trPr>
          <w:cantSplit/>
          <w:jc w:val="center"/>
        </w:trPr>
        <w:tc>
          <w:tcPr>
            <w:tcW w:w="2151" w:type="dxa"/>
          </w:tcPr>
          <w:p w14:paraId="76F301D5"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5 August 2024</w:t>
            </w:r>
          </w:p>
        </w:tc>
        <w:tc>
          <w:tcPr>
            <w:tcW w:w="7091" w:type="dxa"/>
          </w:tcPr>
          <w:p w14:paraId="639A46C8"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A First Draft outline of the Report by the Secretary-General shall be posted online for comments</w:t>
            </w:r>
          </w:p>
        </w:tc>
      </w:tr>
      <w:tr w:rsidR="00756188" w:rsidRPr="00756188" w14:paraId="47CF248F" w14:textId="77777777" w:rsidTr="00DD18FB">
        <w:trPr>
          <w:cantSplit/>
          <w:jc w:val="center"/>
        </w:trPr>
        <w:tc>
          <w:tcPr>
            <w:tcW w:w="2151" w:type="dxa"/>
          </w:tcPr>
          <w:p w14:paraId="2B217D5C"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26 August 2024</w:t>
            </w:r>
          </w:p>
        </w:tc>
        <w:tc>
          <w:tcPr>
            <w:tcW w:w="7091" w:type="dxa"/>
          </w:tcPr>
          <w:p w14:paraId="3ED2F389"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Deadline for receipt of comments on the First Draft, and for contribution on outlines for possible draft opinions</w:t>
            </w:r>
          </w:p>
          <w:p w14:paraId="3DD5A2B1"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Deadline for nominations for a balanced group of experts to advise the Secretary-General on further elaboration of the report and of draft opinions associated with it</w:t>
            </w:r>
          </w:p>
        </w:tc>
      </w:tr>
      <w:tr w:rsidR="00756188" w:rsidRPr="00756188" w14:paraId="087743FC" w14:textId="77777777" w:rsidTr="00DD18FB">
        <w:trPr>
          <w:cantSplit/>
          <w:jc w:val="center"/>
        </w:trPr>
        <w:tc>
          <w:tcPr>
            <w:tcW w:w="2151" w:type="dxa"/>
          </w:tcPr>
          <w:p w14:paraId="70BA6DFE"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1st IEG Meeting (7-8 October 2024 during the CWG cluster)</w:t>
            </w:r>
          </w:p>
        </w:tc>
        <w:tc>
          <w:tcPr>
            <w:tcW w:w="7091" w:type="dxa"/>
          </w:tcPr>
          <w:p w14:paraId="3B1AA6A1"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First meeting of the group of experts to discuss the First Draft of the report by the Secretary-General and the comments received</w:t>
            </w:r>
          </w:p>
        </w:tc>
      </w:tr>
      <w:tr w:rsidR="00756188" w:rsidRPr="00756188" w14:paraId="1BDF5BE0" w14:textId="77777777" w:rsidTr="00DD18FB">
        <w:trPr>
          <w:cantSplit/>
          <w:jc w:val="center"/>
        </w:trPr>
        <w:tc>
          <w:tcPr>
            <w:tcW w:w="2151" w:type="dxa"/>
          </w:tcPr>
          <w:p w14:paraId="6277D7B0"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18 November 2024</w:t>
            </w:r>
          </w:p>
        </w:tc>
        <w:tc>
          <w:tcPr>
            <w:tcW w:w="7091" w:type="dxa"/>
          </w:tcPr>
          <w:p w14:paraId="2A9A5D2C"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The Second Draft of the report by the Secretary-General will be posted online, incorporating discussions from the 1st IEG meeting and including outlines of draft Opinions</w:t>
            </w:r>
          </w:p>
          <w:p w14:paraId="7EF5197A"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This draft will also be made available online for open public consultations</w:t>
            </w:r>
          </w:p>
        </w:tc>
      </w:tr>
      <w:tr w:rsidR="00756188" w:rsidRPr="00756188" w14:paraId="358A612F" w14:textId="77777777" w:rsidTr="00DD18FB">
        <w:trPr>
          <w:cantSplit/>
          <w:jc w:val="center"/>
        </w:trPr>
        <w:tc>
          <w:tcPr>
            <w:tcW w:w="2151" w:type="dxa"/>
          </w:tcPr>
          <w:p w14:paraId="62D47245"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13 January 2025</w:t>
            </w:r>
          </w:p>
        </w:tc>
        <w:tc>
          <w:tcPr>
            <w:tcW w:w="7091" w:type="dxa"/>
          </w:tcPr>
          <w:p w14:paraId="0B30AF5D"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Deadline for receipt of comments on the Second Draft and for contribution on possible draft Opinions</w:t>
            </w:r>
          </w:p>
          <w:p w14:paraId="65C444A5"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Deadline for inputs from the open public consultations</w:t>
            </w:r>
          </w:p>
        </w:tc>
      </w:tr>
      <w:tr w:rsidR="00756188" w:rsidRPr="00756188" w14:paraId="51DB173E" w14:textId="77777777" w:rsidTr="00DD18FB">
        <w:trPr>
          <w:cantSplit/>
          <w:jc w:val="center"/>
        </w:trPr>
        <w:tc>
          <w:tcPr>
            <w:tcW w:w="2151" w:type="dxa"/>
          </w:tcPr>
          <w:p w14:paraId="18BF097D"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2nd IEG Meeting (13 – 14 February 2025 during the CWG cluster)</w:t>
            </w:r>
          </w:p>
        </w:tc>
        <w:tc>
          <w:tcPr>
            <w:tcW w:w="7091" w:type="dxa"/>
          </w:tcPr>
          <w:p w14:paraId="73DBC9D6"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Second meeting of the group of experts to discuss the Second Draft of the report by the Secretary-General as well as the possible draft Opinions and the comments received, including from the open public consultation</w:t>
            </w:r>
          </w:p>
        </w:tc>
      </w:tr>
      <w:tr w:rsidR="00756188" w:rsidRPr="00756188" w14:paraId="3F7D1606" w14:textId="77777777" w:rsidTr="00DD18FB">
        <w:trPr>
          <w:cantSplit/>
          <w:jc w:val="center"/>
        </w:trPr>
        <w:tc>
          <w:tcPr>
            <w:tcW w:w="2151" w:type="dxa"/>
          </w:tcPr>
          <w:p w14:paraId="5D179324"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lastRenderedPageBreak/>
              <w:t>31 March 2025</w:t>
            </w:r>
          </w:p>
        </w:tc>
        <w:tc>
          <w:tcPr>
            <w:tcW w:w="7091" w:type="dxa"/>
          </w:tcPr>
          <w:p w14:paraId="6C74C250"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The Third Draft of the report by the Secretary-General will be posted online, incorporating discussions from the 2nd IEG meeting, and including the text of the possible draft Opinions as an Annex</w:t>
            </w:r>
          </w:p>
          <w:p w14:paraId="564F6907"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This draft will also be made available online for open public consultations.</w:t>
            </w:r>
          </w:p>
        </w:tc>
      </w:tr>
      <w:tr w:rsidR="00756188" w:rsidRPr="00756188" w14:paraId="3F767E1A" w14:textId="77777777" w:rsidTr="00DD18FB">
        <w:trPr>
          <w:cantSplit/>
          <w:jc w:val="center"/>
        </w:trPr>
        <w:tc>
          <w:tcPr>
            <w:tcW w:w="2151" w:type="dxa"/>
          </w:tcPr>
          <w:p w14:paraId="3CC2ADE9"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16 June 2025</w:t>
            </w:r>
          </w:p>
        </w:tc>
        <w:tc>
          <w:tcPr>
            <w:tcW w:w="7091" w:type="dxa"/>
          </w:tcPr>
          <w:p w14:paraId="1396934C"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Deadline for receipt of comments on the Third Draft, including the possible draft Opinions</w:t>
            </w:r>
          </w:p>
          <w:p w14:paraId="129D814F"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Deadline for receipt of comments from the open public consultation</w:t>
            </w:r>
          </w:p>
        </w:tc>
      </w:tr>
      <w:tr w:rsidR="00756188" w:rsidRPr="00756188" w14:paraId="2B674587" w14:textId="77777777" w:rsidTr="00DD18FB">
        <w:trPr>
          <w:cantSplit/>
          <w:jc w:val="center"/>
        </w:trPr>
        <w:tc>
          <w:tcPr>
            <w:tcW w:w="2151" w:type="dxa"/>
          </w:tcPr>
          <w:p w14:paraId="3FD09372"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3rd IEG Meeting (September 2025 during the CWG cluster)</w:t>
            </w:r>
          </w:p>
        </w:tc>
        <w:tc>
          <w:tcPr>
            <w:tcW w:w="7091" w:type="dxa"/>
          </w:tcPr>
          <w:p w14:paraId="3FB55AC0"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Third meeting of the group of experts to discuss the Third Draft of the report by the Secretary-General as well as the draft Opinions and the comments received, including from the open public consultation</w:t>
            </w:r>
          </w:p>
        </w:tc>
      </w:tr>
      <w:tr w:rsidR="00756188" w:rsidRPr="00756188" w14:paraId="27665AE8" w14:textId="77777777" w:rsidTr="00DD18FB">
        <w:trPr>
          <w:cantSplit/>
          <w:jc w:val="center"/>
        </w:trPr>
        <w:tc>
          <w:tcPr>
            <w:tcW w:w="2151" w:type="dxa"/>
          </w:tcPr>
          <w:p w14:paraId="33E3145A"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3 November 2025</w:t>
            </w:r>
          </w:p>
        </w:tc>
        <w:tc>
          <w:tcPr>
            <w:tcW w:w="7091" w:type="dxa"/>
          </w:tcPr>
          <w:p w14:paraId="29907F0A"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The Fourth Draft of the report by the Secretary-General will be posted online, incorporating discussions from the 3rd IEG meeting and including the draft Opinions as an Annex</w:t>
            </w:r>
          </w:p>
        </w:tc>
      </w:tr>
      <w:tr w:rsidR="00756188" w:rsidRPr="00756188" w14:paraId="2A9AD720" w14:textId="77777777" w:rsidTr="00DD18FB">
        <w:trPr>
          <w:cantSplit/>
          <w:jc w:val="center"/>
        </w:trPr>
        <w:tc>
          <w:tcPr>
            <w:tcW w:w="2151" w:type="dxa"/>
          </w:tcPr>
          <w:p w14:paraId="1CBA3992"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19 December 2025</w:t>
            </w:r>
          </w:p>
        </w:tc>
        <w:tc>
          <w:tcPr>
            <w:tcW w:w="7091" w:type="dxa"/>
          </w:tcPr>
          <w:p w14:paraId="2F3F4DDD"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Deadline for receipt of comments on the Fourth Draft, including the text of the draft Opinions</w:t>
            </w:r>
          </w:p>
        </w:tc>
      </w:tr>
      <w:tr w:rsidR="00756188" w:rsidRPr="00756188" w14:paraId="7C843ADD" w14:textId="77777777" w:rsidTr="00DD18FB">
        <w:trPr>
          <w:cantSplit/>
          <w:jc w:val="center"/>
        </w:trPr>
        <w:tc>
          <w:tcPr>
            <w:tcW w:w="2151" w:type="dxa"/>
          </w:tcPr>
          <w:p w14:paraId="113BB72D"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4th IEG Meeting (February 2026 during the CWG cluster)</w:t>
            </w:r>
          </w:p>
        </w:tc>
        <w:tc>
          <w:tcPr>
            <w:tcW w:w="7091" w:type="dxa"/>
          </w:tcPr>
          <w:p w14:paraId="3AEEF6F0"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Fourth meeting of the group of experts to finalize the Draft Report by the Secretary-General, including the final text of the draft Opinions to be submitted to the seventh WTPF</w:t>
            </w:r>
          </w:p>
        </w:tc>
      </w:tr>
      <w:tr w:rsidR="00756188" w:rsidRPr="00756188" w14:paraId="295E1EDA" w14:textId="77777777" w:rsidTr="00DD18FB">
        <w:trPr>
          <w:cantSplit/>
          <w:jc w:val="center"/>
        </w:trPr>
        <w:tc>
          <w:tcPr>
            <w:tcW w:w="2151" w:type="dxa"/>
          </w:tcPr>
          <w:p w14:paraId="77D31CC7"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13 April 2026</w:t>
            </w:r>
          </w:p>
        </w:tc>
        <w:tc>
          <w:tcPr>
            <w:tcW w:w="7091" w:type="dxa"/>
          </w:tcPr>
          <w:p w14:paraId="7903FF17"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The final report of the Secretary-General to WTPF will be posted online, including the draft Opinions</w:t>
            </w:r>
          </w:p>
        </w:tc>
      </w:tr>
      <w:tr w:rsidR="00756188" w:rsidRPr="00756188" w14:paraId="25F5A26E" w14:textId="77777777" w:rsidTr="00DD18FB">
        <w:trPr>
          <w:cantSplit/>
          <w:jc w:val="center"/>
        </w:trPr>
        <w:tc>
          <w:tcPr>
            <w:tcW w:w="2151" w:type="dxa"/>
          </w:tcPr>
          <w:p w14:paraId="1AD250AA"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756188">
              <w:rPr>
                <w:rFonts w:asciiTheme="minorHAnsi" w:eastAsiaTheme="minorEastAsia" w:hAnsiTheme="minorHAnsi"/>
                <w:b/>
                <w:bCs/>
                <w:sz w:val="22"/>
              </w:rPr>
              <w:t>First half of 2026</w:t>
            </w:r>
          </w:p>
        </w:tc>
        <w:tc>
          <w:tcPr>
            <w:tcW w:w="7091" w:type="dxa"/>
          </w:tcPr>
          <w:p w14:paraId="116D3778" w14:textId="77777777" w:rsidR="00756188" w:rsidRPr="00756188"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756188">
              <w:rPr>
                <w:rFonts w:asciiTheme="minorHAnsi" w:eastAsiaTheme="minorEastAsia" w:hAnsiTheme="minorHAnsi"/>
                <w:sz w:val="22"/>
              </w:rPr>
              <w:t>Seventh World Telecommunication/Information and Communication Technology Policy Forum</w:t>
            </w:r>
          </w:p>
        </w:tc>
      </w:tr>
    </w:tbl>
    <w:p w14:paraId="5B65136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4FA62E29" w14:textId="77777777" w:rsidR="00756188" w:rsidRPr="00756188" w:rsidRDefault="00756188" w:rsidP="00756188">
      <w:pPr>
        <w:keepNext/>
        <w:keepLines/>
        <w:numPr>
          <w:ilvl w:val="0"/>
          <w:numId w:val="17"/>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bookmarkStart w:id="12" w:name="_Hlk181690953"/>
      <w:r w:rsidRPr="00756188">
        <w:rPr>
          <w:rFonts w:asciiTheme="minorHAnsi" w:eastAsiaTheme="minorEastAsia" w:hAnsiTheme="minorHAnsi" w:cstheme="minorBidi"/>
          <w:b/>
          <w:sz w:val="28"/>
          <w:szCs w:val="28"/>
          <w:lang w:eastAsia="zh-CN"/>
        </w:rPr>
        <w:t xml:space="preserve">Theme for WTPF-26 </w:t>
      </w:r>
    </w:p>
    <w:bookmarkEnd w:id="12"/>
    <w:p w14:paraId="3545A945"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By Decision 641 (Council 2024), the 2024 session of Council decided that the theme for WTPF-26 is as set out in paragraph 1.3. </w:t>
      </w:r>
    </w:p>
    <w:p w14:paraId="4C7B95C1"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With the aim to accelerate an inclusive, sustainable, resilient and innovative digital future, the theme presents five key topics for consideration and discussion at WTPF-26. As technological breakthroughs reshape the global digital economy, it is essential to address a wide range of interconnected issues while designing public policy interventions that can maximize opportunities and address the challenges related to the adoption and use of new and emerging telecommunication/ICT services and technologies. Looking towards 2026 and beyond, and recognizing the limited time left for the global community to make progress on the 17 UN Sustainable Development Goals (SDGs), it is imperative for policymakers and other stakeholders to adopt a holistic and complementary approach for developing the integrated policy frameworks necessary to address the topics presented in the theme. </w:t>
      </w:r>
    </w:p>
    <w:p w14:paraId="3C2CF736"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 robust enabling environment through effective policymaking is key for facilitating efforts, particularly in developing countries, to ensure universally accessible, affordable, high-quality, interoperable, and secure infrastructure and services, for enhanced international coordination and the international standardization of telecommunication/ICT services and technologies, and to leverage existing and emerging technologies, connectivity solutions, and business models to close the digital divide, ensuring access in all countries and regions.</w:t>
      </w:r>
    </w:p>
    <w:p w14:paraId="2414B440"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This report was developed through an open and inclusive preparatory process in accordance with the schedule set out in Decision 641 (Council, 2024) and will serve as the basis for discussions at the WTPF-26, considering the inputs and contributions from experts and stakeholders. </w:t>
      </w:r>
    </w:p>
    <w:p w14:paraId="4953C8BA"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report presents the policy issues and key questions for consideration for each of the topics of the theme, with an aim to help policymakers explore ways to leverage new and emerging telecommunication/ICT services and technologies for 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to address the dual climate and environmental crisis, foster the continued advancement of science, promote the sustainable exploration of Earth and space, and encourage resource use for the benefit of all.</w:t>
      </w:r>
    </w:p>
    <w:p w14:paraId="2E485A5E"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Each of the topics is explored in the following sections and the Draft Opinions as agreed by the Informal Expert Group during the preparatory process are presented in the Annex:</w:t>
      </w:r>
    </w:p>
    <w:p w14:paraId="28BF96FA"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4: Bridging digital divides, particularly on gender and age as well as skills and connectivity</w:t>
      </w:r>
    </w:p>
    <w:p w14:paraId="590FAB9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5: Green digital transformation: climate change and environmental sustainability</w:t>
      </w:r>
    </w:p>
    <w:p w14:paraId="4936B79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6: Resilience of telecommunication/ICTs</w:t>
      </w:r>
    </w:p>
    <w:p w14:paraId="532DFFB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7: Space connectivity</w:t>
      </w:r>
    </w:p>
    <w:p w14:paraId="26B8AE02"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8: Strengthening ICT-centric innovation ecosystems and entrepreneurship</w:t>
      </w:r>
    </w:p>
    <w:p w14:paraId="15F84CF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Annex: Draft Opinions</w:t>
      </w:r>
    </w:p>
    <w:p w14:paraId="71AE133F" w14:textId="77777777" w:rsidR="00756188" w:rsidRPr="00756188" w:rsidRDefault="00756188" w:rsidP="00756188">
      <w:pPr>
        <w:keepNext/>
        <w:keepLines/>
        <w:numPr>
          <w:ilvl w:val="0"/>
          <w:numId w:val="17"/>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Bridging digital divides, particularly on gender and age as well as skills and connectivity</w:t>
      </w:r>
    </w:p>
    <w:p w14:paraId="3E253E77"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9264" behindDoc="0" locked="1" layoutInCell="1" allowOverlap="1" wp14:anchorId="47D04588" wp14:editId="1C08516B">
                <wp:simplePos x="0" y="0"/>
                <wp:positionH relativeFrom="column">
                  <wp:posOffset>3688213</wp:posOffset>
                </wp:positionH>
                <wp:positionV relativeFrom="page">
                  <wp:posOffset>2368550</wp:posOffset>
                </wp:positionV>
                <wp:extent cx="2496312" cy="3557016"/>
                <wp:effectExtent l="0" t="0" r="18415" b="2476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312" cy="3557016"/>
                        </a:xfrm>
                        <a:prstGeom prst="rect">
                          <a:avLst/>
                        </a:prstGeom>
                        <a:solidFill>
                          <a:srgbClr val="FFFFFF"/>
                        </a:solidFill>
                        <a:ln w="12700">
                          <a:solidFill>
                            <a:srgbClr val="4F81BD">
                              <a:lumMod val="75000"/>
                            </a:srgbClr>
                          </a:solidFill>
                          <a:miter lim="800000"/>
                          <a:headEnd/>
                          <a:tailEnd/>
                        </a:ln>
                      </wps:spPr>
                      <wps:txbx>
                        <w:txbxContent>
                          <w:p w14:paraId="0E3F8DCA" w14:textId="77777777" w:rsidR="00756188" w:rsidRPr="008C07EF" w:rsidRDefault="00756188" w:rsidP="00756188">
                            <w:pPr>
                              <w:rPr>
                                <w:color w:val="4F81BD" w:themeColor="accent1"/>
                                <w:sz w:val="22"/>
                              </w:rPr>
                            </w:pPr>
                            <w:r w:rsidRPr="008C07EF">
                              <w:rPr>
                                <w:color w:val="4F81BD" w:themeColor="accent1"/>
                                <w:sz w:val="22"/>
                              </w:rPr>
                              <w:t>State of the Digital Divide at a Glance:</w:t>
                            </w:r>
                          </w:p>
                          <w:p w14:paraId="372F4125" w14:textId="77777777" w:rsidR="00756188" w:rsidRPr="008C07EF" w:rsidRDefault="00756188" w:rsidP="00756188">
                            <w:pPr>
                              <w:pStyle w:val="ListParagraph"/>
                              <w:numPr>
                                <w:ilvl w:val="0"/>
                                <w:numId w:val="16"/>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2AE2FC36" w14:textId="77777777" w:rsidR="00756188" w:rsidRPr="008C07EF" w:rsidRDefault="00756188" w:rsidP="00756188">
                            <w:pPr>
                              <w:pStyle w:val="ListParagraph"/>
                              <w:numPr>
                                <w:ilvl w:val="0"/>
                                <w:numId w:val="16"/>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60F2804D" w14:textId="77777777" w:rsidR="00756188" w:rsidRPr="008C07EF" w:rsidRDefault="00756188" w:rsidP="00756188">
                            <w:pPr>
                              <w:pStyle w:val="ListParagraph"/>
                              <w:numPr>
                                <w:ilvl w:val="0"/>
                                <w:numId w:val="16"/>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5230FE43" w14:textId="77777777" w:rsidR="00756188" w:rsidRPr="008C07EF" w:rsidRDefault="00756188" w:rsidP="00756188">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04588" id="_x0000_t202" coordsize="21600,21600" o:spt="202" path="m,l,21600r21600,l21600,xe">
                <v:stroke joinstyle="miter"/>
                <v:path gradientshapeok="t" o:connecttype="rect"/>
              </v:shapetype>
              <v:shape id="_x0000_s1026" type="#_x0000_t202" style="position:absolute;left:0;text-align:left;margin-left:290.4pt;margin-top:186.5pt;width:196.55pt;height:2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" strokecolor="#376092" strokeweight="1pt">
                <v:textbox>
                  <w:txbxContent>
                    <w:p w14:paraId="0E3F8DCA" w14:textId="77777777" w:rsidR="00756188" w:rsidRPr="008C07EF" w:rsidRDefault="00756188" w:rsidP="00756188">
                      <w:pPr>
                        <w:rPr>
                          <w:color w:val="4F81BD" w:themeColor="accent1"/>
                          <w:sz w:val="22"/>
                        </w:rPr>
                      </w:pPr>
                      <w:r w:rsidRPr="008C07EF">
                        <w:rPr>
                          <w:color w:val="4F81BD" w:themeColor="accent1"/>
                          <w:sz w:val="22"/>
                        </w:rPr>
                        <w:t>State of the Digital Divide at a Glance:</w:t>
                      </w:r>
                    </w:p>
                    <w:p w14:paraId="372F4125" w14:textId="77777777" w:rsidR="00756188" w:rsidRPr="008C07EF" w:rsidRDefault="00756188" w:rsidP="00756188">
                      <w:pPr>
                        <w:pStyle w:val="ListParagraph"/>
                        <w:numPr>
                          <w:ilvl w:val="0"/>
                          <w:numId w:val="16"/>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2AE2FC36" w14:textId="77777777" w:rsidR="00756188" w:rsidRPr="008C07EF" w:rsidRDefault="00756188" w:rsidP="00756188">
                      <w:pPr>
                        <w:pStyle w:val="ListParagraph"/>
                        <w:numPr>
                          <w:ilvl w:val="0"/>
                          <w:numId w:val="16"/>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60F2804D" w14:textId="77777777" w:rsidR="00756188" w:rsidRPr="008C07EF" w:rsidRDefault="00756188" w:rsidP="00756188">
                      <w:pPr>
                        <w:pStyle w:val="ListParagraph"/>
                        <w:numPr>
                          <w:ilvl w:val="0"/>
                          <w:numId w:val="16"/>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5230FE43" w14:textId="77777777" w:rsidR="00756188" w:rsidRPr="008C07EF" w:rsidRDefault="00756188" w:rsidP="00756188">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(UMC), as developed through ITU's work with the G20 Digital Economy Working Group, provides a comprehensive framework for addressing these interrelated challenges.</w:t>
      </w:r>
    </w:p>
    <w:p w14:paraId="35DA2855"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0D4A1B33"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6F023097"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420F127B"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5744DBD0"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07B1A052"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44601087"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3466E15D"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69E069D9"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p>
    <w:p w14:paraId="6149AB75"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 </w:t>
      </w:r>
    </w:p>
    <w:tbl>
      <w:tblPr>
        <w:tblStyle w:val="TableGrid1"/>
        <w:tblW w:w="0" w:type="auto"/>
        <w:tblLook w:val="04A0" w:firstRow="1" w:lastRow="0" w:firstColumn="1" w:lastColumn="0" w:noHBand="0" w:noVBand="1"/>
      </w:tblPr>
      <w:tblGrid>
        <w:gridCol w:w="9061"/>
      </w:tblGrid>
      <w:tr w:rsidR="00756188" w:rsidRPr="00756188" w14:paraId="181DBCB0" w14:textId="77777777" w:rsidTr="00DD18FB">
        <w:tc>
          <w:tcPr>
            <w:tcW w:w="9629" w:type="dxa"/>
            <w:shd w:val="clear" w:color="auto" w:fill="B8CCE4" w:themeFill="accent1" w:themeFillTint="66"/>
          </w:tcPr>
          <w:p w14:paraId="62438A7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color w:val="244061" w:themeColor="accent1" w:themeShade="80"/>
              </w:rPr>
            </w:pPr>
            <w:r w:rsidRPr="00756188">
              <w:rPr>
                <w:rFonts w:asciiTheme="minorHAnsi" w:eastAsiaTheme="minorEastAsia" w:hAnsiTheme="minorHAnsi"/>
                <w:b/>
                <w:bCs/>
                <w:color w:val="244061" w:themeColor="accent1" w:themeShade="80"/>
              </w:rPr>
              <w:t xml:space="preserve">India Proposes to add a new section between 4.1 and 4.3 </w:t>
            </w:r>
          </w:p>
          <w:p w14:paraId="54248ED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color w:val="244061" w:themeColor="accent1" w:themeShade="80"/>
              </w:rPr>
            </w:pPr>
            <w:r w:rsidRPr="00756188">
              <w:rPr>
                <w:rFonts w:asciiTheme="minorHAnsi" w:eastAsiaTheme="minorEastAsia" w:hAnsiTheme="minorHAnsi"/>
                <w:b/>
                <w:bCs/>
                <w:color w:val="244061" w:themeColor="accent1" w:themeShade="80"/>
              </w:rPr>
              <w:t xml:space="preserve">Proposed text: </w:t>
            </w:r>
          </w:p>
          <w:p w14:paraId="198989A2"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lang w:val="en-IN"/>
              </w:rPr>
            </w:pPr>
            <w:r w:rsidRPr="00756188">
              <w:rPr>
                <w:rFonts w:asciiTheme="minorHAnsi" w:eastAsiaTheme="minorEastAsia" w:hAnsiTheme="minorHAnsi"/>
                <w:lang w:val="en-IN"/>
              </w:rPr>
              <w:t>NEW 4.2</w:t>
            </w:r>
            <w:r w:rsidRPr="00756188">
              <w:rPr>
                <w:rFonts w:asciiTheme="minorHAnsi" w:eastAsiaTheme="minorEastAsia" w:hAnsiTheme="minorHAnsi"/>
                <w:lang w:val="en-IN"/>
              </w:rPr>
              <w:tab/>
              <w:t xml:space="preserve">The digital divide persists largely because market-driven infrastructure deployment tends to </w:t>
            </w:r>
            <w:proofErr w:type="spellStart"/>
            <w:r w:rsidRPr="00756188">
              <w:rPr>
                <w:rFonts w:asciiTheme="minorHAnsi" w:eastAsiaTheme="minorEastAsia" w:hAnsiTheme="minorHAnsi"/>
                <w:lang w:val="en-IN"/>
              </w:rPr>
              <w:t>favor</w:t>
            </w:r>
            <w:proofErr w:type="spellEnd"/>
            <w:r w:rsidRPr="00756188">
              <w:rPr>
                <w:rFonts w:asciiTheme="minorHAnsi" w:eastAsiaTheme="minorEastAsia" w:hAnsiTheme="minorHAnsi"/>
                <w:lang w:val="en-IN"/>
              </w:rPr>
              <w:t xml:space="preserve"> urban, affluent regions, leaving rural, remote, and marginalized communities underserved. Without deliberate policy interventions, such as targeted subsidies and infrastructure sharing, connectivity remains uneven and exclusionary. Further, digital platforms often overlook linguistic diversity and accessibility needs, alienating non-English speakers, older adults, and persons with disabilities. Investing in inclusive infrastructure and technologies is essential not only for economic development but also for social equity, civic participation, and access to essential services like education, healthcare, and e-governance.</w:t>
            </w:r>
          </w:p>
          <w:p w14:paraId="4C71BB0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lang w:val="en-IN"/>
              </w:rPr>
            </w:pPr>
            <w:r w:rsidRPr="00756188">
              <w:rPr>
                <w:rFonts w:asciiTheme="minorHAnsi" w:eastAsiaTheme="minorEastAsia" w:hAnsiTheme="minorHAnsi"/>
                <w:lang w:val="en-IN"/>
              </w:rPr>
              <w:t>NEW 4.3</w:t>
            </w:r>
            <w:r w:rsidRPr="00756188">
              <w:rPr>
                <w:rFonts w:asciiTheme="minorHAnsi" w:eastAsiaTheme="minorEastAsia" w:hAnsiTheme="minorHAnsi"/>
                <w:lang w:val="en-IN"/>
              </w:rPr>
              <w:tab/>
              <w:t>Access alone does not guarantee inclusion—skills are the bridge between connectivity and meaningful use. Many individuals, especially women, older adults, and low-income populations, lack the digital competencies needed to benefit from online services, education, and employment. The rapid evolution of technology also demands continuous upskilling to remain relevant in the workforce. Without structured interventions, these gaps widen, reinforcing socio-economic disparities. By embedding digital literacy into education and partnering with industry and civil society, nations can democratize opportunity, enhance productivity, and build a digitally resilient population.</w:t>
            </w:r>
          </w:p>
          <w:p w14:paraId="4221F28F"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p>
          <w:p w14:paraId="2B63361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p>
        </w:tc>
      </w:tr>
    </w:tbl>
    <w:p w14:paraId="47DC5A3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6B7EE01A"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It is important to address the multifaceted dimensions of digital inclusion. This requires prioritizing a comprehensive approach that empowers older generations to confidently navigate digital spaces, enables youth as digital natives to actively shape the digital future, and ensures that women and girls have equal opportunities to participate in the digital world. Equipping all populations with essential digital skills is vital for their effective engagement, while meaningful connectivity—encompassing quality of service, affordability, and relevance of content—remains fundamental to fostering inclusivity and driving sustainable digital transformation.</w:t>
      </w:r>
    </w:p>
    <w:p w14:paraId="7D682EA4"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0288" behindDoc="0" locked="1" layoutInCell="1" allowOverlap="1" wp14:anchorId="062835A4" wp14:editId="4F9E77CB">
                <wp:simplePos x="0" y="0"/>
                <wp:positionH relativeFrom="column">
                  <wp:posOffset>2905125</wp:posOffset>
                </wp:positionH>
                <wp:positionV relativeFrom="page">
                  <wp:posOffset>6803390</wp:posOffset>
                </wp:positionV>
                <wp:extent cx="3163824" cy="1783080"/>
                <wp:effectExtent l="0" t="0" r="17780" b="26670"/>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824" cy="1783080"/>
                        </a:xfrm>
                        <a:prstGeom prst="rect">
                          <a:avLst/>
                        </a:prstGeom>
                        <a:solidFill>
                          <a:srgbClr val="FFFFFF"/>
                        </a:solidFill>
                        <a:ln w="12700">
                          <a:solidFill>
                            <a:srgbClr val="4F81BD">
                              <a:lumMod val="75000"/>
                            </a:srgbClr>
                          </a:solidFill>
                          <a:miter lim="800000"/>
                          <a:headEnd/>
                          <a:tailEnd/>
                        </a:ln>
                      </wps:spPr>
                      <wps:txbx>
                        <w:txbxContent>
                          <w:p w14:paraId="0DAFFE98" w14:textId="77777777" w:rsidR="00756188" w:rsidRPr="008C07EF" w:rsidRDefault="00756188" w:rsidP="00756188">
                            <w:pPr>
                              <w:rPr>
                                <w:color w:val="4F81BD" w:themeColor="accent1"/>
                                <w:sz w:val="22"/>
                              </w:rPr>
                            </w:pPr>
                            <w:r w:rsidRPr="008C07EF">
                              <w:rPr>
                                <w:color w:val="4F81BD" w:themeColor="accent1"/>
                                <w:sz w:val="22"/>
                              </w:rPr>
                              <w:t xml:space="preserve">Beyond Infrastructure: </w:t>
                            </w:r>
                          </w:p>
                          <w:p w14:paraId="33C6C63E" w14:textId="77777777" w:rsidR="00756188" w:rsidRPr="008C07EF" w:rsidRDefault="00756188" w:rsidP="00756188">
                            <w:pPr>
                              <w:jc w:val="both"/>
                              <w:rPr>
                                <w:sz w:val="22"/>
                              </w:rPr>
                            </w:pPr>
                            <w:r w:rsidRPr="008C07EF">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6BAFF4C3" w14:textId="77777777" w:rsidR="00756188" w:rsidRPr="006D2DEA" w:rsidRDefault="00756188" w:rsidP="00756188">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 xml:space="preserve">“Facts and Figures 2023 - Report Index” </w:t>
                            </w:r>
                            <w:r w:rsidRPr="006D2DEA">
                              <w:rPr>
                                <w:i/>
                                <w:iCs/>
                                <w:sz w:val="18"/>
                                <w:szCs w:val="18"/>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2835A4" id="Text Box 1" o:spid="_x0000_s1027" type="#_x0000_t202" style="position:absolute;left:0;text-align:left;margin-left:228.75pt;margin-top:535.7pt;width:249.1pt;height:1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" strokecolor="#376092" strokeweight="1pt">
                <v:textbox>
                  <w:txbxContent>
                    <w:p w14:paraId="0DAFFE98" w14:textId="77777777" w:rsidR="00756188" w:rsidRPr="008C07EF" w:rsidRDefault="00756188" w:rsidP="00756188">
                      <w:pPr>
                        <w:rPr>
                          <w:color w:val="4F81BD" w:themeColor="accent1"/>
                          <w:sz w:val="22"/>
                        </w:rPr>
                      </w:pPr>
                      <w:r w:rsidRPr="008C07EF">
                        <w:rPr>
                          <w:color w:val="4F81BD" w:themeColor="accent1"/>
                          <w:sz w:val="22"/>
                        </w:rPr>
                        <w:t xml:space="preserve">Beyond Infrastructure: </w:t>
                      </w:r>
                    </w:p>
                    <w:p w14:paraId="33C6C63E" w14:textId="77777777" w:rsidR="00756188" w:rsidRPr="008C07EF" w:rsidRDefault="00756188" w:rsidP="00756188">
                      <w:pPr>
                        <w:jc w:val="both"/>
                        <w:rPr>
                          <w:sz w:val="22"/>
                        </w:rPr>
                      </w:pPr>
                      <w:r w:rsidRPr="008C07EF">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6BAFF4C3" w14:textId="77777777" w:rsidR="00756188" w:rsidRPr="006D2DEA" w:rsidRDefault="00756188" w:rsidP="00756188">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 xml:space="preserve">“Facts and Figures 2023 - Report Index” </w:t>
                      </w:r>
                      <w:r w:rsidRPr="006D2DEA">
                        <w:rPr>
                          <w:i/>
                          <w:iCs/>
                          <w:sz w:val="18"/>
                          <w:szCs w:val="18"/>
                        </w:rPr>
                        <w:fldChar w:fldCharType="end"/>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This multidimensional understanding of digital divides, grounded in the Universal and Meaningful Connectivity (UMC) framework, underscores that achieving true digital inclusion necessitates a holistic approach. This spans from ensuring basic connectivity and affordability to advancing digital literacy and foundational skills development among targeted populations. It emphasizes the importance of gender-responsive strategies, collaborative learning opportunities, and fostering meaningful engagement to empower all individuals in the digital ecosystem.</w:t>
      </w:r>
    </w:p>
    <w:p w14:paraId="20D24AAF"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 people living in rural and remote communities, and marginalized groups as well as older populations, who may face multiple barriers to digital adoption. Additionally, persistent gender divides in both access and skills development continue to limit women and girls' participation in the digital economy and their access to government services, education, and other digital opportunities, particularly in developing countries.</w:t>
      </w:r>
    </w:p>
    <w:p w14:paraId="3E87CDDA"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p>
    <w:p w14:paraId="7AF0F976"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5408" behindDoc="0" locked="1" layoutInCell="1" allowOverlap="1" wp14:anchorId="0D668ED3" wp14:editId="3281F398">
                <wp:simplePos x="0" y="0"/>
                <wp:positionH relativeFrom="column">
                  <wp:posOffset>278295</wp:posOffset>
                </wp:positionH>
                <wp:positionV relativeFrom="page">
                  <wp:posOffset>1933575</wp:posOffset>
                </wp:positionV>
                <wp:extent cx="5577840" cy="1783080"/>
                <wp:effectExtent l="0" t="0" r="22860" b="26670"/>
                <wp:wrapSquare wrapText="bothSides"/>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783080"/>
                        </a:xfrm>
                        <a:prstGeom prst="rect">
                          <a:avLst/>
                        </a:prstGeom>
                        <a:solidFill>
                          <a:srgbClr val="FFFFFF"/>
                        </a:solidFill>
                        <a:ln w="19050">
                          <a:solidFill>
                            <a:srgbClr val="4F81BD">
                              <a:lumMod val="100000"/>
                              <a:lumOff val="0"/>
                            </a:srgbClr>
                          </a:solidFill>
                          <a:miter lim="800000"/>
                          <a:headEnd/>
                          <a:tailEnd/>
                        </a:ln>
                      </wps:spPr>
                      <wps:txbx>
                        <w:txbxContent>
                          <w:p w14:paraId="3E5F3E28" w14:textId="77777777" w:rsidR="00756188" w:rsidRPr="006D2DEA" w:rsidRDefault="00756188" w:rsidP="00756188">
                            <w:pPr>
                              <w:rPr>
                                <w:color w:val="4F81BD" w:themeColor="accent1"/>
                                <w:sz w:val="22"/>
                              </w:rPr>
                            </w:pPr>
                            <w:r w:rsidRPr="006D2DEA">
                              <w:rPr>
                                <w:color w:val="4F81BD" w:themeColor="accent1"/>
                                <w:sz w:val="22"/>
                              </w:rPr>
                              <w:t>Digital Skills</w:t>
                            </w:r>
                          </w:p>
                          <w:p w14:paraId="66E05F31" w14:textId="77777777" w:rsidR="00756188" w:rsidRPr="006D2DEA" w:rsidRDefault="00756188" w:rsidP="00756188">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48B0D2C3" w14:textId="77777777" w:rsidR="00756188" w:rsidRPr="006D2DEA" w:rsidRDefault="00756188" w:rsidP="00756188">
                            <w:pPr>
                              <w:rPr>
                                <w:i/>
                                <w:iCs/>
                                <w:sz w:val="18"/>
                                <w:szCs w:val="18"/>
                              </w:rPr>
                            </w:pPr>
                            <w:r w:rsidRPr="006D2DEA">
                              <w:rPr>
                                <w:i/>
                                <w:iCs/>
                                <w:sz w:val="18"/>
                                <w:szCs w:val="18"/>
                              </w:rPr>
                              <w:t>Source: International Telecommunication Union, “Skills development for the digital economy”, November 2024</w:t>
                            </w:r>
                          </w:p>
                        </w:txbxContent>
                      </wps:txbx>
                      <wps:bodyPr rot="0" vert="horz" wrap="square" lIns="91440" tIns="45720" rIns="91440" bIns="45720" anchor="t" anchorCtr="0" upright="1">
                        <a:noAutofit/>
                      </wps:bodyPr>
                    </wps:wsp>
                  </a:graphicData>
                </a:graphic>
              </wp:anchor>
            </w:drawing>
          </mc:Choice>
          <mc:Fallback>
            <w:pict>
              <v:shape w14:anchorId="0D668ED3" id="_x0000_s1028" type="#_x0000_t202" style="position:absolute;left:0;text-align:left;margin-left:21.9pt;margin-top:152.25pt;width:439.2pt;height:140.4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" strokecolor="#4f81bd" strokeweight="1.5pt">
                <v:textbox>
                  <w:txbxContent>
                    <w:p w14:paraId="3E5F3E28" w14:textId="77777777" w:rsidR="00756188" w:rsidRPr="006D2DEA" w:rsidRDefault="00756188" w:rsidP="00756188">
                      <w:pPr>
                        <w:rPr>
                          <w:color w:val="4F81BD" w:themeColor="accent1"/>
                          <w:sz w:val="22"/>
                        </w:rPr>
                      </w:pPr>
                      <w:r w:rsidRPr="006D2DEA">
                        <w:rPr>
                          <w:color w:val="4F81BD" w:themeColor="accent1"/>
                          <w:sz w:val="22"/>
                        </w:rPr>
                        <w:t>Digital Skills</w:t>
                      </w:r>
                    </w:p>
                    <w:p w14:paraId="66E05F31" w14:textId="77777777" w:rsidR="00756188" w:rsidRPr="006D2DEA" w:rsidRDefault="00756188" w:rsidP="00756188">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48B0D2C3" w14:textId="77777777" w:rsidR="00756188" w:rsidRPr="006D2DEA" w:rsidRDefault="00756188" w:rsidP="00756188">
                      <w:pPr>
                        <w:rPr>
                          <w:i/>
                          <w:iCs/>
                          <w:sz w:val="18"/>
                          <w:szCs w:val="18"/>
                        </w:rPr>
                      </w:pPr>
                      <w:r w:rsidRPr="006D2DEA">
                        <w:rPr>
                          <w:i/>
                          <w:iCs/>
                          <w:sz w:val="18"/>
                          <w:szCs w:val="18"/>
                        </w:rPr>
                        <w:t>Source: International Telecommunication Union, “Skills development for the digital economy”, November 2024</w:t>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 xml:space="preserve">The rapid development of new and emerging telecommunication/ICT services and technologies, particularly artificial intelligence, brings new challenges to bridging digital divides. New gaps in access to and use of these technologies are becoming increasingly prominent, especially in developing countries, highlighting the need for enhanced international cooperation on capacity-building in this field. </w:t>
      </w:r>
    </w:p>
    <w:p w14:paraId="099F18D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37886BB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0791F25B" w14:textId="77777777" w:rsidTr="00DD18FB">
        <w:tc>
          <w:tcPr>
            <w:tcW w:w="9629" w:type="dxa"/>
            <w:shd w:val="clear" w:color="auto" w:fill="B8CCE4" w:themeFill="accent1" w:themeFillTint="66"/>
          </w:tcPr>
          <w:p w14:paraId="0797FD48"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color w:val="244061" w:themeColor="accent1" w:themeShade="80"/>
              </w:rPr>
            </w:pPr>
            <w:r w:rsidRPr="00756188">
              <w:rPr>
                <w:rFonts w:asciiTheme="minorHAnsi" w:eastAsiaTheme="minorEastAsia" w:hAnsiTheme="minorHAnsi"/>
                <w:b/>
                <w:bCs/>
                <w:color w:val="244061" w:themeColor="accent1" w:themeShade="80"/>
              </w:rPr>
              <w:t xml:space="preserve">India Proposes to add a new section between 4.5 and 4.6 </w:t>
            </w:r>
          </w:p>
          <w:p w14:paraId="6CDC6B6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color w:val="244061" w:themeColor="accent1" w:themeShade="80"/>
              </w:rPr>
            </w:pPr>
            <w:r w:rsidRPr="00756188">
              <w:rPr>
                <w:rFonts w:asciiTheme="minorHAnsi" w:eastAsiaTheme="minorEastAsia" w:hAnsiTheme="minorHAnsi"/>
                <w:b/>
                <w:bCs/>
                <w:color w:val="244061" w:themeColor="accent1" w:themeShade="80"/>
              </w:rPr>
              <w:t xml:space="preserve">Proposed text: </w:t>
            </w:r>
          </w:p>
          <w:p w14:paraId="5F121E3F"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4.6: Digital transformation is a global challenge that requires collective action. Many countries lack the resources, technical expertise, or scale to develop and deploy innovative solutions independently. Global collaboration enables shared learning, pooled investments, and co-creation of technologies that are adaptable across contexts. Open-source digital public goods and multilateral initiatives reduce duplication and accelerate impact. In an interconnected world, leaving any region behind undermines global progress. Collaborative innovation ensures that solutions are inclusive, scalable, and responsive to diverse needs—especially for the unconnected and underserved.</w:t>
            </w:r>
          </w:p>
          <w:p w14:paraId="551F3538"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p>
          <w:p w14:paraId="2949997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p>
        </w:tc>
      </w:tr>
    </w:tbl>
    <w:p w14:paraId="050B4B6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1D5866B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6368579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34F4F3A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34351A0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7435354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38497C06"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6432" behindDoc="0" locked="1" layoutInCell="1" allowOverlap="1" wp14:anchorId="3E6AD7E0" wp14:editId="23E8750F">
                <wp:simplePos x="0" y="0"/>
                <wp:positionH relativeFrom="column">
                  <wp:posOffset>193040</wp:posOffset>
                </wp:positionH>
                <wp:positionV relativeFrom="paragraph">
                  <wp:posOffset>701040</wp:posOffset>
                </wp:positionV>
                <wp:extent cx="5577840" cy="1307465"/>
                <wp:effectExtent l="0" t="0" r="22860" b="26035"/>
                <wp:wrapSquare wrapText="bothSides"/>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307465"/>
                        </a:xfrm>
                        <a:prstGeom prst="rect">
                          <a:avLst/>
                        </a:prstGeom>
                        <a:solidFill>
                          <a:srgbClr val="FFFFFF"/>
                        </a:solidFill>
                        <a:ln w="19050">
                          <a:solidFill>
                            <a:srgbClr val="9BBB59"/>
                          </a:solidFill>
                          <a:miter lim="800000"/>
                          <a:headEnd/>
                          <a:tailEnd/>
                        </a:ln>
                      </wps:spPr>
                      <wps:txbx>
                        <w:txbxContent>
                          <w:p w14:paraId="02DDBDB1" w14:textId="77777777" w:rsidR="00756188" w:rsidRPr="006753B0" w:rsidRDefault="00756188" w:rsidP="00756188">
                            <w:pPr>
                              <w:rPr>
                                <w:color w:val="9BBB59" w:themeColor="accent3"/>
                                <w:sz w:val="22"/>
                              </w:rPr>
                            </w:pPr>
                            <w:r w:rsidRPr="006753B0">
                              <w:rPr>
                                <w:color w:val="9BBB59" w:themeColor="accent3"/>
                                <w:sz w:val="22"/>
                              </w:rPr>
                              <w:t>Case Study: Digital Skills Toolkit</w:t>
                            </w:r>
                          </w:p>
                          <w:p w14:paraId="0FC2D452" w14:textId="77777777" w:rsidR="00756188" w:rsidRPr="006D2DEA" w:rsidRDefault="00756188" w:rsidP="00756188">
                            <w:pPr>
                              <w:jc w:val="both"/>
                              <w:rPr>
                                <w:sz w:val="22"/>
                              </w:rPr>
                            </w:pPr>
                            <w:r w:rsidRPr="006D2DEA">
                              <w:rPr>
                                <w:sz w:val="22"/>
                              </w:rPr>
                              <w:t xml:space="preserve">The ITU </w:t>
                            </w:r>
                            <w:hyperlink r:id="rId18"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E6AD7E0" id="_x0000_s1029" type="#_x0000_t202" style="position:absolute;left:0;text-align:left;margin-left:15.2pt;margin-top:55.2pt;width:439.2pt;height:102.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" strokecolor="#9bbb59" strokeweight="1.5pt">
                <v:textbox>
                  <w:txbxContent>
                    <w:p w14:paraId="02DDBDB1" w14:textId="77777777" w:rsidR="00756188" w:rsidRPr="006753B0" w:rsidRDefault="00756188" w:rsidP="00756188">
                      <w:pPr>
                        <w:rPr>
                          <w:color w:val="9BBB59" w:themeColor="accent3"/>
                          <w:sz w:val="22"/>
                        </w:rPr>
                      </w:pPr>
                      <w:r w:rsidRPr="006753B0">
                        <w:rPr>
                          <w:color w:val="9BBB59" w:themeColor="accent3"/>
                          <w:sz w:val="22"/>
                        </w:rPr>
                        <w:t>Case Study: Digital Skills Toolkit</w:t>
                      </w:r>
                    </w:p>
                    <w:p w14:paraId="0FC2D452" w14:textId="77777777" w:rsidR="00756188" w:rsidRPr="006D2DEA" w:rsidRDefault="00756188" w:rsidP="00756188">
                      <w:pPr>
                        <w:jc w:val="both"/>
                        <w:rPr>
                          <w:sz w:val="22"/>
                        </w:rPr>
                      </w:pPr>
                      <w:r w:rsidRPr="006D2DEA">
                        <w:rPr>
                          <w:sz w:val="22"/>
                        </w:rPr>
                        <w:t xml:space="preserve">The ITU </w:t>
                      </w:r>
                      <w:hyperlink r:id="rId19"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v:textbox>
                <w10:wrap type="square"/>
                <w10:anchorlock/>
              </v:shape>
            </w:pict>
          </mc:Fallback>
        </mc:AlternateContent>
      </w:r>
      <w:r w:rsidRPr="00756188">
        <w:rPr>
          <w:rFonts w:asciiTheme="minorHAnsi" w:eastAsiaTheme="minorEastAsia" w:hAnsiTheme="minorHAnsi" w:cstheme="minorBidi"/>
          <w:szCs w:val="28"/>
          <w:lang w:eastAsia="zh-CN"/>
        </w:rPr>
        <w:t>Urgent action is required by all relevant stakeholders – governments, private sector, educational and training institutes, international organizations and civil society – to address the global digital skills gap.</w:t>
      </w:r>
    </w:p>
    <w:tbl>
      <w:tblPr>
        <w:tblStyle w:val="TableGrid1"/>
        <w:tblW w:w="0" w:type="auto"/>
        <w:tblLook w:val="04A0" w:firstRow="1" w:lastRow="0" w:firstColumn="1" w:lastColumn="0" w:noHBand="0" w:noVBand="1"/>
      </w:tblPr>
      <w:tblGrid>
        <w:gridCol w:w="9061"/>
      </w:tblGrid>
      <w:tr w:rsidR="00756188" w:rsidRPr="00756188" w14:paraId="546F738B" w14:textId="77777777" w:rsidTr="00DD18FB">
        <w:tc>
          <w:tcPr>
            <w:tcW w:w="9629" w:type="dxa"/>
            <w:shd w:val="clear" w:color="auto" w:fill="B8CCE4" w:themeFill="accent1" w:themeFillTint="66"/>
          </w:tcPr>
          <w:p w14:paraId="7627B1A4"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color w:val="244061" w:themeColor="accent1" w:themeShade="80"/>
              </w:rPr>
            </w:pPr>
            <w:r w:rsidRPr="00756188">
              <w:rPr>
                <w:rFonts w:asciiTheme="minorHAnsi" w:eastAsiaTheme="minorEastAsia" w:hAnsiTheme="minorHAnsi"/>
                <w:b/>
                <w:bCs/>
              </w:rPr>
              <w:t>Contributor</w:t>
            </w:r>
            <w:r w:rsidRPr="00756188">
              <w:rPr>
                <w:rFonts w:asciiTheme="minorHAnsi" w:eastAsiaTheme="minorEastAsia" w:hAnsiTheme="minorHAnsi"/>
              </w:rPr>
              <w:t>: India</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Addition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xml:space="preserve">: </w:t>
            </w:r>
            <w:r w:rsidRPr="00756188">
              <w:rPr>
                <w:rFonts w:asciiTheme="minorHAnsi" w:eastAsiaTheme="minorEastAsia" w:hAnsiTheme="minorHAnsi"/>
                <w:i/>
                <w:iCs/>
              </w:rPr>
              <w:t xml:space="preserve">between para 4.6 and 4.7 </w:t>
            </w:r>
            <w:r w:rsidRPr="00756188">
              <w:rPr>
                <w:rFonts w:asciiTheme="minorHAnsi" w:eastAsiaTheme="minorEastAsia" w:hAnsiTheme="minorHAnsi"/>
              </w:rPr>
              <w:t xml:space="preserve"> </w:t>
            </w:r>
            <w:r w:rsidRPr="00756188">
              <w:rPr>
                <w:rFonts w:asciiTheme="minorHAnsi" w:eastAsiaTheme="minorEastAsia" w:hAnsiTheme="minorHAnsi"/>
              </w:rPr>
              <w:br/>
            </w:r>
            <w:r w:rsidRPr="00756188">
              <w:rPr>
                <w:rFonts w:asciiTheme="minorHAnsi" w:eastAsiaTheme="minorEastAsia" w:hAnsiTheme="minorHAnsi"/>
                <w:b/>
                <w:bCs/>
              </w:rPr>
              <w:t>Proposal</w:t>
            </w:r>
            <w:r w:rsidRPr="00756188">
              <w:rPr>
                <w:rFonts w:asciiTheme="minorHAnsi" w:eastAsiaTheme="minorEastAsia" w:hAnsiTheme="minorHAnsi"/>
              </w:rPr>
              <w:t xml:space="preserve">: </w:t>
            </w:r>
          </w:p>
          <w:p w14:paraId="6BD6DB02"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i/>
                <w:iCs/>
              </w:rPr>
              <w:t>NEW 4.</w:t>
            </w:r>
            <w:r w:rsidRPr="00756188">
              <w:rPr>
                <w:rFonts w:asciiTheme="minorHAnsi" w:eastAsiaTheme="minorEastAsia" w:hAnsiTheme="minorHAnsi"/>
              </w:rPr>
              <w:t>7 Youth and entrepreneurs are key drivers of digital innovation, yet many lack access to the tools, mentorship, and resources needed to thrive. Traditional education systems often fail to nurture creativity, problem-solving, and digital fluency. By integrating emerging technologies into curricula and supporting innovation ecosystems within academic institutions, nations can unlock local talent and foster inclusive economic growth. Entrepreneurship also offers pathways for self-employment and community-driven solutions, particularly in regions with limited formal job opportunities. Promoting innovation in education is a strategic investment in future-ready societies.</w:t>
            </w:r>
          </w:p>
          <w:p w14:paraId="2C9CD47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i/>
                <w:iCs/>
              </w:rPr>
              <w:t>NEW 4.8</w:t>
            </w:r>
            <w:r w:rsidRPr="00756188">
              <w:rPr>
                <w:rFonts w:asciiTheme="minorHAnsi" w:eastAsiaTheme="minorEastAsia" w:hAnsiTheme="minorHAnsi"/>
              </w:rPr>
              <w:tab/>
              <w:t>Small Island Developing States and many developing countries face compounded challenges—geographic isolation, limited infrastructure, climate vulnerability, and constrained financial and human resources. These factors hinder the adoption of emerging technologies and exacerbate digital exclusion. Without tailored support, these nations risk being sidelined in global digital progress</w:t>
            </w:r>
          </w:p>
          <w:p w14:paraId="178E982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i/>
                <w:iCs/>
              </w:rPr>
              <w:t>NEW 4.9</w:t>
            </w:r>
            <w:r w:rsidRPr="00756188">
              <w:rPr>
                <w:rFonts w:asciiTheme="minorHAnsi" w:eastAsiaTheme="minorEastAsia" w:hAnsiTheme="minorHAnsi"/>
              </w:rPr>
              <w:tab/>
              <w:t>Policy effectiveness hinges on the ability to measure impact accurately. Many existing frameworks focus narrowly on connectivity rates, ignoring deeper dimensions like affordability, digital skills, and usage quality. Moreover, lack of disaggregated data obscures disparities across gender, age, income, and geography. Without robust metrics, programs risk being misaligned or ineffective. Refining monitoring systems enables evidence-based policymaking, accountability, and adaptive learning. It ensures that interventions are targeted, inclusive, and responsive—ultimately driving more equitable and sustainable digital transformation.</w:t>
            </w:r>
          </w:p>
        </w:tc>
      </w:tr>
    </w:tbl>
    <w:p w14:paraId="52B08CD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5A18CD4E"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Against the backdrop of these considerations, some telecommunication/ICT services and technologies policy questions that could be studied include: </w:t>
      </w:r>
    </w:p>
    <w:p w14:paraId="04890D12"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ind w:left="432"/>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val="en-IN" w:eastAsia="zh-CN"/>
        </w:rPr>
        <w:t>How can strategies and policies foster investments in affordable and accessible telecommunications infrastructure, digital platforms in local languages, and age-friendly technologies to bridge the digital divide across gender, age, socio-economic, and urban-rural disparities?</w:t>
      </w:r>
    </w:p>
    <w:p w14:paraId="18C715F4"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ind w:left="432"/>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strategies can policymakers adopt to promote digital literacy, skills development, and access to in-demand skills, ensuring equal opportunities for individuals across various demographics, while involving the private sector and civil society in these efforts?</w:t>
      </w:r>
    </w:p>
    <w:p w14:paraId="28A1DDC6"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ind w:left="432"/>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national and international organizations collaborate to develop innovative technologies, scale solutions, and take initiatives to connect the unconnected, improve digital affordability, and enhance global digital literacy?</w:t>
      </w:r>
    </w:p>
    <w:p w14:paraId="64C5CE3E"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ind w:left="432"/>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educational institutions and policymakers promote innovation, entrepreneurship, and equitable access to digital resources for students and entrepreneurs, addressing barriers caused by the digital divide?</w:t>
      </w:r>
    </w:p>
    <w:p w14:paraId="13860E26"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ind w:left="432"/>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are the key challenges faced by developing countries including Small Island Developing States (SIDS) in adopting emerging technologies required to bridge the digital divide, and how can stakeholders support them in building the necessary capacity?</w:t>
      </w:r>
    </w:p>
    <w:p w14:paraId="18D97151"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ind w:left="432"/>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challenges do developing countries, including Small Island Developing States (SIDS), face in adopting emerging technologies to bridge the digital divide, and how can these challenges be effectively addressed?</w:t>
      </w:r>
    </w:p>
    <w:tbl>
      <w:tblPr>
        <w:tblStyle w:val="TableGrid1"/>
        <w:tblW w:w="0" w:type="auto"/>
        <w:tblLook w:val="04A0" w:firstRow="1" w:lastRow="0" w:firstColumn="1" w:lastColumn="0" w:noHBand="0" w:noVBand="1"/>
      </w:tblPr>
      <w:tblGrid>
        <w:gridCol w:w="9061"/>
      </w:tblGrid>
      <w:tr w:rsidR="00756188" w:rsidRPr="00756188" w14:paraId="006F390B" w14:textId="77777777" w:rsidTr="00DD18FB">
        <w:tc>
          <w:tcPr>
            <w:tcW w:w="9629" w:type="dxa"/>
            <w:shd w:val="clear" w:color="auto" w:fill="B8CCE4" w:themeFill="accent1" w:themeFillTint="66"/>
          </w:tcPr>
          <w:p w14:paraId="68DCFC0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color w:val="244061" w:themeColor="accent1" w:themeShade="80"/>
              </w:rPr>
            </w:pPr>
            <w:r w:rsidRPr="00756188">
              <w:rPr>
                <w:rFonts w:asciiTheme="minorHAnsi" w:eastAsiaTheme="minorEastAsia" w:hAnsiTheme="minorHAnsi"/>
                <w:b/>
                <w:bCs/>
              </w:rPr>
              <w:t>Contributor</w:t>
            </w:r>
            <w:r w:rsidRPr="00756188">
              <w:rPr>
                <w:rFonts w:asciiTheme="minorHAnsi" w:eastAsiaTheme="minorEastAsia" w:hAnsiTheme="minorHAnsi"/>
              </w:rPr>
              <w:t>: United Kingdom of Great Britain and Northern Ireland</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Deletion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xml:space="preserve">:  </w:t>
            </w:r>
            <w:r w:rsidRPr="00756188">
              <w:rPr>
                <w:rFonts w:asciiTheme="minorHAnsi" w:eastAsiaTheme="minorEastAsia" w:hAnsiTheme="minorHAnsi"/>
                <w:i/>
                <w:iCs/>
              </w:rPr>
              <w:t>4.7.6</w:t>
            </w:r>
            <w:r w:rsidRPr="00756188">
              <w:rPr>
                <w:rFonts w:asciiTheme="minorHAnsi" w:eastAsiaTheme="minorEastAsia" w:hAnsiTheme="minorHAnsi"/>
              </w:rPr>
              <w:br/>
            </w:r>
            <w:r w:rsidRPr="00756188">
              <w:rPr>
                <w:rFonts w:asciiTheme="minorHAnsi" w:eastAsiaTheme="minorEastAsia" w:hAnsiTheme="minorHAnsi"/>
                <w:b/>
                <w:bCs/>
              </w:rPr>
              <w:t>Proposal</w:t>
            </w:r>
            <w:r w:rsidRPr="00756188">
              <w:rPr>
                <w:rFonts w:asciiTheme="minorHAnsi" w:eastAsiaTheme="minorEastAsia" w:hAnsiTheme="minorHAnsi"/>
              </w:rPr>
              <w:t>: Suggest to strike all text in 4.7.6</w:t>
            </w:r>
            <w:r w:rsidRPr="00756188">
              <w:rPr>
                <w:rFonts w:asciiTheme="minorHAnsi" w:eastAsiaTheme="minorEastAsia" w:hAnsiTheme="minorHAnsi"/>
                <w:b/>
                <w:bCs/>
              </w:rPr>
              <w:t xml:space="preserve">: </w:t>
            </w:r>
            <w:r w:rsidRPr="00756188">
              <w:rPr>
                <w:rFonts w:asciiTheme="minorHAnsi" w:eastAsiaTheme="minorEastAsia" w:hAnsiTheme="minorHAnsi"/>
                <w:strike/>
              </w:rPr>
              <w:t>What challenges do developing countries, including Small Island Developing States (SIDS), face in adopting emerging technologies to bridge the digital divide, and how can these challenges be effectively addressed?</w:t>
            </w:r>
          </w:p>
          <w:p w14:paraId="00BD7CF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p>
        </w:tc>
      </w:tr>
    </w:tbl>
    <w:p w14:paraId="45EC086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0B0B3F9B"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ind w:left="432"/>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existing monitoring frameworks and metrics be refined or how can new ones be developed to effectively assess the impact of programs and policies designed to bridge the digital divide?</w:t>
      </w:r>
    </w:p>
    <w:p w14:paraId="4993E2EB" w14:textId="77777777" w:rsidR="00756188" w:rsidRPr="00756188" w:rsidRDefault="00756188" w:rsidP="00756188">
      <w:pPr>
        <w:keepNext/>
        <w:keepLines/>
        <w:numPr>
          <w:ilvl w:val="0"/>
          <w:numId w:val="17"/>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Green Digital Transformation: Climate Change and Environmental Sustainability</w:t>
      </w:r>
    </w:p>
    <w:p w14:paraId="49752165"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While technology can play a critical role in monitoring, mitigating and adapting to environmental sustainability and climate change, digital transformation brings significant implications. Such implications include rising greenhouse gas emissions and energy use from the telecommunication/ICT sector along with growing volumes of e-waste. New and emerging telecommunication/ICT services and technologies, in particular artificial intelligence (AI), are proving transformative in advancing environmental protection and climate action. AI applications are being deployed to optimize energy efficiency, predict extreme weather events, monitor biodiversity, and enhance climate modelling. These technologies are also enabling other sectors (e.g. energy, manufacturing industry, transportation and construction) to reduce the climate impact.</w:t>
      </w:r>
    </w:p>
    <w:tbl>
      <w:tblPr>
        <w:tblStyle w:val="TableGrid1"/>
        <w:tblW w:w="0" w:type="auto"/>
        <w:tblLook w:val="04A0" w:firstRow="1" w:lastRow="0" w:firstColumn="1" w:lastColumn="0" w:noHBand="0" w:noVBand="1"/>
      </w:tblPr>
      <w:tblGrid>
        <w:gridCol w:w="9061"/>
      </w:tblGrid>
      <w:tr w:rsidR="00756188" w:rsidRPr="00756188" w14:paraId="6AD11A71" w14:textId="77777777" w:rsidTr="00DD18FB">
        <w:tc>
          <w:tcPr>
            <w:tcW w:w="9629" w:type="dxa"/>
            <w:shd w:val="clear" w:color="auto" w:fill="B8CCE4" w:themeFill="accent1" w:themeFillTint="66"/>
          </w:tcPr>
          <w:p w14:paraId="2D8EF93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Modification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5.1</w:t>
            </w:r>
            <w:r w:rsidRPr="00756188">
              <w:rPr>
                <w:rFonts w:asciiTheme="minorHAnsi" w:eastAsiaTheme="minorEastAsia" w:hAnsiTheme="minorHAnsi"/>
              </w:rPr>
              <w:br/>
            </w:r>
            <w:r w:rsidRPr="00756188">
              <w:rPr>
                <w:rFonts w:asciiTheme="minorHAnsi" w:eastAsiaTheme="minorEastAsia" w:hAnsiTheme="minorHAnsi"/>
                <w:b/>
                <w:bCs/>
              </w:rPr>
              <w:t>Proposal</w:t>
            </w:r>
            <w:r w:rsidRPr="00756188">
              <w:rPr>
                <w:rFonts w:asciiTheme="minorHAnsi" w:eastAsiaTheme="minorEastAsia" w:hAnsiTheme="minorHAnsi"/>
              </w:rPr>
              <w:t>: Propose to remove the “(</w:t>
            </w:r>
            <w:proofErr w:type="spellStart"/>
            <w:r w:rsidRPr="00756188">
              <w:rPr>
                <w:rFonts w:asciiTheme="minorHAnsi" w:eastAsiaTheme="minorEastAsia" w:hAnsiTheme="minorHAnsi"/>
              </w:rPr>
              <w:t>e.g</w:t>
            </w:r>
            <w:proofErr w:type="spellEnd"/>
            <w:r w:rsidRPr="00756188">
              <w:rPr>
                <w:rFonts w:asciiTheme="minorHAnsi" w:eastAsiaTheme="minorEastAsia" w:hAnsiTheme="minorHAnsi"/>
              </w:rPr>
              <w:t xml:space="preserve">” from the sentence and replace with “such as” </w:t>
            </w:r>
          </w:p>
          <w:p w14:paraId="60FC2898"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color w:val="244061" w:themeColor="accent1" w:themeShade="80"/>
              </w:rPr>
            </w:pPr>
            <w:r w:rsidRPr="00756188">
              <w:rPr>
                <w:rFonts w:asciiTheme="minorHAnsi" w:eastAsiaTheme="minorEastAsia" w:hAnsiTheme="minorHAnsi"/>
              </w:rPr>
              <w:t xml:space="preserve">“These technologies are also enabling other sectors </w:t>
            </w:r>
            <w:r w:rsidRPr="00756188">
              <w:rPr>
                <w:rFonts w:asciiTheme="minorHAnsi" w:eastAsiaTheme="minorEastAsia" w:hAnsiTheme="minorHAnsi"/>
                <w:b/>
                <w:bCs/>
                <w:i/>
                <w:iCs/>
              </w:rPr>
              <w:t>such as</w:t>
            </w:r>
            <w:r w:rsidRPr="00756188">
              <w:rPr>
                <w:rFonts w:asciiTheme="minorHAnsi" w:eastAsiaTheme="minorEastAsia" w:hAnsiTheme="minorHAnsi"/>
              </w:rPr>
              <w:t xml:space="preserve"> energy, manufacturing industry, transportation and construction to reduce the climate impact.”</w:t>
            </w:r>
          </w:p>
          <w:p w14:paraId="44AE3918"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p>
        </w:tc>
      </w:tr>
    </w:tbl>
    <w:p w14:paraId="72F0614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0ACFCC5D"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rapid growth of digital technologies, including AI, whose computational power doubles every 100 days, also underscores the urgent need for sustainable practices in the digital sector. Digital companies already account for nearly 2% of global electricity use and up to 4% of greenhouse gas emissions, which must be reduced by 45% by 2030 to align with the Paris Agreement.</w:t>
      </w:r>
      <w:r w:rsidRPr="00756188">
        <w:rPr>
          <w:rFonts w:asciiTheme="minorHAnsi" w:eastAsiaTheme="minorEastAsia" w:hAnsiTheme="minorHAnsi" w:cstheme="minorBidi"/>
          <w:position w:val="6"/>
          <w:sz w:val="18"/>
          <w:szCs w:val="28"/>
          <w:lang w:eastAsia="zh-CN"/>
        </w:rPr>
        <w:footnoteReference w:id="1"/>
      </w:r>
      <w:r w:rsidRPr="00756188">
        <w:rPr>
          <w:rFonts w:asciiTheme="minorHAnsi" w:eastAsiaTheme="minorEastAsia" w:hAnsiTheme="minorHAnsi" w:cstheme="minorBidi"/>
          <w:szCs w:val="28"/>
          <w:lang w:eastAsia="zh-CN"/>
        </w:rPr>
        <w:t xml:space="preserve">  This dependence on finite energy resources presents a fundamental sustainability challenge for the sector, similar to its reliance on critical raw materials, highlighting the need for a transition to renewable energy sources throughout the digital value chain. </w:t>
      </w:r>
    </w:p>
    <w:p w14:paraId="60DFC5DA"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561D71DE" w14:textId="77777777" w:rsidTr="00DD18FB">
        <w:tc>
          <w:tcPr>
            <w:tcW w:w="9629" w:type="dxa"/>
            <w:shd w:val="clear" w:color="auto" w:fill="B8CCE4" w:themeFill="accent1" w:themeFillTint="66"/>
          </w:tcPr>
          <w:p w14:paraId="03B633A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Modification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5.2</w:t>
            </w:r>
            <w:r w:rsidRPr="00756188">
              <w:rPr>
                <w:rFonts w:asciiTheme="minorHAnsi" w:eastAsiaTheme="minorEastAsia" w:hAnsiTheme="minorHAnsi"/>
              </w:rPr>
              <w:br/>
            </w:r>
            <w:r w:rsidRPr="00756188">
              <w:rPr>
                <w:rFonts w:asciiTheme="minorHAnsi" w:eastAsiaTheme="minorEastAsia" w:hAnsiTheme="minorHAnsi"/>
                <w:b/>
                <w:bCs/>
              </w:rPr>
              <w:t>Proposal</w:t>
            </w:r>
            <w:r w:rsidRPr="00756188">
              <w:rPr>
                <w:rFonts w:asciiTheme="minorHAnsi" w:eastAsiaTheme="minorEastAsia" w:hAnsiTheme="minorHAnsi"/>
              </w:rPr>
              <w:t xml:space="preserve">: India proposes to remove footnote linking to the following article: </w:t>
            </w:r>
          </w:p>
          <w:p w14:paraId="7FE795D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 xml:space="preserve">“ICT industry to reduce greenhouse gas emissions by 45 per cent by 2030 -- ITU, </w:t>
            </w:r>
            <w:proofErr w:type="spellStart"/>
            <w:r w:rsidRPr="00756188">
              <w:rPr>
                <w:rFonts w:asciiTheme="minorHAnsi" w:eastAsiaTheme="minorEastAsia" w:hAnsiTheme="minorHAnsi"/>
              </w:rPr>
              <w:t>GeSI</w:t>
            </w:r>
            <w:proofErr w:type="spellEnd"/>
            <w:r w:rsidRPr="00756188">
              <w:rPr>
                <w:rFonts w:asciiTheme="minorHAnsi" w:eastAsiaTheme="minorEastAsia" w:hAnsiTheme="minorHAnsi"/>
              </w:rPr>
              <w:t>, GSMA &amp; SBTi set science-based pathway in line with Paris Agreement”</w:t>
            </w:r>
          </w:p>
          <w:p w14:paraId="726CE1C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https://www.itu.int/en/mediacentre/Pages/PR04-2020-ICT-industry-to-reduce-greenhouse-gas-emissions-by-45-percent-by-2030.aspx</w:t>
            </w:r>
          </w:p>
        </w:tc>
      </w:tr>
    </w:tbl>
    <w:p w14:paraId="42A639E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7E07133F"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Meanwhile, the world's transition to a circular economy remains slow, with only 7% of economic activities estimated as circular and 82 billion kilos of e-waste projected to be generated by 2030.  Furthermore, almost half of all countries lack multi-hazard early warning systems, and data gaps in Least Developed Countries and Small Island Developing States exacerbate their vulnerability to climate risks. Green digital transformation offers an opportunity to address these challenges and build a more sustainable, equitable future.</w:t>
      </w:r>
    </w:p>
    <w:p w14:paraId="707A660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27DF7B45" wp14:editId="4388D018">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rgbClr val="4F81BD"/>
                          </a:solidFill>
                          <a:miter lim="800000"/>
                          <a:headEnd/>
                          <a:tailEnd/>
                        </a:ln>
                      </wps:spPr>
                      <wps:txbx>
                        <w:txbxContent>
                          <w:p w14:paraId="09A8C83B" w14:textId="77777777" w:rsidR="00756188" w:rsidRPr="006D2DEA" w:rsidRDefault="00756188" w:rsidP="00756188">
                            <w:pPr>
                              <w:rPr>
                                <w:color w:val="4F81BD" w:themeColor="accent1"/>
                                <w:sz w:val="22"/>
                              </w:rPr>
                            </w:pPr>
                            <w:r w:rsidRPr="006D2DEA">
                              <w:rPr>
                                <w:color w:val="4F81BD" w:themeColor="accent1"/>
                                <w:sz w:val="22"/>
                              </w:rPr>
                              <w:t>International Standards at ITU:</w:t>
                            </w:r>
                          </w:p>
                          <w:p w14:paraId="2B1622A7" w14:textId="77777777" w:rsidR="00756188" w:rsidRPr="006D2DEA" w:rsidRDefault="00756188" w:rsidP="00756188">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w:pict>
              <v:shape w14:anchorId="27DF7B45" id="Text Box 2" o:spid="_x0000_s1030"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" strokecolor="#4f81bd" strokeweight="1.5pt">
                <v:textbox>
                  <w:txbxContent>
                    <w:p w14:paraId="09A8C83B" w14:textId="77777777" w:rsidR="00756188" w:rsidRPr="006D2DEA" w:rsidRDefault="00756188" w:rsidP="00756188">
                      <w:pPr>
                        <w:rPr>
                          <w:color w:val="4F81BD" w:themeColor="accent1"/>
                          <w:sz w:val="22"/>
                        </w:rPr>
                      </w:pPr>
                      <w:r w:rsidRPr="006D2DEA">
                        <w:rPr>
                          <w:color w:val="4F81BD" w:themeColor="accent1"/>
                          <w:sz w:val="22"/>
                        </w:rPr>
                        <w:t>International Standards at ITU:</w:t>
                      </w:r>
                    </w:p>
                    <w:p w14:paraId="2B1622A7" w14:textId="77777777" w:rsidR="00756188" w:rsidRPr="006D2DEA" w:rsidRDefault="00756188" w:rsidP="00756188">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22A8E40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4441818B"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1312" behindDoc="0" locked="0" layoutInCell="1" allowOverlap="0" wp14:anchorId="72A4143D" wp14:editId="1BA95B1A">
                <wp:simplePos x="0" y="0"/>
                <wp:positionH relativeFrom="column">
                  <wp:posOffset>3543300</wp:posOffset>
                </wp:positionH>
                <wp:positionV relativeFrom="paragraph">
                  <wp:posOffset>366395</wp:posOffset>
                </wp:positionV>
                <wp:extent cx="2394585" cy="2132330"/>
                <wp:effectExtent l="0" t="0" r="24765" b="1206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rgbClr val="4F81BD">
                              <a:lumMod val="100000"/>
                              <a:lumOff val="0"/>
                            </a:srgbClr>
                          </a:solidFill>
                          <a:miter lim="800000"/>
                          <a:headEnd/>
                          <a:tailEnd/>
                        </a:ln>
                      </wps:spPr>
                      <wps:txbx>
                        <w:txbxContent>
                          <w:p w14:paraId="1CFFC88B" w14:textId="77777777" w:rsidR="00756188" w:rsidRPr="006D2DEA" w:rsidRDefault="00756188" w:rsidP="00756188">
                            <w:pPr>
                              <w:rPr>
                                <w:color w:val="4F81BD" w:themeColor="accent1"/>
                                <w:sz w:val="22"/>
                              </w:rPr>
                            </w:pPr>
                            <w:r w:rsidRPr="006D2DEA">
                              <w:rPr>
                                <w:color w:val="4F81BD" w:themeColor="accent1"/>
                                <w:sz w:val="22"/>
                              </w:rPr>
                              <w:t>Global Commitments:</w:t>
                            </w:r>
                          </w:p>
                          <w:p w14:paraId="1BBD4627" w14:textId="77777777" w:rsidR="00756188" w:rsidRPr="006D2DEA" w:rsidRDefault="00756188" w:rsidP="00756188">
                            <w:pPr>
                              <w:jc w:val="both"/>
                              <w:rPr>
                                <w:sz w:val="22"/>
                              </w:rPr>
                            </w:pPr>
                            <w:r w:rsidRPr="003D7FDB">
                              <w:rPr>
                                <w:sz w:val="22"/>
                              </w:rPr>
                              <w:t>Regulatory approaches globally have begun to address environmental impacts collectively, though with certain challenges remaining. Currently, about 40 per cent of countries have developed e-waste policies, legislation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2A4143D" id="_x0000_s1031" type="#_x0000_t202" style="position:absolute;left:0;text-align:left;margin-left:279pt;margin-top:28.85pt;width:188.55pt;height:1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" o:allowoverlap="f" strokecolor="#4f81bd" strokeweight="1pt">
                <v:textbox style="mso-fit-shape-to-text:t">
                  <w:txbxContent>
                    <w:p w14:paraId="1CFFC88B" w14:textId="77777777" w:rsidR="00756188" w:rsidRPr="006D2DEA" w:rsidRDefault="00756188" w:rsidP="00756188">
                      <w:pPr>
                        <w:rPr>
                          <w:color w:val="4F81BD" w:themeColor="accent1"/>
                          <w:sz w:val="22"/>
                        </w:rPr>
                      </w:pPr>
                      <w:r w:rsidRPr="006D2DEA">
                        <w:rPr>
                          <w:color w:val="4F81BD" w:themeColor="accent1"/>
                          <w:sz w:val="22"/>
                        </w:rPr>
                        <w:t>Global Commitments:</w:t>
                      </w:r>
                    </w:p>
                    <w:p w14:paraId="1BBD4627" w14:textId="77777777" w:rsidR="00756188" w:rsidRPr="006D2DEA" w:rsidRDefault="00756188" w:rsidP="00756188">
                      <w:pPr>
                        <w:jc w:val="both"/>
                        <w:rPr>
                          <w:sz w:val="22"/>
                        </w:rPr>
                      </w:pPr>
                      <w:r w:rsidRPr="003D7FDB">
                        <w:rPr>
                          <w:sz w:val="22"/>
                        </w:rPr>
                        <w:t>Regulatory approaches globally have begun to address environmental impacts collectively, though with certain challenges remaining. Currently, about 40 per cent of countries have developed e-waste policies, legislation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Pr="00756188">
        <w:rPr>
          <w:rFonts w:asciiTheme="minorHAnsi" w:eastAsiaTheme="minorEastAsia" w:hAnsiTheme="minorHAnsi" w:cstheme="minorBidi"/>
          <w:szCs w:val="28"/>
          <w:lang w:eastAsia="zh-CN"/>
        </w:rPr>
        <w:t xml:space="preserve">A true green digital transformation requires a few key approaches: energy efficiency promotion, digital carbon management prioritizing material efficiency, promoting the reuse of equipment, and implementing circular economy principles. These strategies minimize the environmental impact of digital infrastructure by reducing the demand for new resources. The circular economy approach emphasizes designing ICT products for durability, repairability,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 </w:t>
      </w:r>
    </w:p>
    <w:p w14:paraId="20137B87"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4"/>
          <w:lang w:eastAsia="zh-CN"/>
        </w:rPr>
        <w:t>E</w:t>
      </w:r>
      <w:r w:rsidRPr="00756188">
        <w:rPr>
          <w:rFonts w:asciiTheme="minorHAnsi" w:eastAsiaTheme="minorEastAsia" w:hAnsiTheme="minorHAnsi" w:cstheme="minorBidi"/>
          <w:szCs w:val="28"/>
          <w:lang w:eastAsia="zh-CN"/>
        </w:rPr>
        <w:t>conomies</w:t>
      </w:r>
      <w:r w:rsidRPr="00756188">
        <w:rPr>
          <w:rFonts w:asciiTheme="minorHAnsi" w:eastAsiaTheme="minorEastAsia" w:hAnsiTheme="minorHAnsi" w:cstheme="minorBidi"/>
          <w:szCs w:val="24"/>
          <w:lang w:eastAsia="zh-CN"/>
        </w:rPr>
        <w:t xml:space="preserve"> in transition face specific challenges in meeting Paris Agreement targets and facilitating green digital transformation:</w:t>
      </w:r>
    </w:p>
    <w:p w14:paraId="2676AF34"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Many developing countries are limited in their ability to attract necessary investment levels to implement Paris Agreement targets</w:t>
      </w:r>
    </w:p>
    <w:p w14:paraId="322C2A78"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Recent research by UNCTAD has revealed that 3.3 billion persons live in countries that spend more on servicing public debt than on public health or educational services</w:t>
      </w:r>
    </w:p>
    <w:p w14:paraId="6366097F"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For emerging and developing countries, interest payments outpace climate-related investments, thus retarding climate change adaptation and mitigation efforts</w:t>
      </w:r>
    </w:p>
    <w:p w14:paraId="5C87270D"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This leaves limited capacity for public funding of critical ICT initiatives</w:t>
      </w:r>
    </w:p>
    <w:p w14:paraId="47F1F65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p>
    <w:tbl>
      <w:tblPr>
        <w:tblStyle w:val="TableGrid1"/>
        <w:tblW w:w="0" w:type="auto"/>
        <w:tblLook w:val="04A0" w:firstRow="1" w:lastRow="0" w:firstColumn="1" w:lastColumn="0" w:noHBand="0" w:noVBand="1"/>
      </w:tblPr>
      <w:tblGrid>
        <w:gridCol w:w="9061"/>
      </w:tblGrid>
      <w:tr w:rsidR="00756188" w:rsidRPr="00756188" w14:paraId="5E3A8E2B" w14:textId="77777777" w:rsidTr="00DD18FB">
        <w:tc>
          <w:tcPr>
            <w:tcW w:w="9629" w:type="dxa"/>
            <w:shd w:val="clear" w:color="auto" w:fill="B8CCE4" w:themeFill="accent1" w:themeFillTint="66"/>
          </w:tcPr>
          <w:p w14:paraId="2885230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Modification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5.4.1</w:t>
            </w:r>
            <w:r w:rsidRPr="00756188">
              <w:rPr>
                <w:rFonts w:asciiTheme="minorHAnsi" w:eastAsiaTheme="minorEastAsia" w:hAnsiTheme="minorHAnsi"/>
              </w:rPr>
              <w:br/>
            </w:r>
            <w:r w:rsidRPr="00756188">
              <w:rPr>
                <w:rFonts w:asciiTheme="minorHAnsi" w:eastAsiaTheme="minorEastAsia" w:hAnsiTheme="minorHAnsi"/>
                <w:b/>
                <w:bCs/>
              </w:rPr>
              <w:t>Proposal</w:t>
            </w:r>
            <w:r w:rsidRPr="00756188">
              <w:rPr>
                <w:rFonts w:asciiTheme="minorHAnsi" w:eastAsiaTheme="minorEastAsia" w:hAnsiTheme="minorHAnsi"/>
              </w:rPr>
              <w:t xml:space="preserve">: India proposes to remove the bullet point formatting from the third and fourth bullets. </w:t>
            </w:r>
          </w:p>
          <w:p w14:paraId="169E9EB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“For emerging and developing countries, interest payments outpace climate-related investments, thus retarding climate change adaptation and mitigation efforts This leaves limited capacity for public funding of critical ICT initiatives”</w:t>
            </w:r>
          </w:p>
        </w:tc>
      </w:tr>
    </w:tbl>
    <w:p w14:paraId="076CE55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p>
    <w:p w14:paraId="77A7B6D0"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4"/>
          <w:lang w:eastAsia="zh-CN"/>
        </w:rPr>
        <w:t>In addition to the green digital transformation strategies outlined in this Report, consideration should also be given to:</w:t>
      </w:r>
    </w:p>
    <w:p w14:paraId="781D32D5"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Promoting infrastructure sharing, where technically and economically feasible, to reduce redundant infrastructure, minimize resource consumption, and lower energy usage.</w:t>
      </w:r>
    </w:p>
    <w:p w14:paraId="13341D87"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Responsible communications tower site selection and deployment to help minimize disruption or destruction of sensitive ecosystems and wildlife habitats.</w:t>
      </w:r>
    </w:p>
    <w:p w14:paraId="515D792B"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Ongoing research on the potential impacts of electromagnetic fields on wildlife.</w:t>
      </w:r>
    </w:p>
    <w:p w14:paraId="09FE3826"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Establishing the necessary policies, regulations, facilities, and mechanisms to encourage the recycling of ICT equipment and the environmentally sensitive disposal of e-waste. </w:t>
      </w:r>
    </w:p>
    <w:p w14:paraId="78BCAEE4" w14:textId="77777777" w:rsidR="00756188" w:rsidRPr="00756188" w:rsidRDefault="00756188" w:rsidP="00756188">
      <w:pPr>
        <w:numPr>
          <w:ilvl w:val="0"/>
          <w:numId w:val="18"/>
        </w:num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Creating and enhancing digital marketplaces and e-commerce platforms to support the exchange of second-hand goods and refurbished products</w:t>
      </w:r>
    </w:p>
    <w:p w14:paraId="798E5DA8"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p>
    <w:p w14:paraId="65ABE78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p>
    <w:p w14:paraId="0EDEC6E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Bidi"/>
          <w:noProof/>
          <w:sz w:val="22"/>
          <w:szCs w:val="22"/>
          <w:lang w:val="en-US" w:eastAsia="zh-CN"/>
        </w:rPr>
        <mc:AlternateContent>
          <mc:Choice Requires="wps">
            <w:drawing>
              <wp:inline distT="0" distB="0" distL="0" distR="0" wp14:anchorId="4B18C07F" wp14:editId="0F9DAFFE">
                <wp:extent cx="5580000" cy="1404620"/>
                <wp:effectExtent l="0" t="0" r="20955" b="16510"/>
                <wp:docPr id="2127108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4F81BD">
                              <a:lumMod val="100000"/>
                              <a:lumOff val="0"/>
                            </a:srgbClr>
                          </a:solidFill>
                          <a:miter lim="800000"/>
                          <a:headEnd/>
                          <a:tailEnd/>
                        </a:ln>
                      </wps:spPr>
                      <wps:txbx>
                        <w:txbxContent>
                          <w:p w14:paraId="72FB7C03" w14:textId="77777777" w:rsidR="00756188" w:rsidRPr="006D2DEA" w:rsidRDefault="00756188" w:rsidP="00756188">
                            <w:pPr>
                              <w:rPr>
                                <w:color w:val="4F81BD" w:themeColor="accent1"/>
                                <w:sz w:val="22"/>
                              </w:rPr>
                            </w:pPr>
                            <w:r w:rsidRPr="006D2DEA">
                              <w:rPr>
                                <w:color w:val="4F81BD" w:themeColor="accent1"/>
                                <w:sz w:val="22"/>
                              </w:rPr>
                              <w:t>Bridging the gap:</w:t>
                            </w:r>
                          </w:p>
                          <w:p w14:paraId="34D16F7C" w14:textId="77777777" w:rsidR="00756188" w:rsidRPr="006D2DEA" w:rsidRDefault="00756188" w:rsidP="00756188">
                            <w:pPr>
                              <w:jc w:val="both"/>
                              <w:rPr>
                                <w:sz w:val="22"/>
                              </w:rPr>
                            </w:pPr>
                            <w:r w:rsidRPr="006D2DEA">
                              <w:rPr>
                                <w:sz w:val="22"/>
                              </w:rPr>
                              <w:t>The lack of comprehensive data on emissions remains a significant gap in the ICT sector.</w:t>
                            </w:r>
                            <w:r>
                              <w:t xml:space="preserve"> </w:t>
                            </w:r>
                            <w:r w:rsidRPr="00C46B06">
                              <w:rPr>
                                <w:sz w:val="22"/>
                              </w:rPr>
                              <w:t>Approaches, including raising awareness, developing knowledge, contributions and investments, best practices sharing and capacity building are critical to achieving green digital transformation towards climate change mitigation and environmental sustainability. Especially, Recommendations and informative deliverables from ITU provide industries with vital tools for achieving the SDGs.</w:t>
                            </w:r>
                            <w:r>
                              <w:rPr>
                                <w:sz w:val="22"/>
                              </w:rPr>
                              <w:t xml:space="preserve"> </w:t>
                            </w:r>
                            <w:r w:rsidRPr="006D2DEA">
                              <w:rPr>
                                <w:sz w:val="22"/>
                              </w:rPr>
                              <w:t xml:space="preserve"> </w:t>
                            </w:r>
                          </w:p>
                        </w:txbxContent>
                      </wps:txbx>
                      <wps:bodyPr rot="0" vert="horz" wrap="square" lIns="91440" tIns="45720" rIns="91440" bIns="45720" anchor="t" anchorCtr="0" upright="1">
                        <a:spAutoFit/>
                      </wps:bodyPr>
                    </wps:wsp>
                  </a:graphicData>
                </a:graphic>
              </wp:inline>
            </w:drawing>
          </mc:Choice>
          <mc:Fallback>
            <w:pict>
              <v:shape w14:anchorId="4B18C07F" id="_x0000_s1032"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" strokecolor="#4f81bd" strokeweight="1pt">
                <v:textbox style="mso-fit-shape-to-text:t">
                  <w:txbxContent>
                    <w:p w14:paraId="72FB7C03" w14:textId="77777777" w:rsidR="00756188" w:rsidRPr="006D2DEA" w:rsidRDefault="00756188" w:rsidP="00756188">
                      <w:pPr>
                        <w:rPr>
                          <w:color w:val="4F81BD" w:themeColor="accent1"/>
                          <w:sz w:val="22"/>
                        </w:rPr>
                      </w:pPr>
                      <w:r w:rsidRPr="006D2DEA">
                        <w:rPr>
                          <w:color w:val="4F81BD" w:themeColor="accent1"/>
                          <w:sz w:val="22"/>
                        </w:rPr>
                        <w:t>Bridging the gap:</w:t>
                      </w:r>
                    </w:p>
                    <w:p w14:paraId="34D16F7C" w14:textId="77777777" w:rsidR="00756188" w:rsidRPr="006D2DEA" w:rsidRDefault="00756188" w:rsidP="00756188">
                      <w:pPr>
                        <w:jc w:val="both"/>
                        <w:rPr>
                          <w:sz w:val="22"/>
                        </w:rPr>
                      </w:pPr>
                      <w:r w:rsidRPr="006D2DEA">
                        <w:rPr>
                          <w:sz w:val="22"/>
                        </w:rPr>
                        <w:t>The lack of comprehensive data on emissions remains a significant gap in the ICT sector.</w:t>
                      </w:r>
                      <w:r>
                        <w:t xml:space="preserve"> </w:t>
                      </w:r>
                      <w:r w:rsidRPr="00C46B06">
                        <w:rPr>
                          <w:sz w:val="22"/>
                        </w:rPr>
                        <w:t>Approaches, including raising awareness, developing knowledge, contributions and investments, best practices sharing and capacity building are critical to achieving green digital transformation towards climate change mitigation and environmental sustainability. Especially, Recommendations and informative deliverables from ITU provide industries with vital tools for achieving the SDGs.</w:t>
                      </w:r>
                      <w:r>
                        <w:rPr>
                          <w:sz w:val="22"/>
                        </w:rPr>
                        <w:t xml:space="preserve"> </w:t>
                      </w:r>
                      <w:r w:rsidRPr="006D2DEA">
                        <w:rPr>
                          <w:sz w:val="22"/>
                        </w:rPr>
                        <w:t xml:space="preserve"> </w:t>
                      </w:r>
                    </w:p>
                  </w:txbxContent>
                </v:textbox>
                <w10:anchorlock/>
              </v:shape>
            </w:pict>
          </mc:Fallback>
        </mc:AlternateContent>
      </w:r>
    </w:p>
    <w:p w14:paraId="1380FB49"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4"/>
          <w:lang w:eastAsia="zh-CN"/>
        </w:rPr>
        <w:t>This approach would align green digital transformation with both environmental and economic sustainability goals while addressing the specific challenges faced by tourism-dependent economies.</w:t>
      </w:r>
    </w:p>
    <w:p w14:paraId="5634ECEB"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Some key aspects to consider in this respect are international partnerships that focus on promoting sustainable development and climate action through technological innovation, support mechanisms for developing countries through targeted assistance and knowledge sharing, development of industry best practices to examine how telecommunications/ICTs can reduce negative environmental impacts across sectors.</w:t>
      </w:r>
    </w:p>
    <w:p w14:paraId="4771E59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30742928" w14:textId="77777777" w:rsidTr="00DD18FB">
        <w:tc>
          <w:tcPr>
            <w:tcW w:w="9629" w:type="dxa"/>
            <w:shd w:val="clear" w:color="auto" w:fill="B8CCE4" w:themeFill="accent1" w:themeFillTint="66"/>
          </w:tcPr>
          <w:p w14:paraId="7780984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Addition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Between 5.5 and 5.6</w:t>
            </w:r>
            <w:r w:rsidRPr="00756188">
              <w:rPr>
                <w:rFonts w:asciiTheme="minorHAnsi" w:eastAsiaTheme="minorEastAsia" w:hAnsiTheme="minorHAnsi"/>
              </w:rPr>
              <w:br/>
            </w:r>
            <w:r w:rsidRPr="00756188">
              <w:rPr>
                <w:rFonts w:asciiTheme="minorHAnsi" w:eastAsiaTheme="minorEastAsia" w:hAnsiTheme="minorHAnsi"/>
                <w:b/>
                <w:bCs/>
              </w:rPr>
              <w:t>Proposal</w:t>
            </w:r>
            <w:r w:rsidRPr="00756188">
              <w:rPr>
                <w:rFonts w:asciiTheme="minorHAnsi" w:eastAsiaTheme="minorEastAsia" w:hAnsiTheme="minorHAnsi"/>
              </w:rPr>
              <w:t>: To add a new 8 new paras between 5.5 and 5.6</w:t>
            </w:r>
            <w:r w:rsidRPr="00756188">
              <w:rPr>
                <w:rFonts w:asciiTheme="minorHAnsi" w:eastAsiaTheme="minorEastAsia" w:hAnsiTheme="minorHAnsi"/>
                <w:b/>
                <w:bCs/>
              </w:rPr>
              <w:t xml:space="preserve"> </w:t>
            </w:r>
          </w:p>
          <w:p w14:paraId="1B5DF8B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5.6 Digital public infrastructure can serve as a foundational enabler for climate-resilient governance by delivering scalable, low-cost digital services. In climate-vulnerable regions, Digital public infrastructure can bridge access gaps and empower communities to participate in sustainable development.</w:t>
            </w:r>
          </w:p>
          <w:p w14:paraId="7F1C3FB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5.7.</w:t>
            </w:r>
            <w:r w:rsidRPr="00756188">
              <w:rPr>
                <w:rFonts w:asciiTheme="minorHAnsi" w:eastAsiaTheme="minorEastAsia" w:hAnsiTheme="minorHAnsi"/>
              </w:rPr>
              <w:tab/>
              <w:t>Applying circular economy principles to ICTs is essential for minimizing environmental degradation. By promoting reuse, recycling, and responsible sourcing across the ICT lifecycle—from device manufacturing to network deployment and disposal—policymakers can reduce e-waste, conserve critical raw materials, and foster sustainable industrial practices. This shift also aligns with global sustainability goals and green supply chain strategies.</w:t>
            </w:r>
          </w:p>
          <w:p w14:paraId="79C4BC72"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5.8.</w:t>
            </w:r>
            <w:r w:rsidRPr="00756188">
              <w:rPr>
                <w:rFonts w:asciiTheme="minorHAnsi" w:eastAsiaTheme="minorEastAsia" w:hAnsiTheme="minorHAnsi"/>
              </w:rPr>
              <w:tab/>
              <w:t>Energy-efficient network technologies such as AI-driven traffic optimization, edge computing, and low-power 6G architectures offer transformative potential to reduce the carbon footprint of digital infrastructure. Encouraging their adoption through incentives and regulation can help reconcile the growth of digital connectivity with climate commitments, especially as data demand and network density continue to rise.</w:t>
            </w:r>
          </w:p>
          <w:p w14:paraId="0B7E5C8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5.9.</w:t>
            </w:r>
            <w:r w:rsidRPr="00756188">
              <w:rPr>
                <w:rFonts w:asciiTheme="minorHAnsi" w:eastAsiaTheme="minorEastAsia" w:hAnsiTheme="minorHAnsi"/>
              </w:rPr>
              <w:tab/>
              <w:t>Satellite communication and IoT systems are powerful tools for climate monitoring, disaster preparedness, and precision agriculture. These technologies enable real-time data collection and analysis in remote and underserved areas, supporting proactive environmental management and resilience-building. Their integration into national climate strategies can enhance early warning capabilities and resource efficiency.</w:t>
            </w:r>
          </w:p>
          <w:p w14:paraId="09B044F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5.10.</w:t>
            </w:r>
            <w:r w:rsidRPr="00756188">
              <w:rPr>
                <w:rFonts w:asciiTheme="minorHAnsi" w:eastAsiaTheme="minorEastAsia" w:hAnsiTheme="minorHAnsi"/>
              </w:rPr>
              <w:tab/>
              <w:t>Effective governance frameworks are critical to ensuring that digital climate solutions are deployed transparently, ethically, and equitably. As these technologies increasingly operate across borders and sectors, robust oversight mechanisms can safeguard against misuse, promote accountability, and build public trust in digital interventions for climate action.</w:t>
            </w:r>
          </w:p>
          <w:p w14:paraId="4A51973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5.11.</w:t>
            </w:r>
            <w:r w:rsidRPr="00756188">
              <w:rPr>
                <w:rFonts w:asciiTheme="minorHAnsi" w:eastAsiaTheme="minorEastAsia" w:hAnsiTheme="minorHAnsi"/>
              </w:rPr>
              <w:tab/>
              <w:t>Digital literacy and capacity-building initiatives are vital to ensuring that all communities—especially marginalized and rural populations—can engage meaningfully with green digital ecosystems. By equipping citizens with the skills to access, understand, and use climate-related digital tools, policymakers can foster inclusive participation and amplify the societal impact of green technologies.</w:t>
            </w:r>
          </w:p>
          <w:p w14:paraId="3723AFCA"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5.12.</w:t>
            </w:r>
            <w:r w:rsidRPr="00756188">
              <w:rPr>
                <w:rFonts w:asciiTheme="minorHAnsi" w:eastAsiaTheme="minorEastAsia" w:hAnsiTheme="minorHAnsi"/>
              </w:rPr>
              <w:tab/>
              <w:t>Developing standardized metrics and indicators to assess the environmental footprint of digital transformation initiatives is essential for evidence-based policymaking. These tools enable governments and industry to monitor progress, identify gaps, and benchmark performance globally, thereby enhancing transparency and driving continuous improvement in sustainability efforts.</w:t>
            </w:r>
          </w:p>
          <w:p w14:paraId="6F1BADC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5.13.</w:t>
            </w:r>
            <w:r w:rsidRPr="00756188">
              <w:rPr>
                <w:rFonts w:asciiTheme="minorHAnsi" w:eastAsiaTheme="minorEastAsia" w:hAnsiTheme="minorHAnsi"/>
              </w:rPr>
              <w:tab/>
              <w:t>Public-private partnerships are key to accelerating innovation in green ICTs. By fostering collaboration among governments, industry leaders, academia, and civil society, such partnerships can unlock new solutions, pool resources, and scale successful pilots. Multilateral platforms like ITU can play a catalytic role in convening stakeholders and promoting global diffusion of best practices.</w:t>
            </w:r>
          </w:p>
          <w:p w14:paraId="13E76E0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p>
        </w:tc>
      </w:tr>
    </w:tbl>
    <w:p w14:paraId="735BA29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1D7A855B"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Given ongoing global developments in regulatory approaches, industry commitments, and collaborative initiatives, several critical questions emerge regarding how to accelerate and expand the telecommunication/ICT services and technology sector's contribution to environmental sustainability:</w:t>
      </w:r>
    </w:p>
    <w:p w14:paraId="005AB49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HAnsi"/>
          <w:szCs w:val="24"/>
          <w:rtl/>
          <w:lang w:eastAsia="zh-CN"/>
        </w:rPr>
      </w:pPr>
      <w:r w:rsidRPr="00756188">
        <w:rPr>
          <w:rFonts w:asciiTheme="minorHAnsi" w:eastAsiaTheme="minorEastAsia" w:hAnsiTheme="minorHAnsi" w:cstheme="minorHAnsi"/>
          <w:szCs w:val="24"/>
          <w:lang w:eastAsia="zh-CN"/>
        </w:rPr>
        <w:t>What actions can ITU take to build</w:t>
      </w:r>
      <w:r w:rsidRPr="00756188">
        <w:rPr>
          <w:rFonts w:asciiTheme="minorHAnsi" w:eastAsiaTheme="minorEastAsia" w:hAnsiTheme="minorHAnsi" w:cstheme="minorHAnsi"/>
          <w:szCs w:val="24"/>
          <w:rtl/>
          <w:lang w:eastAsia="zh-CN"/>
        </w:rPr>
        <w:t xml:space="preserve"> </w:t>
      </w:r>
      <w:r w:rsidRPr="00756188">
        <w:rPr>
          <w:rFonts w:asciiTheme="minorHAnsi" w:eastAsiaTheme="minorEastAsia" w:hAnsiTheme="minorHAnsi" w:cstheme="minorHAnsi"/>
          <w:szCs w:val="24"/>
          <w:lang w:eastAsia="zh-CN"/>
        </w:rPr>
        <w:t xml:space="preserve">international partnerships that promote use of green digital </w:t>
      </w:r>
      <w:r w:rsidRPr="00756188">
        <w:rPr>
          <w:rFonts w:asciiTheme="minorHAnsi" w:eastAsiaTheme="minorEastAsia" w:hAnsiTheme="minorHAnsi" w:cstheme="minorBidi"/>
          <w:szCs w:val="24"/>
          <w:lang w:eastAsia="zh-CN"/>
        </w:rPr>
        <w:t>transformation</w:t>
      </w:r>
      <w:r w:rsidRPr="00756188">
        <w:rPr>
          <w:rFonts w:asciiTheme="minorHAnsi" w:eastAsiaTheme="minorEastAsia" w:hAnsiTheme="minorHAnsi" w:cstheme="minorHAnsi"/>
          <w:szCs w:val="24"/>
          <w:lang w:eastAsia="zh-CN"/>
        </w:rPr>
        <w:t xml:space="preserve"> for sustainable development and climate action?</w:t>
      </w:r>
    </w:p>
    <w:p w14:paraId="32CE2DF1"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 xml:space="preserve">How can telecommunications/ICTs help developing countries achieve green digital transformation? </w:t>
      </w:r>
    </w:p>
    <w:p w14:paraId="2AC5356B"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 xml:space="preserve">What are the good practices of telecommunications/ICTs in reducing the negative impact of industries on the environment? </w:t>
      </w:r>
    </w:p>
    <w:p w14:paraId="6A9F1AF1"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74D97DEB"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policymakers help to reduce the environmental impact of telecommunications/ICTs, and to facilitate ICT’s contribution to sustainability and climate action?</w:t>
      </w:r>
    </w:p>
    <w:p w14:paraId="56C08F90"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Leveraging existing efforts like Green Digital Action, how can governments, industry, UN agencies, academia and civil society fast-track industry-wide commitments to addressing climate challenges and put digital solutions at the forefront of climate action?</w:t>
      </w:r>
    </w:p>
    <w:p w14:paraId="3450766F"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policy makers identify most significant data gaps and research needs in green digital transformation, and how can it be addressed through international cooperation and knowledge sharing</w:t>
      </w:r>
    </w:p>
    <w:p w14:paraId="0DDC421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2AF1E694" w14:textId="77777777" w:rsidTr="00DD18FB">
        <w:tc>
          <w:tcPr>
            <w:tcW w:w="9629" w:type="dxa"/>
            <w:shd w:val="clear" w:color="auto" w:fill="B8CCE4" w:themeFill="accent1" w:themeFillTint="66"/>
          </w:tcPr>
          <w:p w14:paraId="55E1187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Addition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After 5.6.7</w:t>
            </w:r>
            <w:r w:rsidRPr="00756188">
              <w:rPr>
                <w:rFonts w:asciiTheme="minorHAnsi" w:eastAsiaTheme="minorEastAsia" w:hAnsiTheme="minorHAnsi"/>
                <w:b/>
                <w:bCs/>
                <w:color w:val="244061" w:themeColor="accent1" w:themeShade="80"/>
              </w:rPr>
              <w:t xml:space="preserve"> </w:t>
            </w:r>
            <w:r w:rsidRPr="00756188">
              <w:rPr>
                <w:rFonts w:asciiTheme="minorHAnsi" w:eastAsiaTheme="minorEastAsia" w:hAnsiTheme="minorHAnsi"/>
              </w:rPr>
              <w:br/>
            </w:r>
            <w:r w:rsidRPr="00756188">
              <w:rPr>
                <w:rFonts w:asciiTheme="minorHAnsi" w:eastAsiaTheme="minorEastAsia" w:hAnsiTheme="minorHAnsi"/>
                <w:b/>
                <w:bCs/>
              </w:rPr>
              <w:t>Proposal</w:t>
            </w:r>
            <w:r w:rsidRPr="00756188">
              <w:rPr>
                <w:rFonts w:asciiTheme="minorHAnsi" w:eastAsiaTheme="minorEastAsia" w:hAnsiTheme="minorHAnsi"/>
              </w:rPr>
              <w:t>: To add 8 new questions after 5.6.7</w:t>
            </w:r>
            <w:r w:rsidRPr="00756188">
              <w:rPr>
                <w:rFonts w:asciiTheme="minorHAnsi" w:eastAsiaTheme="minorEastAsia" w:hAnsiTheme="minorHAnsi"/>
                <w:b/>
                <w:bCs/>
                <w:color w:val="244061" w:themeColor="accent1" w:themeShade="80"/>
              </w:rPr>
              <w:br/>
            </w:r>
            <w:r w:rsidRPr="00756188">
              <w:rPr>
                <w:rFonts w:asciiTheme="minorHAnsi" w:eastAsiaTheme="minorEastAsia" w:hAnsiTheme="minorHAnsi"/>
              </w:rPr>
              <w:t>NEW 5.6.8 What role can digital public infrastructure (DPI) play in enabling scalable, inclusive, and climate-resilient services, especially in vulnerable regions?</w:t>
            </w:r>
          </w:p>
          <w:p w14:paraId="377392F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5.6.9 How can circular economy principles be integrated into ICT manufacturing, deployment, and disposal to minimize e-waste and resource consumption?</w:t>
            </w:r>
          </w:p>
          <w:p w14:paraId="67D93D5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5.6.10</w:t>
            </w:r>
            <w:r w:rsidRPr="00756188">
              <w:rPr>
                <w:rFonts w:asciiTheme="minorHAnsi" w:eastAsiaTheme="minorEastAsia" w:hAnsiTheme="minorHAnsi"/>
              </w:rPr>
              <w:tab/>
              <w:t>What incentives or regulatory frameworks can accelerate the adoption of energy-efficient network technologies, such as AI-driven optimization, edge computing, and low-power 6G architectures?</w:t>
            </w:r>
          </w:p>
          <w:p w14:paraId="1412C38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5.6.11</w:t>
            </w:r>
            <w:r w:rsidRPr="00756188">
              <w:rPr>
                <w:rFonts w:asciiTheme="minorHAnsi" w:eastAsiaTheme="minorEastAsia" w:hAnsiTheme="minorHAnsi"/>
              </w:rPr>
              <w:tab/>
              <w:t>How can satellite communication and IoT be leveraged for climate monitoring, disaster preparedness, and precision agriculture in remote and underserved areas?</w:t>
            </w:r>
          </w:p>
          <w:p w14:paraId="2EE460E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5.6.12</w:t>
            </w:r>
            <w:r w:rsidRPr="00756188">
              <w:rPr>
                <w:rFonts w:asciiTheme="minorHAnsi" w:eastAsiaTheme="minorEastAsia" w:hAnsiTheme="minorHAnsi"/>
              </w:rPr>
              <w:tab/>
              <w:t>What governance models can ensure transparency, accountability, and equity in the deployment of digital climate solutions, especially in cross-border contexts?</w:t>
            </w:r>
          </w:p>
          <w:p w14:paraId="0A6704C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5.6.13</w:t>
            </w:r>
            <w:r w:rsidRPr="00756188">
              <w:rPr>
                <w:rFonts w:asciiTheme="minorHAnsi" w:eastAsiaTheme="minorEastAsia" w:hAnsiTheme="minorHAnsi"/>
              </w:rPr>
              <w:tab/>
              <w:t>How can digital literacy and capacity-building initiatives be tailored to empower communities to participate in and benefit from green digital ecosystems?</w:t>
            </w:r>
          </w:p>
          <w:p w14:paraId="2D2EB489"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5.6.14</w:t>
            </w:r>
            <w:r w:rsidRPr="00756188">
              <w:rPr>
                <w:rFonts w:asciiTheme="minorHAnsi" w:eastAsiaTheme="minorEastAsia" w:hAnsiTheme="minorHAnsi"/>
              </w:rPr>
              <w:tab/>
              <w:t>What metrics and indicators should be developed to assess the environmental footprint and climate impact of digital transformation initiatives across sectors?</w:t>
            </w:r>
          </w:p>
          <w:p w14:paraId="73D0C3B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color w:val="244061" w:themeColor="accent1" w:themeShade="80"/>
              </w:rPr>
            </w:pPr>
            <w:r w:rsidRPr="00756188">
              <w:rPr>
                <w:rFonts w:asciiTheme="minorHAnsi" w:eastAsiaTheme="minorEastAsia" w:hAnsiTheme="minorHAnsi"/>
              </w:rPr>
              <w:t>NEW 5.6.15</w:t>
            </w:r>
            <w:r w:rsidRPr="00756188">
              <w:rPr>
                <w:rFonts w:asciiTheme="minorHAnsi" w:eastAsiaTheme="minorEastAsia" w:hAnsiTheme="minorHAnsi"/>
              </w:rPr>
              <w:tab/>
              <w:t>How can public-private partnerships foster innovation in green ICTs, and what role can multilateral platforms like ITU play in scaling successful pilots globally?</w:t>
            </w:r>
          </w:p>
        </w:tc>
      </w:tr>
    </w:tbl>
    <w:p w14:paraId="1D27892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10C60274" w14:textId="77777777" w:rsidR="00756188" w:rsidRPr="00756188" w:rsidRDefault="00756188" w:rsidP="00756188">
      <w:pPr>
        <w:keepNext/>
        <w:keepLines/>
        <w:numPr>
          <w:ilvl w:val="0"/>
          <w:numId w:val="17"/>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Building Resilient Telecommunication/ICT Infrastructure and Services</w:t>
      </w:r>
    </w:p>
    <w:p w14:paraId="1758C8BA"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Resilient telecommunications/ICTs services and technologies are capable of predicting, responding to, and withstanding multiple forms of disruption. The resilience of global telecommunications networks depends on multiple factors such as infrastructure (for e.g. terrestrial networks and submarine cables through which over 99% of global internet traffic passes), satellite systems providing critical redundancy and reach, the availability of relevant skills within the economy, public awareness, early warning systems, cybersecurity measures, and mitigations against the impact of climate change.</w:t>
      </w:r>
    </w:p>
    <w:p w14:paraId="44193DF8"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New and emerging technologies are transforming the approach towards telecommunication/ICT services and technologies resilience. Advanced capabilities such as AI and machine learning are being utilized for real-time risk detection and predictive maintenance of critical infrastructure. Low Earth Orbit (LEO) satellite networks are expanding connectivity options for remote regions. Edge computing and digital twins are enabling faster decision-making and improved system modelling to predict and mitigate vulnerabilities. While offering new capabilities, also introduce new considerations for security management, technical expertise requirements, and the sustainability of new telecommunications/ICTs services and technologies.</w:t>
      </w:r>
    </w:p>
    <w:p w14:paraId="176B27F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2F754D4F" wp14:editId="4223A5B8">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rgbClr val="9BBB59">
                              <a:lumMod val="100000"/>
                              <a:lumOff val="0"/>
                            </a:srgbClr>
                          </a:solidFill>
                          <a:miter lim="800000"/>
                          <a:headEnd/>
                          <a:tailEnd/>
                        </a:ln>
                      </wps:spPr>
                      <wps:txbx>
                        <w:txbxContent>
                          <w:p w14:paraId="053796D6" w14:textId="77777777" w:rsidR="00756188" w:rsidRPr="00A859A1" w:rsidRDefault="00756188" w:rsidP="00756188">
                            <w:pPr>
                              <w:rPr>
                                <w:color w:val="9BBB59" w:themeColor="accent3"/>
                                <w:sz w:val="22"/>
                              </w:rPr>
                            </w:pPr>
                            <w:r w:rsidRPr="00A859A1">
                              <w:rPr>
                                <w:color w:val="9BBB59" w:themeColor="accent3"/>
                                <w:sz w:val="22"/>
                              </w:rPr>
                              <w:t xml:space="preserve">Case Study: Submarine Cable Resilience </w:t>
                            </w:r>
                          </w:p>
                          <w:p w14:paraId="40A23548" w14:textId="77777777" w:rsidR="00756188" w:rsidRPr="006D2DEA" w:rsidRDefault="00756188" w:rsidP="00756188">
                            <w:pPr>
                              <w:jc w:val="both"/>
                              <w:rPr>
                                <w:sz w:val="22"/>
                              </w:rPr>
                            </w:pPr>
                            <w:r w:rsidRPr="006D2DEA">
                              <w:rPr>
                                <w:sz w:val="22"/>
                              </w:rPr>
                              <w:t xml:space="preserve">Recognizing the critical importance of submarine cables to global connectivity and the digital economy, ITU has established an </w:t>
                            </w:r>
                            <w:hyperlink r:id="rId20"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w:pict>
              <v:shape w14:anchorId="2F754D4F"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" strokecolor="#9bbb59" strokeweight="1.5pt">
                <v:textbox style="mso-fit-shape-to-text:t">
                  <w:txbxContent>
                    <w:p w14:paraId="053796D6" w14:textId="77777777" w:rsidR="00756188" w:rsidRPr="00A859A1" w:rsidRDefault="00756188" w:rsidP="00756188">
                      <w:pPr>
                        <w:rPr>
                          <w:color w:val="9BBB59" w:themeColor="accent3"/>
                          <w:sz w:val="22"/>
                        </w:rPr>
                      </w:pPr>
                      <w:r w:rsidRPr="00A859A1">
                        <w:rPr>
                          <w:color w:val="9BBB59" w:themeColor="accent3"/>
                          <w:sz w:val="22"/>
                        </w:rPr>
                        <w:t xml:space="preserve">Case Study: Submarine Cable Resilience </w:t>
                      </w:r>
                    </w:p>
                    <w:p w14:paraId="40A23548" w14:textId="77777777" w:rsidR="00756188" w:rsidRPr="006D2DEA" w:rsidRDefault="00756188" w:rsidP="00756188">
                      <w:pPr>
                        <w:jc w:val="both"/>
                        <w:rPr>
                          <w:sz w:val="22"/>
                        </w:rPr>
                      </w:pPr>
                      <w:r w:rsidRPr="006D2DEA">
                        <w:rPr>
                          <w:sz w:val="22"/>
                        </w:rPr>
                        <w:t xml:space="preserve">Recognizing the critical importance of submarine cables to global connectivity and the digital economy, ITU has established an </w:t>
                      </w:r>
                      <w:hyperlink r:id="rId21"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04E9E709"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Recognizing this, a comprehensive approach to this issue should be adopted that acknowledges that the resilience of telecommunication/ICT services and technologies cuts across many kinds of challenges, such as climate-related disruptions, cyber incidents, non-malicious technical breakdowns, energy infrastructure, and grid resilience. It should also recognize that enhancing the resilience of telecommunication/ICT services and technologies involves wider initiatives, such as public awareness raising, early warning systems, and risk-management planning. A holistic approach includes the following key considerations:</w:t>
      </w:r>
    </w:p>
    <w:p w14:paraId="1C50FABF"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2336" behindDoc="0" locked="0" layoutInCell="1" allowOverlap="1" wp14:anchorId="6C994B66" wp14:editId="4FEE73CD">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rgbClr val="9BBB59">
                              <a:lumMod val="100000"/>
                              <a:lumOff val="0"/>
                            </a:srgbClr>
                          </a:solidFill>
                          <a:miter lim="800000"/>
                          <a:headEnd/>
                          <a:tailEnd/>
                        </a:ln>
                      </wps:spPr>
                      <wps:txbx>
                        <w:txbxContent>
                          <w:p w14:paraId="007ABC2F" w14:textId="77777777" w:rsidR="00756188" w:rsidRPr="00A859A1" w:rsidRDefault="00756188" w:rsidP="00756188">
                            <w:pPr>
                              <w:rPr>
                                <w:color w:val="9BBB59" w:themeColor="accent3"/>
                                <w:sz w:val="22"/>
                              </w:rPr>
                            </w:pPr>
                            <w:r w:rsidRPr="00A859A1">
                              <w:rPr>
                                <w:color w:val="9BBB59" w:themeColor="accent3"/>
                                <w:sz w:val="22"/>
                              </w:rPr>
                              <w:t>Case Study: Network Resilience Through Standards</w:t>
                            </w:r>
                          </w:p>
                          <w:p w14:paraId="7F9205FA" w14:textId="77777777" w:rsidR="00756188" w:rsidRPr="00A859A1" w:rsidRDefault="00756188" w:rsidP="00756188">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C994B66" id="_x0000_s1034" type="#_x0000_t202" style="position:absolute;left:0;text-align:left;margin-left:284.8pt;margin-top:15.55pt;width:197.05pt;height:2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" strokecolor="#9bbb59" strokeweight="1.5pt">
                <v:textbox style="mso-fit-shape-to-text:t">
                  <w:txbxContent>
                    <w:p w14:paraId="007ABC2F" w14:textId="77777777" w:rsidR="00756188" w:rsidRPr="00A859A1" w:rsidRDefault="00756188" w:rsidP="00756188">
                      <w:pPr>
                        <w:rPr>
                          <w:color w:val="9BBB59" w:themeColor="accent3"/>
                          <w:sz w:val="22"/>
                        </w:rPr>
                      </w:pPr>
                      <w:r w:rsidRPr="00A859A1">
                        <w:rPr>
                          <w:color w:val="9BBB59" w:themeColor="accent3"/>
                          <w:sz w:val="22"/>
                        </w:rPr>
                        <w:t>Case Study: Network Resilience Through Standards</w:t>
                      </w:r>
                    </w:p>
                    <w:p w14:paraId="7F9205FA" w14:textId="77777777" w:rsidR="00756188" w:rsidRPr="00A859A1" w:rsidRDefault="00756188" w:rsidP="00756188">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Pr="00756188">
        <w:rPr>
          <w:rFonts w:asciiTheme="minorHAnsi" w:eastAsiaTheme="minorEastAsia" w:hAnsiTheme="minorHAnsi" w:cstheme="minorBidi"/>
          <w:szCs w:val="28"/>
          <w:lang w:eastAsia="zh-CN"/>
        </w:rPr>
        <w:t xml:space="preserve">Infrastructure resilience requires coordinated technical frameworks across terrestrial, submarine and space-based networks.  Collaborative work must continue in order to analyse these advances and identify how emerging technologies could enhance capabilities of comprehensive protection and rapid recovery. </w:t>
      </w:r>
    </w:p>
    <w:p w14:paraId="69B026E2"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Policy and regulatory approaches must address resilience across all infrastructure layers, including but not limited to early-warning detection and cybersecurity.</w:t>
      </w:r>
    </w:p>
    <w:p w14:paraId="25D0A078"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Capacity building and skills development are essential for operating, maintaining and protecting complex, multi-layered communication systems.</w:t>
      </w:r>
    </w:p>
    <w:p w14:paraId="4FA8D271"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International cooperation mechanisms strengthen global telecommunications infrastructure resilience through sharing of best practices, information exchange, and coordinated response capabilities.</w:t>
      </w:r>
    </w:p>
    <w:p w14:paraId="1A9E116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7A24F47E" w14:textId="77777777" w:rsidTr="00DD18FB">
        <w:tc>
          <w:tcPr>
            <w:tcW w:w="9629" w:type="dxa"/>
            <w:shd w:val="clear" w:color="auto" w:fill="B8CCE4" w:themeFill="accent1" w:themeFillTint="66"/>
          </w:tcPr>
          <w:p w14:paraId="3D0E091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Addition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between 6.3 and 6.4</w:t>
            </w:r>
            <w:r w:rsidRPr="00756188">
              <w:rPr>
                <w:rFonts w:asciiTheme="minorHAnsi" w:eastAsiaTheme="minorEastAsia" w:hAnsiTheme="minorHAnsi"/>
                <w:b/>
                <w:bCs/>
              </w:rPr>
              <w:br/>
              <w:t xml:space="preserve">Proposal: </w:t>
            </w:r>
            <w:r w:rsidRPr="00756188">
              <w:rPr>
                <w:rFonts w:asciiTheme="minorHAnsi" w:eastAsiaTheme="minorEastAsia" w:hAnsiTheme="minorHAnsi"/>
              </w:rPr>
              <w:t>To add a new six new paras between 6.3 and 6.4</w:t>
            </w:r>
            <w:r w:rsidRPr="00756188">
              <w:rPr>
                <w:rFonts w:asciiTheme="minorHAnsi" w:eastAsiaTheme="minorEastAsia" w:hAnsiTheme="minorHAnsi"/>
                <w:b/>
                <w:bCs/>
              </w:rPr>
              <w:t xml:space="preserve"> </w:t>
            </w:r>
          </w:p>
          <w:p w14:paraId="5E7F701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6.4   Mobilizing resilient ICT infrastructure in underserved and disaster-prone regions requires more than technical ambition—it demands sustainable financing. Traditional models often fall short in addressing equity and long-term viability. By exploring blended finance, universal service obligations, and strategic public-private partnerships, policymakers can unlock scalable investment while ensuring that resilience is not a privilege but a public good.</w:t>
            </w:r>
          </w:p>
          <w:p w14:paraId="59FB75FF"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6.5</w:t>
            </w:r>
            <w:r w:rsidRPr="00756188">
              <w:rPr>
                <w:rFonts w:asciiTheme="minorHAnsi" w:eastAsiaTheme="minorEastAsia" w:hAnsiTheme="minorHAnsi"/>
              </w:rPr>
              <w:tab/>
              <w:t>As ICT systems become foundational to emergency response and continuity of services, resilience must extend beyond physical infrastructure to digital integrity. Cyberattacks and supply chain disruptions can cripple networks when they’re needed most. Embedding cybersecurity protocols and diversified sourcing into infrastructure planning is no longer optional—it’s central to safeguarding national digital sovereignty and public trust.</w:t>
            </w:r>
          </w:p>
          <w:p w14:paraId="1EEAA37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6.6.</w:t>
            </w:r>
            <w:r w:rsidRPr="00756188">
              <w:rPr>
                <w:rFonts w:asciiTheme="minorHAnsi" w:eastAsiaTheme="minorEastAsia" w:hAnsiTheme="minorHAnsi"/>
              </w:rPr>
              <w:tab/>
              <w:t>Climate volatility is reshaping the risk landscape for telecom infrastructure. Rising temperatures, floods, and extreme weather events threaten service continuity and asset longevity. Integrating climate adaptation—through robust siting, energy-efficient technologies, and green design—ensures that infrastructure is not only resilient but also aligned with global sustainability commitments and net-zero ambitions.</w:t>
            </w:r>
          </w:p>
          <w:p w14:paraId="2A8DA7F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6.7.</w:t>
            </w:r>
            <w:r w:rsidRPr="00756188">
              <w:rPr>
                <w:rFonts w:asciiTheme="minorHAnsi" w:eastAsiaTheme="minorEastAsia" w:hAnsiTheme="minorHAnsi"/>
              </w:rPr>
              <w:tab/>
              <w:t>Disaster resilience is as much about coordination as it is about capacity. Fragmented governance and siloed responses can delay action and cost lives. Establishing interoperable frameworks that link telecom operators, emergency services, and government agencies enables rapid, unified response—turning infrastructure into a backbone for crisis management rather than a bottleneck.</w:t>
            </w:r>
          </w:p>
          <w:p w14:paraId="17711D6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6.8.</w:t>
            </w:r>
            <w:r w:rsidRPr="00756188">
              <w:rPr>
                <w:rFonts w:asciiTheme="minorHAnsi" w:eastAsiaTheme="minorEastAsia" w:hAnsiTheme="minorHAnsi"/>
              </w:rPr>
              <w:tab/>
              <w:t>Emerging technologies offer a paradigm shift from reactive recovery to predictive resilience. Tools like digital twins, AI-driven simulations, and real-time analytics can anticipate disruptions, optimize resource allocation, and guide infrastructure upgrades. Harnessing these innovations transforms resilience from a static checklist into a dynamic capability—one that evolves with risk.</w:t>
            </w:r>
          </w:p>
          <w:p w14:paraId="698293A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6.9.</w:t>
            </w:r>
            <w:r w:rsidRPr="00756188">
              <w:rPr>
                <w:rFonts w:asciiTheme="minorHAnsi" w:eastAsiaTheme="minorEastAsia" w:hAnsiTheme="minorHAnsi"/>
              </w:rPr>
              <w:tab/>
              <w:t>Resilience must be inclusive to be meaningful. Vulnerable populations—especially persons with disabilities, the elderly, and those in remote areas—face disproportionate risks during crises. Designing ICT systems with universal access in mind ensures that emergency communications, digital services, and recovery efforts reach everyone, reinforcing both equity and effectiveness in disaster response.</w:t>
            </w:r>
          </w:p>
          <w:p w14:paraId="516711D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p>
        </w:tc>
      </w:tr>
    </w:tbl>
    <w:p w14:paraId="76C4823A"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6BC4E008"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7AD38192"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1F1EC92F"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emerging technologies and innovations improve the resilience of telecommunications and ICT infrastructure and the interdependence with other critical sectors like energy, health, and transportation to mitigate cascading failures during disasters?</w:t>
      </w:r>
    </w:p>
    <w:p w14:paraId="7B18CF6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policy and regulatory frameworks are needed to foster resilient telecommunication/ICT service and technology systems?</w:t>
      </w:r>
    </w:p>
    <w:p w14:paraId="01D8F577"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public awareness and preparedness contribute to telecommunication/ICT services and technology resilience?</w:t>
      </w:r>
    </w:p>
    <w:p w14:paraId="7B4D8A4D"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capacity building and skills development initiatives are needed to support telecommunication/ICT services and technologies resilience?</w:t>
      </w:r>
    </w:p>
    <w:p w14:paraId="68BFB564"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international cooperation and collaboration strengthen telecommunication/ICT services and technologies resilience?</w:t>
      </w:r>
    </w:p>
    <w:p w14:paraId="1D9EB331"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networks, including NRENs (National Research and Education Networks), leverage existing infrastructure, technologies, and community assets to enhance the resilience of telecommunications and telecommunication/ICT services?</w:t>
      </w:r>
    </w:p>
    <w:p w14:paraId="6C4D2DEC"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telecommunication/ICT services and technologies infrastructure and services be strengthened to ensure reliable performance in times of crisis, including natural disasters, supporting timely response and recovery efforts?</w:t>
      </w:r>
    </w:p>
    <w:p w14:paraId="67E7AFBE"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policymakers create frameworks for monitoring and evaluating the resilience of telecommunication/ICT services and technologies?</w:t>
      </w:r>
    </w:p>
    <w:p w14:paraId="3E4DF35A"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0E26CB50" w14:textId="77777777" w:rsidTr="00DD18FB">
        <w:tc>
          <w:tcPr>
            <w:tcW w:w="9629" w:type="dxa"/>
            <w:shd w:val="clear" w:color="auto" w:fill="B8CCE4" w:themeFill="accent1" w:themeFillTint="66"/>
          </w:tcPr>
          <w:p w14:paraId="4F7D89A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Addition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After 6.4.8</w:t>
            </w:r>
            <w:r w:rsidRPr="00756188">
              <w:rPr>
                <w:rFonts w:asciiTheme="minorHAnsi" w:eastAsiaTheme="minorEastAsia" w:hAnsiTheme="minorHAnsi"/>
                <w:b/>
                <w:bCs/>
              </w:rPr>
              <w:br/>
              <w:t xml:space="preserve">Proposal: </w:t>
            </w:r>
            <w:r w:rsidRPr="00756188">
              <w:rPr>
                <w:rFonts w:asciiTheme="minorHAnsi" w:eastAsiaTheme="minorEastAsia" w:hAnsiTheme="minorHAnsi"/>
              </w:rPr>
              <w:t>To add a new six new questions after 6.4.8</w:t>
            </w:r>
            <w:r w:rsidRPr="00756188">
              <w:rPr>
                <w:rFonts w:asciiTheme="minorHAnsi" w:eastAsiaTheme="minorEastAsia" w:hAnsiTheme="minorHAnsi"/>
                <w:b/>
                <w:bCs/>
              </w:rPr>
              <w:t xml:space="preserve"> </w:t>
            </w:r>
          </w:p>
          <w:p w14:paraId="1E17A4B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rPr>
            </w:pPr>
            <w:r w:rsidRPr="00756188">
              <w:rPr>
                <w:rFonts w:asciiTheme="minorHAnsi" w:eastAsiaTheme="minorEastAsia" w:hAnsiTheme="minorHAnsi"/>
              </w:rPr>
              <w:t xml:space="preserve">New 6.4.9 </w:t>
            </w:r>
            <w:r w:rsidRPr="00756188">
              <w:rPr>
                <w:rFonts w:asciiTheme="minorHAnsi" w:eastAsiaTheme="minorEastAsia" w:hAnsiTheme="minorHAnsi"/>
                <w:lang w:val="en-IN"/>
              </w:rPr>
              <w:t>What financing models, investment strategies, and public-private partnerships can support the development of resilient ICT infrastructure, particularly in underserved and disaster-prone regions?</w:t>
            </w:r>
          </w:p>
          <w:p w14:paraId="0C16C56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lang w:val="en-IN"/>
              </w:rPr>
            </w:pPr>
            <w:r w:rsidRPr="00756188">
              <w:rPr>
                <w:rFonts w:asciiTheme="minorHAnsi" w:eastAsiaTheme="minorEastAsia" w:hAnsiTheme="minorHAnsi"/>
                <w:lang w:val="en-IN"/>
              </w:rPr>
              <w:t>NEW 6.4.10</w:t>
            </w:r>
            <w:r w:rsidRPr="00756188">
              <w:rPr>
                <w:rFonts w:asciiTheme="minorHAnsi" w:eastAsiaTheme="minorEastAsia" w:hAnsiTheme="minorHAnsi"/>
                <w:lang w:val="en-IN"/>
              </w:rPr>
              <w:tab/>
              <w:t xml:space="preserve">How can cybersecurity, data protection, and supply chain resilience be integrated into ICT infrastructure planning to safeguard services during crises and prevent cascading risks? </w:t>
            </w:r>
          </w:p>
          <w:p w14:paraId="60A0518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lang w:val="en-IN"/>
              </w:rPr>
            </w:pPr>
            <w:r w:rsidRPr="00756188">
              <w:rPr>
                <w:rFonts w:asciiTheme="minorHAnsi" w:eastAsiaTheme="minorEastAsia" w:hAnsiTheme="minorHAnsi"/>
                <w:lang w:val="en-IN"/>
              </w:rPr>
              <w:t>NEW 6.4.11</w:t>
            </w:r>
            <w:r w:rsidRPr="00756188">
              <w:rPr>
                <w:rFonts w:asciiTheme="minorHAnsi" w:eastAsiaTheme="minorEastAsia" w:hAnsiTheme="minorHAnsi"/>
                <w:lang w:val="en-IN"/>
              </w:rPr>
              <w:tab/>
              <w:t>How can climate adaptation and environmental sustainability be embedded into telecom infrastructure design to ensure long-term resilience against extreme weather and environmental disruptions?</w:t>
            </w:r>
          </w:p>
          <w:p w14:paraId="016519C4"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lang w:val="en-IN"/>
              </w:rPr>
            </w:pPr>
            <w:r w:rsidRPr="00756188">
              <w:rPr>
                <w:rFonts w:asciiTheme="minorHAnsi" w:eastAsiaTheme="minorEastAsia" w:hAnsiTheme="minorHAnsi"/>
                <w:lang w:val="en-IN"/>
              </w:rPr>
              <w:t>NEW 6.4.12</w:t>
            </w:r>
            <w:r w:rsidRPr="00756188">
              <w:rPr>
                <w:rFonts w:asciiTheme="minorHAnsi" w:eastAsiaTheme="minorEastAsia" w:hAnsiTheme="minorHAnsi"/>
                <w:lang w:val="en-IN"/>
              </w:rPr>
              <w:tab/>
              <w:t xml:space="preserve"> What governance frameworks and coordination mechanisms can enable effective collaboration among telecom operators, emergency services, and government agencies during disasters?</w:t>
            </w:r>
          </w:p>
          <w:p w14:paraId="1E9A26A2"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lang w:val="en-IN"/>
              </w:rPr>
            </w:pPr>
            <w:r w:rsidRPr="00756188">
              <w:rPr>
                <w:rFonts w:asciiTheme="minorHAnsi" w:eastAsiaTheme="minorEastAsia" w:hAnsiTheme="minorHAnsi"/>
                <w:lang w:val="en-IN"/>
              </w:rPr>
              <w:t>NEW 6.4.13</w:t>
            </w:r>
            <w:r w:rsidRPr="00756188">
              <w:rPr>
                <w:rFonts w:asciiTheme="minorHAnsi" w:eastAsiaTheme="minorEastAsia" w:hAnsiTheme="minorHAnsi"/>
                <w:lang w:val="en-IN"/>
              </w:rPr>
              <w:tab/>
              <w:t xml:space="preserve"> How can emerging technologies like digital twins, AI, and predictive analytics be leveraged to simulate disruptions and proactively strengthen ICT infrastructure resilience? </w:t>
            </w:r>
          </w:p>
          <w:p w14:paraId="25216B8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lang w:val="en-IN"/>
              </w:rPr>
            </w:pPr>
            <w:r w:rsidRPr="00756188">
              <w:rPr>
                <w:rFonts w:asciiTheme="minorHAnsi" w:eastAsiaTheme="minorEastAsia" w:hAnsiTheme="minorHAnsi"/>
                <w:lang w:val="en-IN"/>
              </w:rPr>
              <w:t>NEW 6.4.14 How can inclusive design principles ensure that resilient ICT services remain accessible to vulnerable populations, including persons with disabilities and the elderly, during emergencies?</w:t>
            </w:r>
          </w:p>
        </w:tc>
      </w:tr>
    </w:tbl>
    <w:p w14:paraId="01526CCF"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5224E786" w14:textId="77777777" w:rsidR="00756188" w:rsidRPr="00756188" w:rsidRDefault="00756188" w:rsidP="00756188">
      <w:pPr>
        <w:keepNext/>
        <w:keepLines/>
        <w:numPr>
          <w:ilvl w:val="0"/>
          <w:numId w:val="17"/>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 xml:space="preserve">Space Connectivity </w:t>
      </w:r>
    </w:p>
    <w:p w14:paraId="6CD2E937"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Space connectivity has become fundamental to achieving global digital inclusion. Satellite technologies have a transformative role in providing universal connectivity, particularly for unserved and underserved areas where terrestrial infrastructure deployment faces geographical, technical and/or economic challenges.</w:t>
      </w:r>
    </w:p>
    <w:p w14:paraId="7249D565"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3360" behindDoc="0" locked="0" layoutInCell="1" allowOverlap="1" wp14:anchorId="09DD611C" wp14:editId="0CE3164A">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rgbClr val="4F81BD">
                              <a:lumMod val="100000"/>
                              <a:lumOff val="0"/>
                            </a:srgbClr>
                          </a:solidFill>
                          <a:miter lim="800000"/>
                          <a:headEnd/>
                          <a:tailEnd/>
                        </a:ln>
                      </wps:spPr>
                      <wps:txbx>
                        <w:txbxContent>
                          <w:p w14:paraId="2AB4BEDE" w14:textId="77777777" w:rsidR="00756188" w:rsidRPr="00A859A1" w:rsidRDefault="00756188" w:rsidP="00756188">
                            <w:pPr>
                              <w:rPr>
                                <w:color w:val="4F81BD" w:themeColor="accent1"/>
                                <w:sz w:val="22"/>
                              </w:rPr>
                            </w:pPr>
                            <w:r w:rsidRPr="00A859A1">
                              <w:rPr>
                                <w:color w:val="4F81BD" w:themeColor="accent1"/>
                                <w:sz w:val="22"/>
                              </w:rPr>
                              <w:t xml:space="preserve">Understanding the space arena: </w:t>
                            </w:r>
                          </w:p>
                          <w:p w14:paraId="730B07F0" w14:textId="77777777" w:rsidR="00756188" w:rsidRPr="00A859A1" w:rsidRDefault="00756188" w:rsidP="00756188">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093C725C" w14:textId="77777777" w:rsidR="00756188" w:rsidRPr="00A859A1" w:rsidRDefault="00756188" w:rsidP="00756188">
                            <w:pPr>
                              <w:jc w:val="both"/>
                              <w:rPr>
                                <w:i/>
                                <w:iCs/>
                                <w:sz w:val="18"/>
                                <w:szCs w:val="18"/>
                              </w:rPr>
                            </w:pPr>
                            <w:r w:rsidRPr="00A859A1">
                              <w:rPr>
                                <w:i/>
                                <w:iCs/>
                                <w:sz w:val="18"/>
                                <w:szCs w:val="18"/>
                              </w:rPr>
                              <w:t>Source: “Space: The $1.8 Trillion Opportunity for Global Economic Growth.” World Economic Forum, April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9DD611C" id="_x0000_s1035" type="#_x0000_t202" style="position:absolute;left:0;text-align:left;margin-left:281.05pt;margin-top:6.8pt;width:208.2pt;height:19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" strokecolor="#4f81bd" strokeweight="1pt">
                <v:textbox>
                  <w:txbxContent>
                    <w:p w14:paraId="2AB4BEDE" w14:textId="77777777" w:rsidR="00756188" w:rsidRPr="00A859A1" w:rsidRDefault="00756188" w:rsidP="00756188">
                      <w:pPr>
                        <w:rPr>
                          <w:color w:val="4F81BD" w:themeColor="accent1"/>
                          <w:sz w:val="22"/>
                        </w:rPr>
                      </w:pPr>
                      <w:r w:rsidRPr="00A859A1">
                        <w:rPr>
                          <w:color w:val="4F81BD" w:themeColor="accent1"/>
                          <w:sz w:val="22"/>
                        </w:rPr>
                        <w:t xml:space="preserve">Understanding the space arena: </w:t>
                      </w:r>
                    </w:p>
                    <w:p w14:paraId="730B07F0" w14:textId="77777777" w:rsidR="00756188" w:rsidRPr="00A859A1" w:rsidRDefault="00756188" w:rsidP="00756188">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093C725C" w14:textId="77777777" w:rsidR="00756188" w:rsidRPr="00A859A1" w:rsidRDefault="00756188" w:rsidP="00756188">
                      <w:pPr>
                        <w:jc w:val="both"/>
                        <w:rPr>
                          <w:i/>
                          <w:iCs/>
                          <w:sz w:val="18"/>
                          <w:szCs w:val="18"/>
                        </w:rPr>
                      </w:pPr>
                      <w:r w:rsidRPr="00A859A1">
                        <w:rPr>
                          <w:i/>
                          <w:iCs/>
                          <w:sz w:val="18"/>
                          <w:szCs w:val="18"/>
                        </w:rPr>
                        <w:t>Source: “Space: The $1.8 Trillion Opportunity for Global Economic Growth.” World Economic Forum, April 2024</w:t>
                      </w:r>
                    </w:p>
                  </w:txbxContent>
                </v:textbox>
                <w10:wrap type="square"/>
              </v:shape>
            </w:pict>
          </mc:Fallback>
        </mc:AlternateContent>
      </w:r>
      <w:r w:rsidRPr="00756188">
        <w:rPr>
          <w:rFonts w:asciiTheme="minorHAnsi" w:eastAsiaTheme="minorEastAsia" w:hAnsiTheme="minorHAnsi" w:cstheme="minorBidi"/>
          <w:szCs w:val="28"/>
          <w:lang w:eastAsia="zh-CN"/>
        </w:rPr>
        <w:t xml:space="preserve">The space connectivity landscape is evolving rapidly through the deployment of Very-High-Throughput Satellites in Geostationary Orbit (GSO), advances in Low-Earth Orbit (NGSO) satellite constellations, and innovative business partnerships between satellite and terrestrial telecommunications providers. </w:t>
      </w:r>
    </w:p>
    <w:p w14:paraId="158C6B9F"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integration of satellite and terrestrial networks is creating new possibilities for connectivity. These technological advances are particularly significant as they enable cost-effective and reliable communications in areas where terrestrial infrastructure has been geographically, technically and/or economically challenging.</w:t>
      </w:r>
    </w:p>
    <w:p w14:paraId="470963D7"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Countries are increasingly adopting forward-looking regulatory frameworks that address several aspects including:</w:t>
      </w:r>
    </w:p>
    <w:p w14:paraId="4E4807F8"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514"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efficient authorization processes for both GSO and NGSO systems, mechanisms to encourage investment in space infrastructure, </w:t>
      </w:r>
    </w:p>
    <w:p w14:paraId="3C669F4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514"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requirements for security and data protection provisions for industry partnerships and collaborations</w:t>
      </w:r>
    </w:p>
    <w:p w14:paraId="47F8DC4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514"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r>
      <w:r w:rsidRPr="00756188">
        <w:rPr>
          <w:rFonts w:asciiTheme="minorHAnsi" w:eastAsiaTheme="minorEastAsia" w:hAnsiTheme="minorHAnsi" w:cstheme="minorBidi"/>
          <w:szCs w:val="24"/>
          <w:lang w:eastAsia="zh-CN"/>
        </w:rPr>
        <w:t>measures to protect and optimize existing networks while enabling new connectivity-related telecommunication/ICT services and technologies</w:t>
      </w:r>
    </w:p>
    <w:p w14:paraId="312865B1"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Advancements must be balanced with considerations of space sustainability to ensure long-term accessibility of orbital resources. </w:t>
      </w:r>
    </w:p>
    <w:p w14:paraId="75D20A78"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57A350F0" w14:textId="77777777" w:rsidTr="00DD18FB">
        <w:tc>
          <w:tcPr>
            <w:tcW w:w="9629" w:type="dxa"/>
            <w:shd w:val="clear" w:color="auto" w:fill="B8CCE4" w:themeFill="accent1" w:themeFillTint="66"/>
          </w:tcPr>
          <w:p w14:paraId="15E88F43" w14:textId="77777777" w:rsidR="00756188" w:rsidRPr="00756188" w:rsidRDefault="00756188" w:rsidP="00EB053E">
            <w:pPr>
              <w:keepNext/>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Addition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Between 7.5 and 7.6</w:t>
            </w:r>
            <w:r w:rsidRPr="00756188">
              <w:rPr>
                <w:rFonts w:asciiTheme="minorHAnsi" w:eastAsiaTheme="minorEastAsia" w:hAnsiTheme="minorHAnsi"/>
                <w:b/>
                <w:bCs/>
              </w:rPr>
              <w:br/>
              <w:t xml:space="preserve">Proposal: </w:t>
            </w:r>
            <w:r w:rsidRPr="00756188">
              <w:rPr>
                <w:rFonts w:asciiTheme="minorHAnsi" w:eastAsiaTheme="minorEastAsia" w:hAnsiTheme="minorHAnsi"/>
              </w:rPr>
              <w:t>India proposes 3 new paras between 7.5 and 7.6</w:t>
            </w:r>
          </w:p>
          <w:p w14:paraId="15CCC5F3" w14:textId="77777777" w:rsidR="00756188" w:rsidRPr="00756188" w:rsidRDefault="00756188" w:rsidP="00EB053E">
            <w:pPr>
              <w:keepNext/>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7.6 Space-based connectivity plays a vital role in disaster preparedness, early warning systems, and climate monitoring—especially in regions lacking robust terrestrial infrastructure. Satellites enable real-time data on environmental risks and emergency communications, but their impact depends on policies that ensure timely data sharing and integration with ground systems. Strengthening this interface can significantly enhance humanitarian response and climate resilience, aligning with global SDG priorities.</w:t>
            </w:r>
          </w:p>
          <w:p w14:paraId="6BD2AF2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7.7.</w:t>
            </w:r>
            <w:r w:rsidRPr="00756188">
              <w:rPr>
                <w:rFonts w:asciiTheme="minorHAnsi" w:eastAsiaTheme="minorEastAsia" w:hAnsiTheme="minorHAnsi"/>
              </w:rPr>
              <w:tab/>
              <w:t>The expansion of space connectivity raises urgent ethical and governance challenges, particularly around surveillance, dual-use technologies, and geopolitical tensions. Without clear principles of transparency, accountability, and peaceful use, satellite deployments risk undermining trust and exacerbating strategic rivalries. Embedding ethical safeguards into policy frameworks is essential to ensure space remains a cooperative domain for inclusive development.</w:t>
            </w:r>
          </w:p>
          <w:p w14:paraId="0C955324"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7.8.</w:t>
            </w:r>
            <w:r w:rsidRPr="00756188">
              <w:rPr>
                <w:rFonts w:asciiTheme="minorHAnsi" w:eastAsiaTheme="minorEastAsia" w:hAnsiTheme="minorHAnsi"/>
              </w:rPr>
              <w:tab/>
              <w:t>Equitable access to space connectivity requires empowering developing countries through capacity-building, technology transfer, and inclusive governance. Many nations remain on the margins of space innovation due to resource and expertise gaps. Targeted support and regional collaboration can help shift these countries from passive recipients to active contributors, ensuring that space benefits are widely shared and globally representative.</w:t>
            </w:r>
          </w:p>
        </w:tc>
      </w:tr>
    </w:tbl>
    <w:p w14:paraId="2F64DE4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4BAF400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7EDAC150" wp14:editId="29370F41">
                <wp:extent cx="5580000" cy="1358900"/>
                <wp:effectExtent l="0" t="0" r="20955" b="12700"/>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358900"/>
                        </a:xfrm>
                        <a:prstGeom prst="rect">
                          <a:avLst/>
                        </a:prstGeom>
                        <a:solidFill>
                          <a:srgbClr val="FFFFFF"/>
                        </a:solidFill>
                        <a:ln w="12700">
                          <a:solidFill>
                            <a:srgbClr val="9BBB59"/>
                          </a:solidFill>
                          <a:miter lim="800000"/>
                          <a:headEnd/>
                          <a:tailEnd/>
                        </a:ln>
                      </wps:spPr>
                      <wps:txbx>
                        <w:txbxContent>
                          <w:p w14:paraId="505D1CA8" w14:textId="77777777" w:rsidR="00756188" w:rsidRPr="00A859A1" w:rsidRDefault="00756188" w:rsidP="00756188">
                            <w:pPr>
                              <w:rPr>
                                <w:color w:val="9BBB59" w:themeColor="accent3"/>
                                <w:sz w:val="22"/>
                              </w:rPr>
                            </w:pPr>
                            <w:r w:rsidRPr="00A859A1">
                              <w:rPr>
                                <w:color w:val="9BBB59" w:themeColor="accent3"/>
                                <w:sz w:val="22"/>
                              </w:rPr>
                              <w:t>Case Study: Space Sustainability Forum</w:t>
                            </w:r>
                          </w:p>
                          <w:p w14:paraId="1F21460E" w14:textId="77777777" w:rsidR="00756188" w:rsidRPr="00A859A1" w:rsidRDefault="00756188" w:rsidP="00756188">
                            <w:pPr>
                              <w:jc w:val="both"/>
                              <w:rPr>
                                <w:sz w:val="22"/>
                              </w:rPr>
                            </w:pPr>
                            <w:r w:rsidRPr="00A859A1">
                              <w:rPr>
                                <w:sz w:val="22"/>
                              </w:rPr>
                              <w:t>The 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wps:txbx>
                      <wps:bodyPr rot="0" vert="horz" wrap="square" lIns="91440" tIns="45720" rIns="91440" bIns="45720" anchor="t" anchorCtr="0" upright="1">
                        <a:noAutofit/>
                      </wps:bodyPr>
                    </wps:wsp>
                  </a:graphicData>
                </a:graphic>
              </wp:inline>
            </w:drawing>
          </mc:Choice>
          <mc:Fallback>
            <w:pict>
              <v:shape w14:anchorId="7EDAC150" id="_x0000_s1036" type="#_x0000_t202" style="width:439.35pt;height: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" strokecolor="#9bbb59" strokeweight="1pt">
                <v:textbox>
                  <w:txbxContent>
                    <w:p w14:paraId="505D1CA8" w14:textId="77777777" w:rsidR="00756188" w:rsidRPr="00A859A1" w:rsidRDefault="00756188" w:rsidP="00756188">
                      <w:pPr>
                        <w:rPr>
                          <w:color w:val="9BBB59" w:themeColor="accent3"/>
                          <w:sz w:val="22"/>
                        </w:rPr>
                      </w:pPr>
                      <w:r w:rsidRPr="00A859A1">
                        <w:rPr>
                          <w:color w:val="9BBB59" w:themeColor="accent3"/>
                          <w:sz w:val="22"/>
                        </w:rPr>
                        <w:t>Case Study: Space Sustainability Forum</w:t>
                      </w:r>
                    </w:p>
                    <w:p w14:paraId="1F21460E" w14:textId="77777777" w:rsidR="00756188" w:rsidRPr="00A859A1" w:rsidRDefault="00756188" w:rsidP="00756188">
                      <w:pPr>
                        <w:jc w:val="both"/>
                        <w:rPr>
                          <w:sz w:val="22"/>
                        </w:rPr>
                      </w:pPr>
                      <w:r w:rsidRPr="00A859A1">
                        <w:rPr>
                          <w:sz w:val="22"/>
                        </w:rPr>
                        <w:t>The 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v:textbox>
                <w10:anchorlock/>
              </v:shape>
            </w:pict>
          </mc:Fallback>
        </mc:AlternateContent>
      </w:r>
    </w:p>
    <w:p w14:paraId="1D37186B"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As the space connectivity sector continues its rapid evolution, several important aspects emerge for consideration at the intersection of technological advancement, universal access, and sustainable space operations:</w:t>
      </w:r>
    </w:p>
    <w:p w14:paraId="65B0813C"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Emerging trends and developments in space connectivity focus on creating innovative solutions for inclusive and sustainable digital futures.</w:t>
      </w:r>
    </w:p>
    <w:p w14:paraId="3F5AB5C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Bridging the digital divide bridging through space-based connectivity can help to addresses the needs of unserved and underserved communities.</w:t>
      </w:r>
    </w:p>
    <w:p w14:paraId="15FBC0F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Enabling policy and regulatory frameworks support the responsible deployment and sustainable use of space-based connectivity systems. There is broad recognition that space connectivity themes fall under the mandates of different UN entities related to outer space, such as the United Nations Office for Outer Space Affairs (UNOOSA), the Committee on the Peaceful Uses of Outer Space (COPUOS), and ITU. Within ITU specifically, there are established global regulatory frameworks governing these sectors, particularly through the World Radiocommunication Conferences.</w:t>
      </w:r>
    </w:p>
    <w:p w14:paraId="7625EC36"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Complementarity between different space-based systems and terrestrial networks creates opportunities for enhanced connectivity solutions.</w:t>
      </w:r>
    </w:p>
    <w:p w14:paraId="27E3CDD4"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spectrum and orbits being limited; it is necessary to use it optimally with equitable access to all countries, especially developing countries.</w:t>
      </w:r>
    </w:p>
    <w:p w14:paraId="695BFB61"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Public private partnership and economic incentive by governments can accelerate the deployment of space technologies which can accelerate access to connectivity in underserved and unserved regions.</w:t>
      </w:r>
    </w:p>
    <w:p w14:paraId="08C7AF6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p>
    <w:p w14:paraId="6F9FC85E"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Given these critical considerations in space connectivity and sustainability, policymakers and stakeholders must address the following questions to ensure responsible development of space-based telecommunication/ICT services and technologies:</w:t>
      </w:r>
    </w:p>
    <w:p w14:paraId="5FD6BDD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challenges, trends and developments in space-based connectivity contribute to an inclusive, sustainable, resilient, affordable and innovative digital future? How can governments, the public sector, the private sector, and civil society, each in its respective role, build upon these developments?</w:t>
      </w:r>
    </w:p>
    <w:p w14:paraId="4C3D3546"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space connectivity bridge digital divides and contribute to sustainable development, particularly in historically underserved and unserved communities, </w:t>
      </w:r>
      <w:r w:rsidRPr="00756188">
        <w:rPr>
          <w:rFonts w:ascii="Segoe UI" w:eastAsiaTheme="minorEastAsia" w:hAnsi="Segoe UI" w:cs="Segoe UI"/>
          <w:sz w:val="18"/>
          <w:szCs w:val="18"/>
          <w:lang w:eastAsia="zh-CN"/>
        </w:rPr>
        <w:t xml:space="preserve"> </w:t>
      </w:r>
      <w:r w:rsidRPr="00756188">
        <w:rPr>
          <w:rFonts w:asciiTheme="minorHAnsi" w:eastAsiaTheme="minorEastAsia" w:hAnsiTheme="minorHAnsi" w:cstheme="minorBidi"/>
          <w:szCs w:val="28"/>
          <w:lang w:eastAsia="zh-CN"/>
        </w:rPr>
        <w:t>while addressing various stakeholder priorities including accessibility, affordability, resilience of communications, and appropriate safeguards?</w:t>
      </w:r>
    </w:p>
    <w:p w14:paraId="63318E4D"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administrations act at the national, regional, and international levels to create an enabling policy and regulatory environment for the deployment and use of space-based connectivity? How can regulatory frameworks be harmonized across different countries to facilitate the seamless deployment and operation of space-based connectivity systems?</w:t>
      </w:r>
    </w:p>
    <w:p w14:paraId="7F2D11EF"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complementarities among different space-based connectivity systems and between space-based connectivity systems and terrestrial networks contribute to an inclusive and innovative digital future?  How can policymakers help enable viable business models that evolve from these complementarities and what regulatory mechanisms can be put in place to prevent market distortions and to protect existing terrestrial networks?</w:t>
      </w:r>
    </w:p>
    <w:p w14:paraId="7F160896"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Recognizing the mandate of ITU and its regulatory framework and sectors, particularly the world radiocommunication conferences, how can international coordination and collaboration be improved to manage the allocation and use of radio frequency spectrum for space-based services, ensuring equitable access to space resources for all countries, minimal interference and optimal usage? </w:t>
      </w:r>
    </w:p>
    <w:p w14:paraId="0B5471FC"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regulatory frameworks need to be established to ensure effective Space Traffic Management (STM) and prevent overcrowding in orbit? How can countries collaborate to develop and implement space traffic coordination systems that ensure the safety and sustainability of space activities?</w:t>
      </w:r>
    </w:p>
    <w:tbl>
      <w:tblPr>
        <w:tblStyle w:val="TableGrid1"/>
        <w:tblW w:w="0" w:type="auto"/>
        <w:tblLook w:val="04A0" w:firstRow="1" w:lastRow="0" w:firstColumn="1" w:lastColumn="0" w:noHBand="0" w:noVBand="1"/>
      </w:tblPr>
      <w:tblGrid>
        <w:gridCol w:w="9061"/>
      </w:tblGrid>
      <w:tr w:rsidR="00756188" w:rsidRPr="00756188" w14:paraId="3BBA8C55" w14:textId="77777777" w:rsidTr="00DD18FB">
        <w:tc>
          <w:tcPr>
            <w:tcW w:w="9629" w:type="dxa"/>
            <w:shd w:val="clear" w:color="auto" w:fill="B8CCE4" w:themeFill="accent1" w:themeFillTint="66"/>
          </w:tcPr>
          <w:p w14:paraId="41A57E0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Contributor</w:t>
            </w:r>
            <w:r w:rsidRPr="00756188">
              <w:rPr>
                <w:rFonts w:asciiTheme="minorHAnsi" w:eastAsiaTheme="minorEastAsia" w:hAnsiTheme="minorHAnsi"/>
              </w:rPr>
              <w:t>: United Kingdom of Great Britain and Northern Ireland</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Modification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7.7.6</w:t>
            </w:r>
            <w:r w:rsidRPr="00756188">
              <w:rPr>
                <w:rFonts w:asciiTheme="minorHAnsi" w:eastAsiaTheme="minorEastAsia" w:hAnsiTheme="minorHAnsi"/>
                <w:b/>
                <w:bCs/>
              </w:rPr>
              <w:br/>
              <w:t xml:space="preserve">Proposal: </w:t>
            </w:r>
            <w:r w:rsidRPr="00756188">
              <w:rPr>
                <w:rFonts w:asciiTheme="minorHAnsi" w:eastAsiaTheme="minorEastAsia" w:hAnsiTheme="minorHAnsi"/>
                <w:bCs/>
              </w:rPr>
              <w:t xml:space="preserve">Proposal to add the word “connectivity” between space and activities: </w:t>
            </w:r>
          </w:p>
          <w:p w14:paraId="04E0B634"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w:t>
            </w:r>
            <w:r w:rsidRPr="00756188">
              <w:rPr>
                <w:rFonts w:asciiTheme="minorHAnsi" w:eastAsiaTheme="minorEastAsia" w:hAnsiTheme="minorHAnsi"/>
              </w:rPr>
              <w:t xml:space="preserve">… that ensure the safety and sustainability of space </w:t>
            </w:r>
            <w:r w:rsidRPr="00756188">
              <w:rPr>
                <w:rFonts w:asciiTheme="minorHAnsi" w:eastAsiaTheme="minorEastAsia" w:hAnsiTheme="minorHAnsi"/>
                <w:b/>
                <w:bCs/>
                <w:i/>
                <w:iCs/>
              </w:rPr>
              <w:t>connectivity</w:t>
            </w:r>
            <w:r w:rsidRPr="00756188">
              <w:rPr>
                <w:rFonts w:asciiTheme="minorHAnsi" w:eastAsiaTheme="minorEastAsia" w:hAnsiTheme="minorHAnsi"/>
                <w:b/>
                <w:bCs/>
              </w:rPr>
              <w:t xml:space="preserve"> </w:t>
            </w:r>
            <w:r w:rsidRPr="00756188">
              <w:rPr>
                <w:rFonts w:asciiTheme="minorHAnsi" w:eastAsiaTheme="minorEastAsia" w:hAnsiTheme="minorHAnsi"/>
              </w:rPr>
              <w:t>activities.”</w:t>
            </w:r>
          </w:p>
        </w:tc>
      </w:tr>
    </w:tbl>
    <w:p w14:paraId="7EA66F7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5210341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to promote widespread affordable access to space-based connectivity solutions, particularly in developing and least developed countries and low-income and remote communities, by encouraging competition, innovation, private investment, and public-private partnerships, among other mechanisms? </w:t>
      </w:r>
    </w:p>
    <w:p w14:paraId="52AAAE1E"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the environmental impact of satellite launches and operations be minimized, and what regulations are needed to ensure environmentally sustainable practices in the space industry? Recognizing the respective mandates of different UN entities related to the outer space, such as ITU, UNOOSA and COPUOS, what policies can be implemented to address the growing issue of space debris, and how can international cooperation be enhanced to ensure sustainable space operations? What innovative approaches are being considered to mitigate these challenges related to environmental risks and space debris?</w:t>
      </w:r>
    </w:p>
    <w:p w14:paraId="78E6A058" w14:textId="77777777" w:rsidR="00756188" w:rsidRPr="00756188" w:rsidRDefault="00756188" w:rsidP="00EB053E">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5B092CD0" w14:textId="77777777" w:rsidTr="00DD18FB">
        <w:tc>
          <w:tcPr>
            <w:tcW w:w="9629" w:type="dxa"/>
            <w:shd w:val="clear" w:color="auto" w:fill="B8CCE4" w:themeFill="accent1" w:themeFillTint="66"/>
          </w:tcPr>
          <w:p w14:paraId="42A23BF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Cs/>
              </w:rPr>
            </w:pPr>
            <w:r w:rsidRPr="00756188">
              <w:rPr>
                <w:rFonts w:asciiTheme="minorHAnsi" w:eastAsiaTheme="minorEastAsia" w:hAnsiTheme="minorHAnsi"/>
                <w:b/>
                <w:bCs/>
              </w:rPr>
              <w:t>Contributor</w:t>
            </w:r>
            <w:r w:rsidRPr="00756188">
              <w:rPr>
                <w:rFonts w:asciiTheme="minorHAnsi" w:eastAsiaTheme="minorEastAsia" w:hAnsiTheme="minorHAnsi"/>
              </w:rPr>
              <w:t>: United Kingdom of Great Britain and Northern Ireland</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Modification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7.7.8</w:t>
            </w:r>
            <w:r w:rsidRPr="00756188">
              <w:rPr>
                <w:rFonts w:asciiTheme="minorHAnsi" w:eastAsiaTheme="minorEastAsia" w:hAnsiTheme="minorHAnsi"/>
                <w:b/>
                <w:bCs/>
              </w:rPr>
              <w:br/>
              <w:t xml:space="preserve">Proposal: </w:t>
            </w:r>
            <w:r w:rsidRPr="00756188">
              <w:rPr>
                <w:rFonts w:asciiTheme="minorHAnsi" w:eastAsiaTheme="minorEastAsia" w:hAnsiTheme="minorHAnsi"/>
                <w:bCs/>
              </w:rPr>
              <w:t>Proposal to replace “satellite launches and operations” with “space connectivity operations”</w:t>
            </w:r>
          </w:p>
          <w:p w14:paraId="64E25CA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Cs/>
              </w:rPr>
            </w:pPr>
            <w:r w:rsidRPr="00756188">
              <w:rPr>
                <w:rFonts w:asciiTheme="minorHAnsi" w:eastAsiaTheme="minorEastAsia" w:hAnsiTheme="minorHAnsi"/>
                <w:bCs/>
              </w:rPr>
              <w:t xml:space="preserve">“How can the environmental impact of </w:t>
            </w:r>
            <w:r w:rsidRPr="00756188">
              <w:rPr>
                <w:rFonts w:asciiTheme="minorHAnsi" w:eastAsiaTheme="minorEastAsia" w:hAnsiTheme="minorHAnsi"/>
                <w:b/>
                <w:bCs/>
              </w:rPr>
              <w:t>space connectivity operations</w:t>
            </w:r>
            <w:r w:rsidRPr="00756188">
              <w:rPr>
                <w:rFonts w:asciiTheme="minorHAnsi" w:eastAsiaTheme="minorEastAsia" w:hAnsiTheme="minorHAnsi"/>
                <w:bCs/>
              </w:rPr>
              <w:t xml:space="preserve"> </w:t>
            </w:r>
            <w:r w:rsidRPr="00756188">
              <w:rPr>
                <w:rFonts w:asciiTheme="minorHAnsi" w:eastAsiaTheme="minorEastAsia" w:hAnsiTheme="minorHAnsi"/>
                <w:bCs/>
                <w:strike/>
              </w:rPr>
              <w:t>satellite launches and operations</w:t>
            </w:r>
            <w:r w:rsidRPr="00756188">
              <w:rPr>
                <w:rFonts w:asciiTheme="minorHAnsi" w:eastAsiaTheme="minorEastAsia" w:hAnsiTheme="minorHAnsi"/>
                <w:bCs/>
              </w:rPr>
              <w:t xml:space="preserve"> be minimized...”</w:t>
            </w:r>
          </w:p>
        </w:tc>
      </w:tr>
    </w:tbl>
    <w:p w14:paraId="0A08FF9B" w14:textId="77777777" w:rsidR="00756188" w:rsidRPr="00756188" w:rsidRDefault="00756188" w:rsidP="00EB053E">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2"/>
          <w:lang w:eastAsia="zh-CN"/>
        </w:rPr>
      </w:pPr>
    </w:p>
    <w:p w14:paraId="1642A132"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policies can support ongoing innovation and research in space connectivity technologies, and how can these policies ensure that advancements benefit all sectors of society?</w:t>
      </w:r>
    </w:p>
    <w:p w14:paraId="152EC45F"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policy and regulatory measures countries can take to ensure data sovereignty, security, and privacy protection regarding space-based services for communication? How can these measures be standardized internationally?</w:t>
      </w:r>
    </w:p>
    <w:p w14:paraId="3E3035BF" w14:textId="77777777" w:rsidR="00756188" w:rsidRPr="00756188" w:rsidRDefault="00756188" w:rsidP="00EB053E">
      <w:pPr>
        <w:tabs>
          <w:tab w:val="clear" w:pos="567"/>
          <w:tab w:val="clear" w:pos="1134"/>
          <w:tab w:val="clear" w:pos="1701"/>
          <w:tab w:val="clear" w:pos="2268"/>
          <w:tab w:val="clear" w:pos="2835"/>
        </w:tabs>
        <w:overflowPunct/>
        <w:autoSpaceDE/>
        <w:autoSpaceDN/>
        <w:adjustRightInd/>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1D23DDB4" w14:textId="77777777" w:rsidTr="00DD18FB">
        <w:tc>
          <w:tcPr>
            <w:tcW w:w="9629" w:type="dxa"/>
            <w:shd w:val="clear" w:color="auto" w:fill="B8CCE4" w:themeFill="accent1" w:themeFillTint="66"/>
          </w:tcPr>
          <w:p w14:paraId="5A8AB3EE"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Cs/>
              </w:rPr>
            </w:pPr>
            <w:r w:rsidRPr="00756188">
              <w:rPr>
                <w:rFonts w:asciiTheme="minorHAnsi" w:eastAsiaTheme="minorEastAsia" w:hAnsiTheme="minorHAnsi"/>
                <w:b/>
                <w:bCs/>
              </w:rPr>
              <w:t>Contributor</w:t>
            </w:r>
            <w:r w:rsidRPr="00756188">
              <w:rPr>
                <w:rFonts w:asciiTheme="minorHAnsi" w:eastAsiaTheme="minorEastAsia" w:hAnsiTheme="minorHAnsi"/>
              </w:rPr>
              <w:t>: United Kingdom of Great Britain and Northern Ireland</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Modification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7.7.10</w:t>
            </w:r>
            <w:r w:rsidRPr="00756188">
              <w:rPr>
                <w:rFonts w:asciiTheme="minorHAnsi" w:eastAsiaTheme="minorEastAsia" w:hAnsiTheme="minorHAnsi"/>
                <w:b/>
                <w:bCs/>
              </w:rPr>
              <w:br/>
              <w:t xml:space="preserve">Proposal: </w:t>
            </w:r>
            <w:r w:rsidRPr="00756188">
              <w:rPr>
                <w:rFonts w:asciiTheme="minorHAnsi" w:eastAsiaTheme="minorEastAsia" w:hAnsiTheme="minorHAnsi"/>
                <w:bCs/>
              </w:rPr>
              <w:t xml:space="preserve">Proposal to remove “data sovereignty” and replace “privacy protection” with “resilience” in the first sentence. </w:t>
            </w:r>
          </w:p>
          <w:p w14:paraId="16259F9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Cs/>
              </w:rPr>
            </w:pPr>
            <w:r w:rsidRPr="00756188">
              <w:rPr>
                <w:rFonts w:asciiTheme="minorHAnsi" w:eastAsiaTheme="minorEastAsia" w:hAnsiTheme="minorHAnsi"/>
                <w:b/>
                <w:bCs/>
              </w:rPr>
              <w:t>“</w:t>
            </w:r>
            <w:r w:rsidRPr="00756188">
              <w:rPr>
                <w:rFonts w:asciiTheme="minorHAnsi" w:eastAsiaTheme="minorEastAsia" w:hAnsiTheme="minorHAnsi"/>
                <w:bCs/>
              </w:rPr>
              <w:t xml:space="preserve">What policy and regulatory measures countries can take to ensure </w:t>
            </w:r>
            <w:r w:rsidRPr="00756188">
              <w:rPr>
                <w:rFonts w:asciiTheme="minorHAnsi" w:eastAsiaTheme="minorEastAsia" w:hAnsiTheme="minorHAnsi"/>
                <w:bCs/>
                <w:strike/>
              </w:rPr>
              <w:t>data sovereignty</w:t>
            </w:r>
            <w:r w:rsidRPr="00756188">
              <w:rPr>
                <w:rFonts w:asciiTheme="minorHAnsi" w:eastAsiaTheme="minorEastAsia" w:hAnsiTheme="minorHAnsi"/>
                <w:bCs/>
              </w:rPr>
              <w:t xml:space="preserve">, security, and </w:t>
            </w:r>
            <w:r w:rsidRPr="00756188">
              <w:rPr>
                <w:rFonts w:asciiTheme="minorHAnsi" w:eastAsiaTheme="minorEastAsia" w:hAnsiTheme="minorHAnsi"/>
                <w:b/>
                <w:bCs/>
              </w:rPr>
              <w:t xml:space="preserve">resilience </w:t>
            </w:r>
            <w:r w:rsidRPr="00756188">
              <w:rPr>
                <w:rFonts w:asciiTheme="minorHAnsi" w:eastAsiaTheme="minorEastAsia" w:hAnsiTheme="minorHAnsi"/>
                <w:bCs/>
                <w:strike/>
              </w:rPr>
              <w:t>privacy protection</w:t>
            </w:r>
            <w:r w:rsidRPr="00756188">
              <w:rPr>
                <w:rFonts w:asciiTheme="minorHAnsi" w:eastAsiaTheme="minorEastAsia" w:hAnsiTheme="minorHAnsi"/>
                <w:bCs/>
              </w:rPr>
              <w:t xml:space="preserve"> regarding space-based services for communication?</w:t>
            </w:r>
            <w:r w:rsidRPr="00756188">
              <w:rPr>
                <w:rFonts w:asciiTheme="minorHAnsi" w:eastAsiaTheme="minorEastAsia" w:hAnsiTheme="minorHAnsi"/>
                <w:b/>
                <w:bCs/>
              </w:rPr>
              <w:t>”</w:t>
            </w:r>
          </w:p>
          <w:p w14:paraId="3C68D799"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Cs/>
              </w:rPr>
            </w:pPr>
          </w:p>
        </w:tc>
      </w:tr>
    </w:tbl>
    <w:p w14:paraId="03FD030F"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tbl>
      <w:tblPr>
        <w:tblStyle w:val="TableGrid1"/>
        <w:tblW w:w="0" w:type="auto"/>
        <w:tblLook w:val="04A0" w:firstRow="1" w:lastRow="0" w:firstColumn="1" w:lastColumn="0" w:noHBand="0" w:noVBand="1"/>
      </w:tblPr>
      <w:tblGrid>
        <w:gridCol w:w="9061"/>
      </w:tblGrid>
      <w:tr w:rsidR="00756188" w:rsidRPr="00756188" w14:paraId="144C9B11" w14:textId="77777777" w:rsidTr="00DD18FB">
        <w:tc>
          <w:tcPr>
            <w:tcW w:w="9629" w:type="dxa"/>
            <w:shd w:val="clear" w:color="auto" w:fill="B8CCE4" w:themeFill="accent1" w:themeFillTint="66"/>
          </w:tcPr>
          <w:p w14:paraId="1C6B0090"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Contributor</w:t>
            </w:r>
            <w:r w:rsidRPr="00756188">
              <w:rPr>
                <w:rFonts w:asciiTheme="minorHAnsi" w:eastAsiaTheme="minorEastAsia" w:hAnsiTheme="minorHAnsi"/>
              </w:rPr>
              <w:t xml:space="preserve">: India </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Addition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After 7.7.10</w:t>
            </w:r>
            <w:r w:rsidRPr="00756188">
              <w:rPr>
                <w:rFonts w:asciiTheme="minorHAnsi" w:eastAsiaTheme="minorEastAsia" w:hAnsiTheme="minorHAnsi"/>
                <w:b/>
                <w:bCs/>
              </w:rPr>
              <w:br/>
              <w:t xml:space="preserve">Proposal: </w:t>
            </w:r>
            <w:r w:rsidRPr="00756188">
              <w:rPr>
                <w:rFonts w:asciiTheme="minorHAnsi" w:eastAsiaTheme="minorEastAsia" w:hAnsiTheme="minorHAnsi"/>
              </w:rPr>
              <w:t>to add three questions after question 7.7.10</w:t>
            </w:r>
          </w:p>
          <w:p w14:paraId="50014AEF"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7.7.11.</w:t>
            </w:r>
            <w:r w:rsidRPr="00756188">
              <w:rPr>
                <w:rFonts w:asciiTheme="minorHAnsi" w:eastAsiaTheme="minorEastAsia" w:hAnsiTheme="minorHAnsi"/>
              </w:rPr>
              <w:tab/>
              <w:t>How can space-based connectivity support disaster preparedness, early warning systems, and climate monitoring, particularly in vulnerable regions? What policy frameworks can ensure timely data sharing and integration with terrestrial emergency response systems?</w:t>
            </w:r>
          </w:p>
          <w:p w14:paraId="5CA49C9F"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7.7.12.</w:t>
            </w:r>
            <w:r w:rsidRPr="00756188">
              <w:rPr>
                <w:rFonts w:asciiTheme="minorHAnsi" w:eastAsiaTheme="minorEastAsia" w:hAnsiTheme="minorHAnsi"/>
              </w:rPr>
              <w:tab/>
              <w:t>What ethical and governance principles should guide the deployment of space-based connectivity, especially in contexts involving surveillance, dual-use technologies, and geopolitical tensions? How can transparency and accountability be ensured across stakeholders?</w:t>
            </w:r>
          </w:p>
          <w:p w14:paraId="32196BE2"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rPr>
              <w:t>NEW 7.7.13.</w:t>
            </w:r>
            <w:r w:rsidRPr="00756188">
              <w:rPr>
                <w:rFonts w:asciiTheme="minorHAnsi" w:eastAsiaTheme="minorEastAsia" w:hAnsiTheme="minorHAnsi"/>
              </w:rPr>
              <w:tab/>
              <w:t>How can capacity-building initiatives, technology transfer, and inclusive participation in space governance empower developing countries to shape and benefit from space connectivity ecosystems?</w:t>
            </w:r>
          </w:p>
        </w:tc>
      </w:tr>
    </w:tbl>
    <w:p w14:paraId="59E5861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5556BD1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p>
    <w:p w14:paraId="7BA0B175" w14:textId="77777777" w:rsidR="00756188" w:rsidRPr="00756188" w:rsidRDefault="00756188" w:rsidP="00756188">
      <w:pPr>
        <w:keepNext/>
        <w:keepLines/>
        <w:numPr>
          <w:ilvl w:val="0"/>
          <w:numId w:val="17"/>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Strengthening ICT-centric Innovation Ecosystems and Entrepreneurship</w:t>
      </w:r>
    </w:p>
    <w:p w14:paraId="5EC4C5BF"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4384" behindDoc="0" locked="0" layoutInCell="1" allowOverlap="1" wp14:anchorId="4050E763" wp14:editId="7AC99255">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rgbClr val="9BBB59">
                              <a:lumMod val="100000"/>
                              <a:lumOff val="0"/>
                            </a:srgbClr>
                          </a:solidFill>
                          <a:miter lim="800000"/>
                          <a:headEnd/>
                          <a:tailEnd/>
                        </a:ln>
                      </wps:spPr>
                      <wps:txbx>
                        <w:txbxContent>
                          <w:p w14:paraId="5F3F04F9" w14:textId="77777777" w:rsidR="00756188" w:rsidRPr="00A859A1" w:rsidRDefault="00756188" w:rsidP="00756188">
                            <w:pPr>
                              <w:rPr>
                                <w:color w:val="9BBB59" w:themeColor="accent3"/>
                                <w:sz w:val="22"/>
                              </w:rPr>
                            </w:pPr>
                            <w:r w:rsidRPr="00A859A1">
                              <w:rPr>
                                <w:color w:val="9BBB59" w:themeColor="accent3"/>
                                <w:sz w:val="22"/>
                              </w:rPr>
                              <w:t>Case Study: Digital Innovation Profiles and ITU Acceleration Centres</w:t>
                            </w:r>
                          </w:p>
                          <w:p w14:paraId="0FAEA5DE" w14:textId="77777777" w:rsidR="00756188" w:rsidRPr="00A859A1" w:rsidRDefault="00756188" w:rsidP="00756188">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3A1DEE38" w14:textId="77777777" w:rsidR="00756188" w:rsidRPr="00A859A1" w:rsidRDefault="00756188" w:rsidP="00756188">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0E763" id="_x0000_s1037" type="#_x0000_t202" style="position:absolute;left:0;text-align:left;margin-left:272.85pt;margin-top:17.45pt;width:211.9pt;height:2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" strokecolor="#9bbb59" strokeweight="1pt">
                <v:textbox>
                  <w:txbxContent>
                    <w:p w14:paraId="5F3F04F9" w14:textId="77777777" w:rsidR="00756188" w:rsidRPr="00A859A1" w:rsidRDefault="00756188" w:rsidP="00756188">
                      <w:pPr>
                        <w:rPr>
                          <w:color w:val="9BBB59" w:themeColor="accent3"/>
                          <w:sz w:val="22"/>
                        </w:rPr>
                      </w:pPr>
                      <w:r w:rsidRPr="00A859A1">
                        <w:rPr>
                          <w:color w:val="9BBB59" w:themeColor="accent3"/>
                          <w:sz w:val="22"/>
                        </w:rPr>
                        <w:t>Case Study: Digital Innovation Profiles and ITU Acceleration Centres</w:t>
                      </w:r>
                    </w:p>
                    <w:p w14:paraId="0FAEA5DE" w14:textId="77777777" w:rsidR="00756188" w:rsidRPr="00A859A1" w:rsidRDefault="00756188" w:rsidP="00756188">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3A1DEE38" w14:textId="77777777" w:rsidR="00756188" w:rsidRPr="00A859A1" w:rsidRDefault="00756188" w:rsidP="00756188">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v:textbox>
                <w10:wrap type="square"/>
              </v:shape>
            </w:pict>
          </mc:Fallback>
        </mc:AlternateContent>
      </w:r>
      <w:r w:rsidRPr="00756188">
        <w:rPr>
          <w:rFonts w:asciiTheme="minorHAnsi" w:eastAsiaTheme="minorEastAsia" w:hAnsiTheme="minorHAnsi" w:cstheme="minorBidi"/>
          <w:szCs w:val="28"/>
          <w:lang w:eastAsia="zh-CN"/>
        </w:rPr>
        <w:t>Entrepreneurial ecosystems are essential to drive sustainable development while increasing inclusion, providing economies of scale, and bridging digital divides.</w:t>
      </w:r>
    </w:p>
    <w:p w14:paraId="3DE30E1F"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However, there is a growing digital innovation divide among countries that inhibits access to equitable benefits for all</w:t>
      </w:r>
      <w:r w:rsidRPr="00756188" w:rsidDel="004A5658">
        <w:rPr>
          <w:rFonts w:asciiTheme="minorHAnsi" w:eastAsiaTheme="minorEastAsia" w:hAnsiTheme="minorHAnsi" w:cstheme="minorBidi"/>
          <w:szCs w:val="28"/>
          <w:lang w:eastAsia="zh-CN"/>
        </w:rPr>
        <w:t>.</w:t>
      </w:r>
      <w:r w:rsidRPr="00756188">
        <w:rPr>
          <w:rFonts w:asciiTheme="minorHAnsi" w:eastAsiaTheme="minorEastAsia" w:hAnsiTheme="minorHAnsi" w:cstheme="minorBidi"/>
          <w:szCs w:val="28"/>
          <w:lang w:eastAsia="zh-CN"/>
        </w:rPr>
        <w:t xml:space="preserve"> </w:t>
      </w:r>
    </w:p>
    <w:p w14:paraId="4AA19E04"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Supportive policies and regulations are key to enable innovation and support Micro, Small and Medium-sized Enterprises (MSMEs), as well as enhanced collaboration efforts among key stakeholders, including policymakers, industry and academia. </w:t>
      </w:r>
    </w:p>
    <w:p w14:paraId="3537E8BA"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participation of MSMEs in ICT innovation within developing countries faces multiple barriers. These include evolving intellectual property protection for integrated system designs, limited commercialization opportunities due to business environments still adapting to new technologies, and still-developing governmental support in areas such as funding and incubators. Additionally, while the digital infrastructure is improving—evidenced by high internet penetration rates—many small businesses still lack digital integration, operating without web presence or digital payment solutions in predominantly paper-based environments.</w:t>
      </w:r>
    </w:p>
    <w:tbl>
      <w:tblPr>
        <w:tblStyle w:val="TableGrid1"/>
        <w:tblW w:w="0" w:type="auto"/>
        <w:tblLook w:val="04A0" w:firstRow="1" w:lastRow="0" w:firstColumn="1" w:lastColumn="0" w:noHBand="0" w:noVBand="1"/>
      </w:tblPr>
      <w:tblGrid>
        <w:gridCol w:w="9061"/>
      </w:tblGrid>
      <w:tr w:rsidR="00756188" w:rsidRPr="00756188" w14:paraId="46409BD6" w14:textId="77777777" w:rsidTr="00DD18FB">
        <w:tc>
          <w:tcPr>
            <w:tcW w:w="9629" w:type="dxa"/>
            <w:shd w:val="clear" w:color="auto" w:fill="B8CCE4" w:themeFill="accent1" w:themeFillTint="66"/>
          </w:tcPr>
          <w:p w14:paraId="3CE8094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rPr>
            </w:pPr>
            <w:r w:rsidRPr="00756188">
              <w:rPr>
                <w:rFonts w:asciiTheme="minorHAnsi" w:eastAsiaTheme="minorEastAsia" w:hAnsiTheme="minorHAnsi"/>
                <w:b/>
                <w:bCs/>
              </w:rPr>
              <w:t>Contributor</w:t>
            </w:r>
            <w:r w:rsidRPr="00756188">
              <w:rPr>
                <w:rFonts w:asciiTheme="minorHAnsi" w:eastAsiaTheme="minorEastAsia" w:hAnsiTheme="minorHAnsi"/>
              </w:rPr>
              <w:t>: United Kingdom of Great Britain and Northern Ireland</w:t>
            </w:r>
            <w:r w:rsidRPr="00756188">
              <w:rPr>
                <w:rFonts w:asciiTheme="minorHAnsi" w:eastAsiaTheme="minorEastAsia" w:hAnsiTheme="minorHAnsi"/>
              </w:rPr>
              <w:br/>
            </w:r>
            <w:r w:rsidRPr="00756188">
              <w:rPr>
                <w:rFonts w:asciiTheme="minorHAnsi" w:eastAsiaTheme="minorEastAsia" w:hAnsiTheme="minorHAnsi"/>
                <w:b/>
                <w:bCs/>
              </w:rPr>
              <w:t>Type</w:t>
            </w:r>
            <w:r w:rsidRPr="00756188">
              <w:rPr>
                <w:rFonts w:asciiTheme="minorHAnsi" w:eastAsiaTheme="minorEastAsia" w:hAnsiTheme="minorHAnsi"/>
              </w:rPr>
              <w:t xml:space="preserve">: Modification </w:t>
            </w:r>
            <w:r w:rsidRPr="00756188">
              <w:rPr>
                <w:rFonts w:asciiTheme="minorHAnsi" w:eastAsiaTheme="minorEastAsia" w:hAnsiTheme="minorHAnsi"/>
              </w:rPr>
              <w:br/>
            </w:r>
            <w:r w:rsidRPr="00756188">
              <w:rPr>
                <w:rFonts w:asciiTheme="minorHAnsi" w:eastAsiaTheme="minorEastAsia" w:hAnsiTheme="minorHAnsi"/>
                <w:b/>
                <w:bCs/>
              </w:rPr>
              <w:t>Location</w:t>
            </w:r>
            <w:r w:rsidRPr="00756188">
              <w:rPr>
                <w:rFonts w:asciiTheme="minorHAnsi" w:eastAsiaTheme="minorEastAsia" w:hAnsiTheme="minorHAnsi"/>
              </w:rPr>
              <w:t>: 8.4</w:t>
            </w:r>
            <w:r w:rsidRPr="00756188">
              <w:rPr>
                <w:rFonts w:asciiTheme="minorHAnsi" w:eastAsiaTheme="minorEastAsia" w:hAnsiTheme="minorHAnsi"/>
                <w:b/>
                <w:bCs/>
              </w:rPr>
              <w:br/>
              <w:t xml:space="preserve">Proposal: </w:t>
            </w:r>
            <w:r w:rsidRPr="00756188">
              <w:rPr>
                <w:rFonts w:asciiTheme="minorHAnsi" w:eastAsiaTheme="minorEastAsia" w:hAnsiTheme="minorHAnsi"/>
              </w:rPr>
              <w:t>Proposal to remove “evolving intellectual property protection for integrated system designs” from sentence 2.</w:t>
            </w:r>
          </w:p>
          <w:p w14:paraId="2CB8BD3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b/>
                <w:bCs/>
              </w:rPr>
            </w:pPr>
            <w:r w:rsidRPr="00756188">
              <w:rPr>
                <w:rFonts w:asciiTheme="minorHAnsi" w:eastAsiaTheme="minorEastAsia" w:hAnsiTheme="minorHAnsi"/>
              </w:rPr>
              <w:t xml:space="preserve">“These include </w:t>
            </w:r>
            <w:r w:rsidRPr="00756188">
              <w:rPr>
                <w:rFonts w:asciiTheme="minorHAnsi" w:eastAsiaTheme="minorEastAsia" w:hAnsiTheme="minorHAnsi"/>
                <w:strike/>
              </w:rPr>
              <w:t>evolving intellectual property protection for integrated system designs</w:t>
            </w:r>
            <w:r w:rsidRPr="00756188">
              <w:rPr>
                <w:rFonts w:asciiTheme="minorHAnsi" w:eastAsiaTheme="minorEastAsia" w:hAnsiTheme="minorHAnsi"/>
              </w:rPr>
              <w:t>, limited commercialization opportunities due to business environments still adapting to new technologies..”</w:t>
            </w:r>
          </w:p>
        </w:tc>
      </w:tr>
    </w:tbl>
    <w:p w14:paraId="37A72FF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p>
    <w:p w14:paraId="23E70A2B"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Given the importance of the role of innovation as a driver of sustainable development and the growing innovation divide between developing and developed countries, several important considerations require attention:</w:t>
      </w:r>
    </w:p>
    <w:p w14:paraId="717DD06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Trends research readiness: Adapting to the fast-changing digital environment requires institutions and other ecosystem stakeholders to stay ahead of the curve and effectively interpret the evolution of technology, policy and innovation dynamics. This requires new thinking and approaches, such as equipping countries with foresight capabilities and strategic research. </w:t>
      </w:r>
    </w:p>
    <w:p w14:paraId="02B04BB9"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Open innovation: Harnessing technological know-how for competitive digital economy value chain, embracing open innovation and multistakeholder mechanisms, appropriate access to emerging technology for all. Promoting collaboration and synergies that scale digital innovations and achieve cross-cutting sectoral value for a competitive digital economy.</w:t>
      </w:r>
    </w:p>
    <w:p w14:paraId="40559F18"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Entrepreneurship and MSMEs growth: Accelerating the uptake of digital innovation-driven entrepreneurship and opportunities for talent to achieve socio economic inclusion in their communities need renewed focus.</w:t>
      </w:r>
    </w:p>
    <w:p w14:paraId="2FC53FFA"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94" w:hanging="794"/>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21FFD120" wp14:editId="6E06710B">
                <wp:extent cx="5580000" cy="1404620"/>
                <wp:effectExtent l="0" t="0" r="20955" b="15875"/>
                <wp:docPr id="179096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9BBB59">
                              <a:lumMod val="100000"/>
                              <a:lumOff val="0"/>
                            </a:srgbClr>
                          </a:solidFill>
                          <a:miter lim="800000"/>
                          <a:headEnd/>
                          <a:tailEnd/>
                        </a:ln>
                      </wps:spPr>
                      <wps:txbx>
                        <w:txbxContent>
                          <w:p w14:paraId="66015790" w14:textId="77777777" w:rsidR="00756188" w:rsidRPr="00A859A1" w:rsidRDefault="00756188" w:rsidP="00756188">
                            <w:pPr>
                              <w:rPr>
                                <w:color w:val="9BBB59" w:themeColor="accent3"/>
                                <w:sz w:val="22"/>
                              </w:rPr>
                            </w:pPr>
                            <w:r w:rsidRPr="00A859A1">
                              <w:rPr>
                                <w:color w:val="9BBB59" w:themeColor="accent3"/>
                                <w:sz w:val="22"/>
                              </w:rPr>
                              <w:t>Case Study: ITU Academy Innovation Ecosystem Curriculum</w:t>
                            </w:r>
                          </w:p>
                          <w:p w14:paraId="5C891703" w14:textId="77777777" w:rsidR="00756188" w:rsidRPr="00A859A1" w:rsidRDefault="00756188" w:rsidP="00756188">
                            <w:pPr>
                              <w:jc w:val="both"/>
                              <w:rPr>
                                <w:sz w:val="22"/>
                              </w:rPr>
                            </w:pPr>
                            <w:r w:rsidRPr="00A859A1">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2" w:history="1">
                              <w:r w:rsidRPr="00A859A1">
                                <w:rPr>
                                  <w:rStyle w:val="Hyperlink"/>
                                  <w:sz w:val="22"/>
                                </w:rPr>
                                <w:t>the ITU Academy</w:t>
                              </w:r>
                            </w:hyperlink>
                            <w:r w:rsidRPr="00A859A1">
                              <w:rPr>
                                <w:sz w:val="22"/>
                              </w:rPr>
                              <w:t xml:space="preserve"> platform.</w:t>
                            </w:r>
                          </w:p>
                        </w:txbxContent>
                      </wps:txbx>
                      <wps:bodyPr rot="0" vert="horz" wrap="square" lIns="91440" tIns="45720" rIns="91440" bIns="45720" anchor="t" anchorCtr="0" upright="1">
                        <a:spAutoFit/>
                      </wps:bodyPr>
                    </wps:wsp>
                  </a:graphicData>
                </a:graphic>
              </wp:inline>
            </w:drawing>
          </mc:Choice>
          <mc:Fallback>
            <w:pict>
              <v:shape w14:anchorId="21FFD120" id="_x0000_s1038"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" strokecolor="#9bbb59" strokeweight="1pt">
                <v:textbox style="mso-fit-shape-to-text:t">
                  <w:txbxContent>
                    <w:p w14:paraId="66015790" w14:textId="77777777" w:rsidR="00756188" w:rsidRPr="00A859A1" w:rsidRDefault="00756188" w:rsidP="00756188">
                      <w:pPr>
                        <w:rPr>
                          <w:color w:val="9BBB59" w:themeColor="accent3"/>
                          <w:sz w:val="22"/>
                        </w:rPr>
                      </w:pPr>
                      <w:r w:rsidRPr="00A859A1">
                        <w:rPr>
                          <w:color w:val="9BBB59" w:themeColor="accent3"/>
                          <w:sz w:val="22"/>
                        </w:rPr>
                        <w:t>Case Study: ITU Academy Innovation Ecosystem Curriculum</w:t>
                      </w:r>
                    </w:p>
                    <w:p w14:paraId="5C891703" w14:textId="77777777" w:rsidR="00756188" w:rsidRPr="00A859A1" w:rsidRDefault="00756188" w:rsidP="00756188">
                      <w:pPr>
                        <w:jc w:val="both"/>
                        <w:rPr>
                          <w:sz w:val="22"/>
                        </w:rPr>
                      </w:pPr>
                      <w:r w:rsidRPr="00A859A1">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3" w:history="1">
                        <w:r w:rsidRPr="00A859A1">
                          <w:rPr>
                            <w:rStyle w:val="Hyperlink"/>
                            <w:sz w:val="22"/>
                          </w:rPr>
                          <w:t>the ITU Academy</w:t>
                        </w:r>
                      </w:hyperlink>
                      <w:r w:rsidRPr="00A859A1">
                        <w:rPr>
                          <w:sz w:val="22"/>
                        </w:rPr>
                        <w:t xml:space="preserve"> platform.</w:t>
                      </w:r>
                    </w:p>
                  </w:txbxContent>
                </v:textbox>
                <w10:anchorlock/>
              </v:shape>
            </w:pict>
          </mc:Fallback>
        </mc:AlternateContent>
      </w:r>
    </w:p>
    <w:p w14:paraId="3D3425A6"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Appropriate Policy: Crafting flexible and forward-thinking policies that encourage innovation, support ecosystem stakeholders, and enhance investment opportunities. International collaboration plays a crucial role in driving knowledge exchange, capacity development, and harmonization of standards</w:t>
      </w:r>
    </w:p>
    <w:p w14:paraId="14952441" w14:textId="77777777" w:rsidR="00756188" w:rsidRPr="00756188" w:rsidRDefault="00756188" w:rsidP="00756188">
      <w:pPr>
        <w:keepNext/>
        <w:keepLines/>
        <w:numPr>
          <w:ilvl w:val="1"/>
          <w:numId w:val="17"/>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To address these challenges in ICT innovation ecosystems, several critical questions require consideration, particularly regarding the role of MSMEs in driving digital transformation:</w:t>
      </w:r>
    </w:p>
    <w:p w14:paraId="389C880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are the barriers for MSMEs to innovate and to contribute to the telecommunication/ICT services and technology innovation ecosystem?</w:t>
      </w:r>
    </w:p>
    <w:p w14:paraId="681AAFFB"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help MSMEs digitally transform their telecommunication/ICT service and technology innovation ecosystems efficiently and sustainable</w:t>
      </w:r>
      <w:r w:rsidRPr="00756188" w:rsidDel="002374AD">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and support them in collaboration with large enterprises?</w:t>
      </w:r>
    </w:p>
    <w:p w14:paraId="62DE28AB"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policy makers help MSMEs innovate, grow and integrate into the telecommunication/ICT services and technology innovation ecosystem more efficiently? </w:t>
      </w:r>
    </w:p>
    <w:p w14:paraId="7FCB04F4"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ITU assist policy makers to work with relevant stakeholders to invest in telecommunication/ICT services and technology research and development for new innovative products and services for MSMEs? </w:t>
      </w:r>
    </w:p>
    <w:p w14:paraId="2A8A06DE"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ITU assist policy makers to bring intellectual property developed by MSMEs to market and to the telecommunication/ICT services and technology innovation ecosystem? </w:t>
      </w:r>
    </w:p>
    <w:p w14:paraId="0C3640CD"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universities, research institutes, innovation hubs and enterprises in the telecommunication/ICT services and technology innovation sector promote, invest, support and develop entrepreneurship and enhance the supply of digital talents for enterprises?</w:t>
      </w:r>
    </w:p>
    <w:p w14:paraId="1860BD42"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promote competition and improve access to open markets to foster entrepreneurship?</w:t>
      </w:r>
    </w:p>
    <w:p w14:paraId="63848268"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the ITU and international cooperation support enhancing telecommunication/ICT services and technology-centric innovation and entrepreneurship by providing platforms for building cooperation networks for knowledge and capability sharing, for evaluation and training, for bringing telecommunication/ICT service and technology innovations into standardization, for regulatory toolkits and sandboxes?</w:t>
      </w:r>
    </w:p>
    <w:p w14:paraId="6D8BCE2F"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reducing regulatory barriers to market entry enable telecommunication/ICT services and technology -centric innovation?</w:t>
      </w:r>
    </w:p>
    <w:p w14:paraId="2771CB53" w14:textId="77777777" w:rsidR="00756188" w:rsidRPr="00756188" w:rsidRDefault="00756188" w:rsidP="00756188">
      <w:pPr>
        <w:keepNext/>
        <w:keepLines/>
        <w:numPr>
          <w:ilvl w:val="2"/>
          <w:numId w:val="17"/>
        </w:num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capacities do public bodies need to support an innovative telecommunication/ICT services and technology sector and to anticipate emerging issues?</w:t>
      </w:r>
    </w:p>
    <w:p w14:paraId="2B20225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szCs w:val="22"/>
          <w:lang w:eastAsia="zh-CN"/>
        </w:rPr>
        <w:br w:type="page"/>
      </w:r>
    </w:p>
    <w:p w14:paraId="0AD2EBF5"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eastAsiaTheme="minorEastAsia" w:hAnsiTheme="minorHAnsi" w:cstheme="minorBidi"/>
          <w:b/>
          <w:sz w:val="28"/>
          <w:szCs w:val="22"/>
          <w:lang w:eastAsia="zh-CN"/>
        </w:rPr>
      </w:pPr>
      <w:r w:rsidRPr="00756188">
        <w:rPr>
          <w:rFonts w:asciiTheme="minorHAnsi" w:eastAsiaTheme="minorEastAsia" w:hAnsiTheme="minorHAnsi" w:cstheme="minorBidi"/>
          <w:b/>
          <w:sz w:val="28"/>
          <w:szCs w:val="22"/>
          <w:lang w:eastAsia="zh-CN"/>
        </w:rPr>
        <w:t xml:space="preserve">Annex: PLACEHOLDER DRAFT OPINIONS FOR THE SEVENTH WORLD TELECOMMUNICATION/INFORMATION AND </w:t>
      </w:r>
      <w:r w:rsidRPr="00756188">
        <w:rPr>
          <w:rFonts w:asciiTheme="minorHAnsi" w:eastAsiaTheme="minorEastAsia" w:hAnsiTheme="minorHAnsi" w:cstheme="minorBidi"/>
          <w:b/>
          <w:sz w:val="28"/>
          <w:szCs w:val="22"/>
          <w:lang w:eastAsia="zh-CN"/>
        </w:rPr>
        <w:br/>
        <w:t>COMMUNICATION TECHNOLOGY POLICY FORUM 2026</w:t>
      </w:r>
    </w:p>
    <w:p w14:paraId="58B2C2E3" w14:textId="77777777" w:rsidR="00756188" w:rsidRPr="00756188" w:rsidRDefault="00756188" w:rsidP="00756188">
      <w:pPr>
        <w:overflowPunct/>
        <w:autoSpaceDE/>
        <w:autoSpaceDN/>
        <w:adjustRightInd/>
        <w:spacing w:before="240"/>
        <w:textAlignment w:val="auto"/>
        <w:rPr>
          <w:rFonts w:asciiTheme="minorHAnsi" w:eastAsiaTheme="minorEastAsia" w:hAnsiTheme="minorHAnsi" w:cstheme="minorBidi"/>
          <w:caps/>
          <w:sz w:val="28"/>
          <w:szCs w:val="22"/>
          <w:u w:val="single"/>
          <w:lang w:eastAsia="zh-CN"/>
        </w:rPr>
      </w:pPr>
      <w:r w:rsidRPr="00756188">
        <w:rPr>
          <w:rFonts w:asciiTheme="minorHAnsi" w:eastAsiaTheme="minorEastAsia" w:hAnsiTheme="minorHAnsi" w:cstheme="minorBidi"/>
          <w:caps/>
          <w:sz w:val="28"/>
          <w:szCs w:val="22"/>
          <w:u w:val="single"/>
          <w:lang w:eastAsia="zh-CN"/>
        </w:rPr>
        <w:t xml:space="preserve">CURRENT STATUS OF POTENTIAL DRAFT OPINIONS </w:t>
      </w:r>
    </w:p>
    <w:p w14:paraId="5CEB50B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Contributions on possible Draft Opinions received from members of the IEG-WTPF-26 for the second meeting on 7-8 October 2024, as well as the third meeting Feb 13-14, 2025, are listed below in the order in which they were received. </w:t>
      </w:r>
    </w:p>
    <w:p w14:paraId="4A852712"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8"/>
          <w:lang w:val="en-US" w:eastAsia="zh-CN"/>
        </w:rPr>
      </w:pPr>
    </w:p>
    <w:p w14:paraId="7138B128" w14:textId="77777777" w:rsidR="00756188" w:rsidRPr="00756188" w:rsidRDefault="00756188" w:rsidP="00756188">
      <w:pPr>
        <w:numPr>
          <w:ilvl w:val="0"/>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8"/>
          <w:lang w:val="en-US" w:eastAsia="zh-CN"/>
        </w:rPr>
      </w:pPr>
      <w:r w:rsidRPr="00756188">
        <w:rPr>
          <w:rFonts w:asciiTheme="minorHAnsi" w:eastAsiaTheme="minorEastAsia" w:hAnsiTheme="minorHAnsi" w:cstheme="minorBidi"/>
          <w:szCs w:val="28"/>
          <w:lang w:val="en-US" w:eastAsia="zh-CN"/>
        </w:rPr>
        <w:t xml:space="preserve">Draft Opinions on Bridging digital divides, particularly on gender and age as well as skills and connectivity </w:t>
      </w:r>
    </w:p>
    <w:p w14:paraId="26F140A5"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8"/>
          <w:lang w:val="en-US" w:eastAsia="zh-CN"/>
        </w:rPr>
      </w:pPr>
      <w:r w:rsidRPr="00756188">
        <w:rPr>
          <w:rFonts w:asciiTheme="minorHAnsi" w:eastAsiaTheme="minorEastAsia" w:hAnsiTheme="minorHAnsi" w:cstheme="minorBidi"/>
          <w:szCs w:val="28"/>
          <w:lang w:val="en-US" w:eastAsia="zh-CN"/>
        </w:rPr>
        <w:t>“</w:t>
      </w:r>
      <w:r w:rsidRPr="00756188">
        <w:rPr>
          <w:rFonts w:asciiTheme="minorHAnsi" w:eastAsiaTheme="minorEastAsia" w:hAnsiTheme="minorHAnsi" w:cstheme="minorBidi"/>
          <w:szCs w:val="28"/>
          <w:lang w:eastAsia="zh-CN"/>
        </w:rPr>
        <w:t xml:space="preserve">Draft Opinion on bridging digital divides, particularly on gender and age as well as skills and connectivity.” </w:t>
      </w:r>
      <w:r w:rsidRPr="00756188">
        <w:rPr>
          <w:rFonts w:asciiTheme="minorHAnsi" w:eastAsiaTheme="minorEastAsia" w:hAnsiTheme="minorHAnsi" w:cstheme="minorBidi"/>
          <w:b/>
          <w:bCs/>
          <w:i/>
          <w:iCs/>
          <w:szCs w:val="28"/>
          <w:lang w:eastAsia="zh-CN"/>
        </w:rPr>
        <w:t>Document ITU-SG WTPF-26-IEG-1/2</w:t>
      </w:r>
      <w:r w:rsidRPr="00756188">
        <w:rPr>
          <w:rFonts w:asciiTheme="minorHAnsi" w:eastAsiaTheme="minorEastAsia" w:hAnsiTheme="minorHAnsi" w:cstheme="minorBidi"/>
          <w:b/>
          <w:bCs/>
          <w:i/>
          <w:iCs/>
          <w:szCs w:val="28"/>
          <w:lang w:val="en-US" w:eastAsia="zh-CN"/>
        </w:rPr>
        <w:t xml:space="preserve"> </w:t>
      </w:r>
      <w:r w:rsidRPr="00756188">
        <w:rPr>
          <w:rFonts w:asciiTheme="minorHAnsi" w:eastAsiaTheme="minorEastAsia" w:hAnsiTheme="minorHAnsi" w:cstheme="minorBidi"/>
          <w:i/>
          <w:iCs/>
          <w:szCs w:val="28"/>
          <w:lang w:val="en-US" w:eastAsia="zh-CN"/>
        </w:rPr>
        <w:t>(</w:t>
      </w:r>
      <w:hyperlink r:id="rId24" w:history="1">
        <w:r w:rsidRPr="00756188">
          <w:rPr>
            <w:rFonts w:asciiTheme="minorHAnsi" w:eastAsiaTheme="minorEastAsia" w:hAnsiTheme="minorHAnsi" w:cstheme="minorBidi"/>
            <w:i/>
            <w:iCs/>
            <w:color w:val="0000FF"/>
            <w:szCs w:val="28"/>
            <w:u w:val="single"/>
            <w:lang w:eastAsia="zh-CN"/>
          </w:rPr>
          <w:t>Contribution submitted by India</w:t>
        </w:r>
      </w:hyperlink>
      <w:r w:rsidRPr="00756188">
        <w:rPr>
          <w:rFonts w:asciiTheme="minorHAnsi" w:eastAsiaTheme="minorEastAsia" w:hAnsiTheme="minorHAnsi" w:cstheme="minorBidi"/>
          <w:i/>
          <w:iCs/>
          <w:szCs w:val="28"/>
          <w:lang w:val="en-US" w:eastAsia="zh-CN"/>
        </w:rPr>
        <w:t>), Submitted 2024-08-27</w:t>
      </w:r>
    </w:p>
    <w:p w14:paraId="1049D030"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8"/>
          <w:lang w:val="en-US" w:eastAsia="zh-CN"/>
        </w:rPr>
      </w:pPr>
      <w:r w:rsidRPr="00756188">
        <w:rPr>
          <w:rFonts w:asciiTheme="minorHAnsi" w:eastAsiaTheme="minorEastAsia" w:hAnsiTheme="minorHAnsi" w:cstheme="minorBidi"/>
          <w:szCs w:val="28"/>
          <w:lang w:val="en-US" w:eastAsia="zh-CN"/>
        </w:rPr>
        <w:t>“</w:t>
      </w:r>
      <w:r w:rsidRPr="00756188">
        <w:rPr>
          <w:rFonts w:asciiTheme="minorHAnsi" w:eastAsiaTheme="minorEastAsia" w:hAnsiTheme="minorHAnsi" w:cstheme="minorBidi"/>
          <w:szCs w:val="28"/>
          <w:lang w:eastAsia="zh-CN"/>
        </w:rPr>
        <w:t xml:space="preserve">Draft opinion on building digital transformation, climate, and environmental sustainability; resilience of telecommunication; and bridging digital divides, particularly on gender and age as well as skills and connectivity.” </w:t>
      </w:r>
      <w:r w:rsidRPr="00756188">
        <w:rPr>
          <w:rFonts w:asciiTheme="minorHAnsi" w:eastAsiaTheme="minorEastAsia" w:hAnsiTheme="minorHAnsi" w:cstheme="minorBidi"/>
          <w:b/>
          <w:bCs/>
          <w:i/>
          <w:iCs/>
          <w:szCs w:val="28"/>
          <w:lang w:eastAsia="zh-CN"/>
        </w:rPr>
        <w:t xml:space="preserve">Document ITU-SG WTPF-26-IEG-1/7 </w:t>
      </w:r>
      <w:hyperlink r:id="rId25" w:history="1">
        <w:r w:rsidRPr="00756188">
          <w:rPr>
            <w:rFonts w:asciiTheme="minorHAnsi" w:eastAsiaTheme="minorEastAsia" w:hAnsiTheme="minorHAnsi" w:cstheme="minorBidi"/>
            <w:color w:val="0000FF"/>
            <w:szCs w:val="28"/>
            <w:u w:val="single"/>
            <w:lang w:eastAsia="zh-CN"/>
          </w:rPr>
          <w:t>(Contribution submitted by Rwanda)</w:t>
        </w:r>
      </w:hyperlink>
      <w:r w:rsidRPr="00756188">
        <w:rPr>
          <w:rFonts w:asciiTheme="minorHAnsi" w:eastAsiaTheme="minorEastAsia" w:hAnsiTheme="minorHAnsi" w:cstheme="minorBidi"/>
          <w:szCs w:val="28"/>
          <w:lang w:eastAsia="zh-CN"/>
        </w:rPr>
        <w:t>, Submitted 2024-09-24</w:t>
      </w:r>
    </w:p>
    <w:p w14:paraId="7AC47788"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8"/>
          <w:lang w:val="en-US" w:eastAsia="zh-CN"/>
        </w:rPr>
      </w:pPr>
      <w:r w:rsidRPr="00756188">
        <w:rPr>
          <w:rFonts w:asciiTheme="minorHAnsi" w:eastAsiaTheme="minorEastAsia" w:hAnsiTheme="minorHAnsi" w:cstheme="minorBidi"/>
          <w:szCs w:val="28"/>
          <w:lang w:val="en-US" w:eastAsia="zh-CN"/>
        </w:rPr>
        <w:t>“</w:t>
      </w:r>
      <w:r w:rsidRPr="00756188">
        <w:rPr>
          <w:rFonts w:asciiTheme="minorHAnsi" w:eastAsiaTheme="minorEastAsia" w:hAnsiTheme="minorHAnsi" w:cstheme="minorBidi"/>
          <w:szCs w:val="28"/>
          <w:lang w:eastAsia="zh-CN"/>
        </w:rPr>
        <w:t xml:space="preserve">Multi-country contribution - Draft Opinion on Bridging Digital Divides, Particularly on Gender and Age as well as Skills and Connectivity.” </w:t>
      </w:r>
      <w:r w:rsidRPr="00756188">
        <w:rPr>
          <w:rFonts w:asciiTheme="minorHAnsi" w:eastAsiaTheme="minorEastAsia" w:hAnsiTheme="minorHAnsi" w:cstheme="minorBidi"/>
          <w:b/>
          <w:bCs/>
          <w:i/>
          <w:iCs/>
          <w:szCs w:val="28"/>
          <w:lang w:eastAsia="zh-CN"/>
        </w:rPr>
        <w:t xml:space="preserve">Document ITU-SG WTPF-26-IEG-2/8 </w:t>
      </w:r>
      <w:r w:rsidRPr="00756188">
        <w:rPr>
          <w:rFonts w:asciiTheme="minorHAnsi" w:eastAsiaTheme="minorEastAsia" w:hAnsiTheme="minorHAnsi" w:cstheme="minorBidi"/>
          <w:i/>
          <w:iCs/>
          <w:szCs w:val="28"/>
          <w:lang w:val="en-US" w:eastAsia="zh-CN"/>
        </w:rPr>
        <w:t>(</w:t>
      </w:r>
      <w:r w:rsidRPr="00756188">
        <w:rPr>
          <w:rFonts w:asciiTheme="minorHAnsi" w:eastAsiaTheme="minorEastAsia" w:hAnsiTheme="minorHAnsi" w:cstheme="minorBidi"/>
          <w:i/>
          <w:iCs/>
          <w:szCs w:val="28"/>
          <w:u w:val="single"/>
          <w:lang w:eastAsia="zh-CN"/>
        </w:rPr>
        <w:t xml:space="preserve">Contribution submitted by United Kingdom &amp; Germany), </w:t>
      </w:r>
      <w:r w:rsidRPr="00756188">
        <w:rPr>
          <w:rFonts w:asciiTheme="minorHAnsi" w:eastAsiaTheme="minorEastAsia" w:hAnsiTheme="minorHAnsi" w:cstheme="minorBidi"/>
          <w:szCs w:val="28"/>
          <w:lang w:eastAsia="zh-CN"/>
        </w:rPr>
        <w:t>Submitted 2025-02-13</w:t>
      </w:r>
    </w:p>
    <w:p w14:paraId="5E2AA227"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8"/>
          <w:lang w:val="en-US" w:eastAsia="zh-CN"/>
        </w:rPr>
      </w:pPr>
      <w:r w:rsidRPr="00756188">
        <w:rPr>
          <w:rFonts w:asciiTheme="minorHAnsi" w:eastAsiaTheme="minorEastAsia" w:hAnsiTheme="minorHAnsi" w:cstheme="minorBidi"/>
          <w:szCs w:val="28"/>
          <w:lang w:val="en-US" w:eastAsia="zh-CN"/>
        </w:rPr>
        <w:t>“</w:t>
      </w:r>
      <w:r w:rsidRPr="00756188">
        <w:rPr>
          <w:rFonts w:asciiTheme="minorHAnsi" w:eastAsiaTheme="minorEastAsia" w:hAnsiTheme="minorHAnsi" w:cstheme="minorBidi"/>
          <w:szCs w:val="28"/>
          <w:lang w:eastAsia="zh-CN"/>
        </w:rPr>
        <w:t xml:space="preserve">Contribution by China - Draft opinions for the WTPF 2026.” </w:t>
      </w:r>
      <w:r w:rsidRPr="00756188">
        <w:rPr>
          <w:rFonts w:asciiTheme="minorHAnsi" w:eastAsiaTheme="minorEastAsia" w:hAnsiTheme="minorHAnsi" w:cstheme="minorBidi"/>
          <w:b/>
          <w:bCs/>
          <w:szCs w:val="28"/>
          <w:lang w:eastAsia="zh-CN"/>
        </w:rPr>
        <w:t xml:space="preserve">Document ITU-SG WTPF-26-IEG-2/6 </w:t>
      </w:r>
      <w:hyperlink r:id="rId26" w:history="1">
        <w:r w:rsidRPr="00756188">
          <w:rPr>
            <w:rFonts w:asciiTheme="minorHAnsi" w:eastAsiaTheme="minorEastAsia" w:hAnsiTheme="minorHAnsi" w:cstheme="minorBidi"/>
            <w:color w:val="0000FF"/>
            <w:szCs w:val="28"/>
            <w:u w:val="single"/>
            <w:lang w:eastAsia="zh-CN"/>
          </w:rPr>
          <w:t>(Contribution submitted by China)</w:t>
        </w:r>
      </w:hyperlink>
      <w:r w:rsidRPr="00756188">
        <w:rPr>
          <w:rFonts w:asciiTheme="minorHAnsi" w:eastAsiaTheme="minorEastAsia" w:hAnsiTheme="minorHAnsi" w:cstheme="minorBidi"/>
          <w:szCs w:val="28"/>
          <w:lang w:eastAsia="zh-CN"/>
        </w:rPr>
        <w:t>, Submitted 2025-01-13</w:t>
      </w:r>
    </w:p>
    <w:p w14:paraId="249B94DA"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8"/>
          <w:lang w:eastAsia="zh-CN"/>
        </w:rPr>
      </w:pPr>
    </w:p>
    <w:bookmarkEnd w:id="11"/>
    <w:p w14:paraId="7FAA2B22" w14:textId="77777777" w:rsidR="00756188" w:rsidRPr="00756188" w:rsidRDefault="00756188" w:rsidP="00756188">
      <w:pPr>
        <w:numPr>
          <w:ilvl w:val="0"/>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val="en-US" w:eastAsia="zh-CN"/>
        </w:rPr>
        <w:t xml:space="preserve">Draft Opinions on </w:t>
      </w:r>
      <w:r w:rsidRPr="00756188">
        <w:rPr>
          <w:rFonts w:asciiTheme="minorHAnsi" w:eastAsiaTheme="minorEastAsia" w:hAnsiTheme="minorHAnsi" w:cstheme="minorBidi"/>
          <w:szCs w:val="22"/>
          <w:lang w:eastAsia="zh-CN"/>
        </w:rPr>
        <w:t xml:space="preserve">Green </w:t>
      </w:r>
      <w:r w:rsidRPr="00756188">
        <w:rPr>
          <w:rFonts w:asciiTheme="minorHAnsi" w:eastAsiaTheme="minorEastAsia" w:hAnsiTheme="minorHAnsi" w:cstheme="minorBidi"/>
          <w:szCs w:val="28"/>
          <w:lang w:val="en-US" w:eastAsia="zh-CN"/>
        </w:rPr>
        <w:t>digital</w:t>
      </w:r>
      <w:r w:rsidRPr="00756188">
        <w:rPr>
          <w:rFonts w:asciiTheme="minorHAnsi" w:eastAsiaTheme="minorEastAsia" w:hAnsiTheme="minorHAnsi" w:cstheme="minorBidi"/>
          <w:szCs w:val="22"/>
          <w:lang w:eastAsia="zh-CN"/>
        </w:rPr>
        <w:t xml:space="preserve"> transformation: climate change and environmental sustainability</w:t>
      </w:r>
    </w:p>
    <w:p w14:paraId="3E45C38B"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Draft opinion on building digital transformation, climate, and environmental sustainability; resilience of telecommunication; and bridging digital divides, particularly on gender and age as well as skills and connectivity. </w:t>
      </w:r>
      <w:r w:rsidRPr="00756188">
        <w:rPr>
          <w:rFonts w:asciiTheme="minorHAnsi" w:eastAsiaTheme="minorEastAsia" w:hAnsiTheme="minorHAnsi" w:cstheme="minorBidi"/>
          <w:b/>
          <w:bCs/>
          <w:i/>
          <w:iCs/>
          <w:szCs w:val="22"/>
          <w:lang w:eastAsia="zh-CN"/>
        </w:rPr>
        <w:t xml:space="preserve">Document ITU-SG WTPF-26-IEG-1/7 </w:t>
      </w:r>
      <w:hyperlink r:id="rId27" w:history="1">
        <w:r w:rsidRPr="00756188">
          <w:rPr>
            <w:rFonts w:asciiTheme="minorHAnsi" w:eastAsiaTheme="minorEastAsia" w:hAnsiTheme="minorHAnsi" w:cstheme="minorBidi"/>
            <w:color w:val="0000FF"/>
            <w:szCs w:val="22"/>
            <w:u w:val="single"/>
            <w:lang w:eastAsia="zh-CN"/>
          </w:rPr>
          <w:t>(Contribution submitted by Rwanda)</w:t>
        </w:r>
      </w:hyperlink>
      <w:r w:rsidRPr="00756188">
        <w:rPr>
          <w:rFonts w:asciiTheme="minorHAnsi" w:eastAsiaTheme="minorEastAsia" w:hAnsiTheme="minorHAnsi" w:cstheme="minorBidi"/>
          <w:szCs w:val="22"/>
          <w:lang w:eastAsia="zh-CN"/>
        </w:rPr>
        <w:t>, Submitted 2024-09-24</w:t>
      </w:r>
    </w:p>
    <w:p w14:paraId="156B7FA5"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Multi-country contribution - Draft Opinion on green digital transformation: Climate change and environmental sustainability. </w:t>
      </w:r>
      <w:r w:rsidRPr="00756188">
        <w:rPr>
          <w:rFonts w:asciiTheme="minorHAnsi" w:eastAsiaTheme="minorEastAsia" w:hAnsiTheme="minorHAnsi" w:cstheme="minorBidi"/>
          <w:b/>
          <w:bCs/>
          <w:szCs w:val="22"/>
          <w:lang w:eastAsia="zh-CN"/>
        </w:rPr>
        <w:t xml:space="preserve">Document ITU-SG WTPF-26-IEG-2/11 </w:t>
      </w:r>
      <w:hyperlink r:id="rId28" w:history="1">
        <w:r w:rsidRPr="00756188">
          <w:rPr>
            <w:rFonts w:asciiTheme="minorHAnsi" w:eastAsiaTheme="minorEastAsia" w:hAnsiTheme="minorHAnsi" w:cstheme="minorBidi"/>
            <w:color w:val="0000FF"/>
            <w:szCs w:val="22"/>
            <w:u w:val="single"/>
            <w:lang w:eastAsia="zh-CN"/>
          </w:rPr>
          <w:t>(Contribution submitted by United Kingdom, France, and Germany)</w:t>
        </w:r>
      </w:hyperlink>
      <w:r w:rsidRPr="00756188">
        <w:rPr>
          <w:rFonts w:asciiTheme="minorHAnsi" w:eastAsiaTheme="minorEastAsia" w:hAnsiTheme="minorHAnsi" w:cstheme="minorBidi"/>
          <w:szCs w:val="22"/>
          <w:lang w:eastAsia="zh-CN"/>
        </w:rPr>
        <w:t>, Submitted 2025-01-13</w:t>
      </w:r>
    </w:p>
    <w:p w14:paraId="580C8FBE" w14:textId="77777777" w:rsidR="00756188" w:rsidRPr="00756188" w:rsidRDefault="00756188" w:rsidP="00756188">
      <w:pPr>
        <w:numPr>
          <w:ilvl w:val="0"/>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val="en-US" w:eastAsia="zh-CN"/>
        </w:rPr>
        <w:t xml:space="preserve">Draft </w:t>
      </w:r>
      <w:r w:rsidRPr="00756188">
        <w:rPr>
          <w:rFonts w:asciiTheme="minorHAnsi" w:eastAsiaTheme="minorEastAsia" w:hAnsiTheme="minorHAnsi" w:cstheme="minorBidi"/>
          <w:szCs w:val="22"/>
          <w:lang w:eastAsia="zh-CN"/>
        </w:rPr>
        <w:t>Opinions</w:t>
      </w:r>
      <w:r w:rsidRPr="00756188">
        <w:rPr>
          <w:rFonts w:asciiTheme="minorHAnsi" w:eastAsiaTheme="minorEastAsia" w:hAnsiTheme="minorHAnsi" w:cstheme="minorBidi"/>
          <w:szCs w:val="22"/>
          <w:lang w:val="en-US" w:eastAsia="zh-CN"/>
        </w:rPr>
        <w:t xml:space="preserve"> on </w:t>
      </w:r>
      <w:r w:rsidRPr="00756188">
        <w:rPr>
          <w:rFonts w:asciiTheme="minorHAnsi" w:eastAsiaTheme="minorEastAsia" w:hAnsiTheme="minorHAnsi" w:cstheme="minorBidi"/>
          <w:szCs w:val="22"/>
          <w:lang w:eastAsia="zh-CN"/>
        </w:rPr>
        <w:t>Resilience of telecommunication/ICTs</w:t>
      </w:r>
    </w:p>
    <w:p w14:paraId="74F34BB4"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“Draft opinion on building digital transformation, climate, and environmental sustainability; resilience of telecommunication; and bridging digital divides, particularly on gender and age as well as skills and connectivity.” </w:t>
      </w:r>
      <w:r w:rsidRPr="00756188">
        <w:rPr>
          <w:rFonts w:asciiTheme="minorHAnsi" w:eastAsiaTheme="minorEastAsia" w:hAnsiTheme="minorHAnsi" w:cstheme="minorBidi"/>
          <w:b/>
          <w:bCs/>
          <w:i/>
          <w:iCs/>
          <w:szCs w:val="22"/>
          <w:lang w:eastAsia="zh-CN"/>
        </w:rPr>
        <w:t xml:space="preserve">Document ITU-SG WTPF-26-IEG-1/7 </w:t>
      </w:r>
      <w:hyperlink r:id="rId29" w:history="1">
        <w:r w:rsidRPr="00756188">
          <w:rPr>
            <w:rFonts w:asciiTheme="minorHAnsi" w:eastAsiaTheme="minorEastAsia" w:hAnsiTheme="minorHAnsi" w:cstheme="minorBidi"/>
            <w:color w:val="0000FF"/>
            <w:szCs w:val="22"/>
            <w:u w:val="single"/>
            <w:lang w:eastAsia="zh-CN"/>
          </w:rPr>
          <w:t>(Contribution submitted by Rwanda)</w:t>
        </w:r>
      </w:hyperlink>
      <w:r w:rsidRPr="00756188">
        <w:rPr>
          <w:rFonts w:asciiTheme="minorHAnsi" w:eastAsiaTheme="minorEastAsia" w:hAnsiTheme="minorHAnsi" w:cstheme="minorBidi"/>
          <w:szCs w:val="22"/>
          <w:lang w:eastAsia="zh-CN"/>
        </w:rPr>
        <w:t>, Submitted 2024-09-24</w:t>
      </w:r>
    </w:p>
    <w:p w14:paraId="34AC36DF"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Draft Opinion on strengthening resilience global telecommunication/ICT systems. </w:t>
      </w:r>
      <w:r w:rsidRPr="00756188">
        <w:rPr>
          <w:rFonts w:asciiTheme="minorHAnsi" w:eastAsiaTheme="minorEastAsia" w:hAnsiTheme="minorHAnsi" w:cstheme="minorBidi"/>
          <w:b/>
          <w:bCs/>
          <w:szCs w:val="22"/>
          <w:lang w:eastAsia="zh-CN"/>
        </w:rPr>
        <w:t>Document ITU-SG WTPF-26-IEG-1/9</w:t>
      </w:r>
      <w:r w:rsidRPr="00756188">
        <w:rPr>
          <w:rFonts w:asciiTheme="minorHAnsi" w:eastAsiaTheme="minorEastAsia" w:hAnsiTheme="minorHAnsi" w:cstheme="minorBidi"/>
          <w:szCs w:val="22"/>
          <w:lang w:eastAsia="zh-CN"/>
        </w:rPr>
        <w:t xml:space="preserve"> </w:t>
      </w:r>
      <w:hyperlink r:id="rId30" w:history="1">
        <w:r w:rsidRPr="00756188">
          <w:rPr>
            <w:rFonts w:asciiTheme="minorHAnsi" w:eastAsiaTheme="minorEastAsia" w:hAnsiTheme="minorHAnsi" w:cstheme="minorBidi"/>
            <w:color w:val="0000FF"/>
            <w:szCs w:val="22"/>
            <w:u w:val="single"/>
            <w:lang w:eastAsia="zh-CN"/>
          </w:rPr>
          <w:t xml:space="preserve">(Contribution submitted by Saudi Arabia , Bahrain , Egypt , South Africa), </w:t>
        </w:r>
      </w:hyperlink>
      <w:r w:rsidRPr="00756188">
        <w:rPr>
          <w:rFonts w:asciiTheme="minorHAnsi" w:eastAsiaTheme="minorEastAsia" w:hAnsiTheme="minorHAnsi" w:cstheme="minorBidi"/>
          <w:szCs w:val="22"/>
          <w:lang w:eastAsia="zh-CN"/>
        </w:rPr>
        <w:t>Submitted 2024-09-25</w:t>
      </w:r>
    </w:p>
    <w:p w14:paraId="4DC1D3DD"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“Multi-country contribution - Draft opinion on the resilience of telecommunications/ICTS.” </w:t>
      </w:r>
      <w:r w:rsidRPr="00756188">
        <w:rPr>
          <w:rFonts w:asciiTheme="minorHAnsi" w:eastAsiaTheme="minorEastAsia" w:hAnsiTheme="minorHAnsi" w:cstheme="minorBidi"/>
          <w:b/>
          <w:bCs/>
          <w:szCs w:val="22"/>
          <w:lang w:eastAsia="zh-CN"/>
        </w:rPr>
        <w:t xml:space="preserve">Document ITU-SG WTPF-26-IEG-2/9 </w:t>
      </w:r>
      <w:hyperlink r:id="rId31" w:history="1">
        <w:r w:rsidRPr="00756188">
          <w:rPr>
            <w:rFonts w:asciiTheme="minorHAnsi" w:eastAsiaTheme="minorEastAsia" w:hAnsiTheme="minorHAnsi" w:cstheme="minorBidi"/>
            <w:color w:val="0000FF"/>
            <w:szCs w:val="22"/>
            <w:u w:val="single"/>
            <w:lang w:eastAsia="zh-CN"/>
          </w:rPr>
          <w:t xml:space="preserve">(Contribution submitted by United Kingdom, Germany), </w:t>
        </w:r>
      </w:hyperlink>
      <w:r w:rsidRPr="00756188">
        <w:rPr>
          <w:rFonts w:asciiTheme="minorHAnsi" w:eastAsiaTheme="minorEastAsia" w:hAnsiTheme="minorHAnsi" w:cstheme="minorBidi"/>
          <w:szCs w:val="22"/>
          <w:lang w:eastAsia="zh-CN"/>
        </w:rPr>
        <w:t>Submitted 2025-01-13</w:t>
      </w:r>
    </w:p>
    <w:p w14:paraId="1FE9B0B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440"/>
        <w:jc w:val="both"/>
        <w:textAlignment w:val="auto"/>
        <w:rPr>
          <w:rFonts w:asciiTheme="minorHAnsi" w:eastAsiaTheme="minorEastAsia" w:hAnsiTheme="minorHAnsi" w:cstheme="minorBidi"/>
          <w:szCs w:val="22"/>
          <w:lang w:eastAsia="zh-CN"/>
        </w:rPr>
      </w:pPr>
    </w:p>
    <w:p w14:paraId="632DE1E7" w14:textId="77777777" w:rsidR="00756188" w:rsidRPr="00756188" w:rsidRDefault="00756188" w:rsidP="00756188">
      <w:pPr>
        <w:numPr>
          <w:ilvl w:val="0"/>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val="en-US" w:eastAsia="zh-CN"/>
        </w:rPr>
        <w:t xml:space="preserve">Draft Opinions on </w:t>
      </w:r>
      <w:r w:rsidRPr="00756188">
        <w:rPr>
          <w:rFonts w:asciiTheme="minorHAnsi" w:eastAsiaTheme="minorEastAsia" w:hAnsiTheme="minorHAnsi" w:cstheme="minorBidi"/>
          <w:szCs w:val="22"/>
          <w:lang w:eastAsia="zh-CN"/>
        </w:rPr>
        <w:t>Space connectivity</w:t>
      </w:r>
    </w:p>
    <w:p w14:paraId="7240514D"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“Considerations for WTPF discussion of space connectivity.” </w:t>
      </w:r>
      <w:r w:rsidRPr="00756188">
        <w:rPr>
          <w:rFonts w:asciiTheme="minorHAnsi" w:eastAsiaTheme="minorEastAsia" w:hAnsiTheme="minorHAnsi" w:cstheme="minorBidi"/>
          <w:b/>
          <w:bCs/>
          <w:szCs w:val="22"/>
          <w:lang w:eastAsia="zh-CN"/>
        </w:rPr>
        <w:t xml:space="preserve">Document ITU-SG-WTPF-26-IEG-1/4 </w:t>
      </w:r>
      <w:hyperlink r:id="rId32" w:history="1">
        <w:r w:rsidRPr="00756188">
          <w:rPr>
            <w:rFonts w:asciiTheme="minorHAnsi" w:eastAsiaTheme="minorEastAsia" w:hAnsiTheme="minorHAnsi" w:cstheme="minorBidi"/>
            <w:color w:val="0000FF"/>
            <w:szCs w:val="22"/>
            <w:u w:val="single"/>
            <w:lang w:eastAsia="zh-CN"/>
          </w:rPr>
          <w:t xml:space="preserve">(submitted by Amazon.com Services, LLC) </w:t>
        </w:r>
      </w:hyperlink>
      <w:r w:rsidRPr="00756188">
        <w:rPr>
          <w:rFonts w:asciiTheme="minorHAnsi" w:eastAsiaTheme="minorEastAsia" w:hAnsiTheme="minorHAnsi" w:cstheme="minorBidi"/>
          <w:szCs w:val="22"/>
          <w:lang w:eastAsia="zh-CN"/>
        </w:rPr>
        <w:t>Submitted 2024-08-28</w:t>
      </w:r>
    </w:p>
    <w:p w14:paraId="287BF6E1"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“Draft Opinion on accelerating an inclusive and sustainable space connectivity.” </w:t>
      </w:r>
      <w:r w:rsidRPr="00756188">
        <w:rPr>
          <w:rFonts w:asciiTheme="minorHAnsi" w:eastAsiaTheme="minorEastAsia" w:hAnsiTheme="minorHAnsi" w:cstheme="minorBidi"/>
          <w:b/>
          <w:bCs/>
          <w:szCs w:val="22"/>
          <w:lang w:eastAsia="zh-CN"/>
        </w:rPr>
        <w:t xml:space="preserve">Document ITU-SG WTPF-26-IEG-1/8 </w:t>
      </w:r>
      <w:hyperlink r:id="rId33" w:history="1">
        <w:r w:rsidRPr="00756188">
          <w:rPr>
            <w:rFonts w:asciiTheme="minorHAnsi" w:eastAsiaTheme="minorEastAsia" w:hAnsiTheme="minorHAnsi" w:cstheme="minorBidi"/>
            <w:color w:val="0000FF"/>
            <w:szCs w:val="22"/>
            <w:u w:val="single"/>
            <w:lang w:eastAsia="zh-CN"/>
          </w:rPr>
          <w:t xml:space="preserve">(Submitted by Saudi Arabia , Bahrain , Egypt , South Africa) </w:t>
        </w:r>
      </w:hyperlink>
      <w:r w:rsidRPr="00756188">
        <w:rPr>
          <w:rFonts w:asciiTheme="minorHAnsi" w:eastAsiaTheme="minorEastAsia" w:hAnsiTheme="minorHAnsi" w:cstheme="minorBidi"/>
          <w:szCs w:val="22"/>
          <w:lang w:eastAsia="zh-CN"/>
        </w:rPr>
        <w:t>Submitted 2024-09-25</w:t>
      </w:r>
    </w:p>
    <w:p w14:paraId="36BACB9D"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“Contribution by China - Draft opinions for the WTPF 2026.” </w:t>
      </w:r>
      <w:r w:rsidRPr="00756188">
        <w:rPr>
          <w:rFonts w:asciiTheme="minorHAnsi" w:eastAsiaTheme="minorEastAsia" w:hAnsiTheme="minorHAnsi" w:cstheme="minorBidi"/>
          <w:b/>
          <w:bCs/>
          <w:szCs w:val="22"/>
          <w:lang w:eastAsia="zh-CN"/>
        </w:rPr>
        <w:t xml:space="preserve">Document ITU-SG WTPF-26-IEG-2/6 </w:t>
      </w:r>
      <w:hyperlink r:id="rId34" w:history="1">
        <w:r w:rsidRPr="00756188">
          <w:rPr>
            <w:rFonts w:asciiTheme="minorHAnsi" w:eastAsiaTheme="minorEastAsia" w:hAnsiTheme="minorHAnsi" w:cstheme="minorBidi"/>
            <w:color w:val="0000FF"/>
            <w:szCs w:val="22"/>
            <w:u w:val="single"/>
            <w:lang w:eastAsia="zh-CN"/>
          </w:rPr>
          <w:t>(Contribution submitted by China)</w:t>
        </w:r>
      </w:hyperlink>
      <w:r w:rsidRPr="00756188">
        <w:rPr>
          <w:rFonts w:asciiTheme="minorHAnsi" w:eastAsiaTheme="minorEastAsia" w:hAnsiTheme="minorHAnsi" w:cstheme="minorBidi"/>
          <w:szCs w:val="22"/>
          <w:lang w:eastAsia="zh-CN"/>
        </w:rPr>
        <w:t>, Submitted 2025-01-13</w:t>
      </w:r>
    </w:p>
    <w:p w14:paraId="37221084"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20"/>
        <w:jc w:val="both"/>
        <w:textAlignment w:val="auto"/>
        <w:rPr>
          <w:rFonts w:asciiTheme="minorHAnsi" w:eastAsiaTheme="minorEastAsia" w:hAnsiTheme="minorHAnsi" w:cstheme="minorBidi"/>
          <w:szCs w:val="22"/>
          <w:lang w:eastAsia="zh-CN"/>
        </w:rPr>
      </w:pPr>
    </w:p>
    <w:p w14:paraId="30E0608F" w14:textId="77777777" w:rsidR="00756188" w:rsidRPr="00756188" w:rsidRDefault="00756188" w:rsidP="00756188">
      <w:pPr>
        <w:numPr>
          <w:ilvl w:val="0"/>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val="en-US" w:eastAsia="zh-CN"/>
        </w:rPr>
        <w:t xml:space="preserve">Draft Opinions </w:t>
      </w:r>
      <w:r w:rsidRPr="00756188">
        <w:rPr>
          <w:rFonts w:asciiTheme="minorHAnsi" w:eastAsiaTheme="minorEastAsia" w:hAnsiTheme="minorHAnsi" w:cstheme="minorBidi"/>
          <w:szCs w:val="22"/>
          <w:lang w:eastAsia="zh-CN"/>
        </w:rPr>
        <w:t xml:space="preserve">on </w:t>
      </w:r>
      <w:r w:rsidRPr="00756188">
        <w:rPr>
          <w:rFonts w:asciiTheme="minorHAnsi" w:eastAsiaTheme="minorEastAsia" w:hAnsiTheme="minorHAnsi" w:cstheme="minorBidi"/>
          <w:szCs w:val="22"/>
          <w:lang w:val="en-US" w:eastAsia="zh-CN"/>
        </w:rPr>
        <w:t>strengthening</w:t>
      </w:r>
      <w:r w:rsidRPr="00756188">
        <w:rPr>
          <w:rFonts w:asciiTheme="minorHAnsi" w:eastAsiaTheme="minorEastAsia" w:hAnsiTheme="minorHAnsi" w:cstheme="minorBidi"/>
          <w:szCs w:val="22"/>
          <w:lang w:eastAsia="zh-CN"/>
        </w:rPr>
        <w:t xml:space="preserve"> ICT-centric innovation ecosystems and entrepreneurship</w:t>
      </w:r>
    </w:p>
    <w:p w14:paraId="2AE5282A"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“Contribution by China - Draft opinions for the WTPF 2026.” </w:t>
      </w:r>
      <w:r w:rsidRPr="00756188">
        <w:rPr>
          <w:rFonts w:asciiTheme="minorHAnsi" w:eastAsiaTheme="minorEastAsia" w:hAnsiTheme="minorHAnsi" w:cstheme="minorBidi"/>
          <w:b/>
          <w:bCs/>
          <w:szCs w:val="22"/>
          <w:lang w:eastAsia="zh-CN"/>
        </w:rPr>
        <w:t xml:space="preserve">Document ITU-SG WTPF-26-IEG-2/6 </w:t>
      </w:r>
      <w:hyperlink r:id="rId35" w:history="1">
        <w:r w:rsidRPr="00756188">
          <w:rPr>
            <w:rFonts w:asciiTheme="minorHAnsi" w:eastAsiaTheme="minorEastAsia" w:hAnsiTheme="minorHAnsi" w:cstheme="minorBidi"/>
            <w:color w:val="0000FF"/>
            <w:szCs w:val="22"/>
            <w:u w:val="single"/>
            <w:lang w:eastAsia="zh-CN"/>
          </w:rPr>
          <w:t>(Contribution submitted by China)</w:t>
        </w:r>
      </w:hyperlink>
      <w:r w:rsidRPr="00756188">
        <w:rPr>
          <w:rFonts w:asciiTheme="minorHAnsi" w:eastAsiaTheme="minorEastAsia" w:hAnsiTheme="minorHAnsi" w:cstheme="minorBidi"/>
          <w:szCs w:val="22"/>
          <w:lang w:eastAsia="zh-CN"/>
        </w:rPr>
        <w:t>, Submitted 2025-01-13</w:t>
      </w:r>
    </w:p>
    <w:p w14:paraId="3442A169" w14:textId="77777777" w:rsidR="00756188" w:rsidRPr="00756188" w:rsidRDefault="00756188" w:rsidP="00756188">
      <w:pPr>
        <w:numPr>
          <w:ilvl w:val="1"/>
          <w:numId w:val="19"/>
        </w:num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 xml:space="preserve">“Multi-country contribution - Draft opinion on strengthening ICT-centric innovation ecosystems and entrepreneurship.” </w:t>
      </w:r>
      <w:r w:rsidRPr="00756188">
        <w:rPr>
          <w:rFonts w:asciiTheme="minorHAnsi" w:eastAsiaTheme="minorEastAsia" w:hAnsiTheme="minorHAnsi" w:cstheme="minorBidi"/>
          <w:b/>
          <w:bCs/>
          <w:szCs w:val="22"/>
          <w:lang w:eastAsia="zh-CN"/>
        </w:rPr>
        <w:t xml:space="preserve">Document ITU-SG WTPF-26-IEG-2/10 </w:t>
      </w:r>
      <w:hyperlink r:id="rId36" w:history="1">
        <w:r w:rsidRPr="00756188">
          <w:rPr>
            <w:rFonts w:asciiTheme="minorHAnsi" w:eastAsiaTheme="minorEastAsia" w:hAnsiTheme="minorHAnsi" w:cstheme="minorBidi"/>
            <w:color w:val="0000FF"/>
            <w:szCs w:val="22"/>
            <w:u w:val="single"/>
            <w:lang w:eastAsia="zh-CN"/>
          </w:rPr>
          <w:t xml:space="preserve">(Contribution submitted </w:t>
        </w:r>
      </w:hyperlink>
      <w:hyperlink r:id="rId37" w:history="1">
        <w:r w:rsidRPr="00756188">
          <w:rPr>
            <w:rFonts w:asciiTheme="minorHAnsi" w:eastAsiaTheme="minorEastAsia" w:hAnsiTheme="minorHAnsi" w:cstheme="minorBidi"/>
            <w:color w:val="0000FF"/>
            <w:szCs w:val="22"/>
            <w:u w:val="single"/>
            <w:lang w:eastAsia="zh-CN"/>
          </w:rPr>
          <w:t>by</w:t>
        </w:r>
      </w:hyperlink>
      <w:hyperlink r:id="rId38" w:history="1">
        <w:r w:rsidRPr="00756188">
          <w:rPr>
            <w:rFonts w:asciiTheme="minorHAnsi" w:eastAsiaTheme="minorEastAsia" w:hAnsiTheme="minorHAnsi" w:cstheme="minorBidi"/>
            <w:color w:val="0000FF"/>
            <w:szCs w:val="22"/>
            <w:u w:val="single"/>
            <w:lang w:eastAsia="zh-CN"/>
          </w:rPr>
          <w:t xml:space="preserve"> United Kingdom, Germany), </w:t>
        </w:r>
      </w:hyperlink>
      <w:r w:rsidRPr="00756188">
        <w:rPr>
          <w:rFonts w:asciiTheme="minorHAnsi" w:eastAsiaTheme="minorEastAsia" w:hAnsiTheme="minorHAnsi" w:cstheme="minorBidi"/>
          <w:szCs w:val="22"/>
          <w:lang w:eastAsia="zh-CN"/>
        </w:rPr>
        <w:t>Submitted 2025-01-13</w:t>
      </w:r>
    </w:p>
    <w:p w14:paraId="7B36FDE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20"/>
        <w:jc w:val="both"/>
        <w:textAlignment w:val="auto"/>
        <w:rPr>
          <w:rFonts w:asciiTheme="minorHAnsi" w:eastAsiaTheme="minorEastAsia" w:hAnsiTheme="minorHAnsi" w:cstheme="minorBidi"/>
          <w:szCs w:val="22"/>
          <w:lang w:eastAsia="zh-CN"/>
        </w:rPr>
      </w:pPr>
    </w:p>
    <w:p w14:paraId="28E56577" w14:textId="4DA170AF" w:rsidR="00756188" w:rsidRPr="004B51C8" w:rsidRDefault="00756188" w:rsidP="00EB053E">
      <w:pPr>
        <w:tabs>
          <w:tab w:val="clear" w:pos="567"/>
          <w:tab w:val="clear" w:pos="1134"/>
          <w:tab w:val="clear" w:pos="1701"/>
          <w:tab w:val="clear" w:pos="2268"/>
          <w:tab w:val="clear" w:pos="2835"/>
        </w:tabs>
        <w:overflowPunct/>
        <w:autoSpaceDE/>
        <w:autoSpaceDN/>
        <w:adjustRightInd/>
        <w:spacing w:before="160"/>
        <w:jc w:val="center"/>
        <w:textAlignment w:val="auto"/>
      </w:pPr>
      <w:r w:rsidRPr="00756188">
        <w:rPr>
          <w:rFonts w:asciiTheme="minorHAnsi" w:eastAsiaTheme="minorEastAsia" w:hAnsiTheme="minorHAnsi" w:cstheme="minorBidi"/>
          <w:szCs w:val="22"/>
          <w:lang w:eastAsia="zh-CN"/>
        </w:rPr>
        <w:t>______________</w:t>
      </w:r>
    </w:p>
    <w:sectPr w:rsidR="00756188" w:rsidRPr="004B51C8" w:rsidSect="00EB053E">
      <w:headerReference w:type="default" r:id="rId39"/>
      <w:footerReference w:type="default" r:id="rId40"/>
      <w:headerReference w:type="first" r:id="rId41"/>
      <w:footerReference w:type="first" r:id="rId42"/>
      <w:pgSz w:w="11907" w:h="16834" w:code="9"/>
      <w:pgMar w:top="1418" w:right="1418" w:bottom="1021" w:left="1418" w:header="720" w:footer="62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930C" w14:textId="77777777" w:rsidR="009B0EBB" w:rsidRDefault="009B0EBB">
      <w:r>
        <w:separator/>
      </w:r>
    </w:p>
  </w:endnote>
  <w:endnote w:type="continuationSeparator" w:id="0">
    <w:p w14:paraId="420B03BF" w14:textId="77777777" w:rsidR="009B0EBB" w:rsidRDefault="009B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6E9971C8" w14:textId="77777777" w:rsidTr="0042469C">
      <w:trPr>
        <w:jc w:val="center"/>
      </w:trPr>
      <w:tc>
        <w:tcPr>
          <w:tcW w:w="1803" w:type="dxa"/>
          <w:vAlign w:val="center"/>
        </w:tcPr>
        <w:p w14:paraId="595D99B9" w14:textId="77777777" w:rsidR="00EE49E8" w:rsidRDefault="00EE49E8" w:rsidP="00EE49E8">
          <w:pPr>
            <w:pStyle w:val="Header"/>
            <w:jc w:val="left"/>
            <w:rPr>
              <w:noProof/>
            </w:rPr>
          </w:pPr>
        </w:p>
      </w:tc>
      <w:tc>
        <w:tcPr>
          <w:tcW w:w="8261" w:type="dxa"/>
        </w:tcPr>
        <w:p w14:paraId="76DF4650" w14:textId="3A4EDA4A"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3354ED">
            <w:rPr>
              <w:bCs/>
              <w:lang w:val="es-ES"/>
            </w:rPr>
            <w:t>3</w:t>
          </w:r>
          <w:r w:rsidR="00A34013">
            <w:rPr>
              <w:bCs/>
              <w:lang w:val="es-ES"/>
            </w:rPr>
            <w:t>/</w:t>
          </w:r>
          <w:r w:rsidR="00EB053E">
            <w:rPr>
              <w:bCs/>
              <w:lang w:val="es-ES"/>
            </w:rPr>
            <w:t>19</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FAEF647"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13FA5BA9" w14:textId="77777777" w:rsidTr="00A52C84">
      <w:trPr>
        <w:jc w:val="center"/>
      </w:trPr>
      <w:tc>
        <w:tcPr>
          <w:tcW w:w="3107" w:type="dxa"/>
          <w:vAlign w:val="center"/>
        </w:tcPr>
        <w:p w14:paraId="0FF920AE" w14:textId="3725A522" w:rsidR="00EE49E8" w:rsidRPr="003354ED" w:rsidRDefault="0025570E" w:rsidP="00EE49E8">
          <w:pPr>
            <w:pStyle w:val="Header"/>
            <w:jc w:val="left"/>
            <w:rPr>
              <w:noProof/>
            </w:rPr>
          </w:pPr>
          <w:hyperlink r:id="rId1" w:history="1">
            <w:r w:rsidRPr="003354ED">
              <w:rPr>
                <w:rStyle w:val="Hyperlink"/>
                <w:u w:val="none"/>
              </w:rPr>
              <w:t>council.itu.int/working-groups</w:t>
            </w:r>
          </w:hyperlink>
        </w:p>
      </w:tc>
      <w:tc>
        <w:tcPr>
          <w:tcW w:w="6957" w:type="dxa"/>
        </w:tcPr>
        <w:p w14:paraId="63677B84" w14:textId="403370D2"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3354ED">
            <w:rPr>
              <w:bCs/>
              <w:lang w:val="es-ES"/>
            </w:rPr>
            <w:t>3</w:t>
          </w:r>
          <w:r w:rsidR="00205D4E">
            <w:rPr>
              <w:bCs/>
              <w:lang w:val="es-ES"/>
            </w:rPr>
            <w:t>/</w:t>
          </w:r>
          <w:r w:rsidR="00756188">
            <w:rPr>
              <w:bCs/>
              <w:lang w:val="es-ES"/>
            </w:rPr>
            <w:t>19</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69B1AAB"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760C" w14:textId="77777777" w:rsidR="009B0EBB" w:rsidRDefault="009B0EBB">
      <w:r>
        <w:t>____________________</w:t>
      </w:r>
    </w:p>
  </w:footnote>
  <w:footnote w:type="continuationSeparator" w:id="0">
    <w:p w14:paraId="4360B1A5" w14:textId="77777777" w:rsidR="009B0EBB" w:rsidRDefault="009B0EBB">
      <w:r>
        <w:continuationSeparator/>
      </w:r>
    </w:p>
  </w:footnote>
  <w:footnote w:id="1">
    <w:p w14:paraId="082BAA96" w14:textId="77777777" w:rsidR="00756188" w:rsidRDefault="00756188" w:rsidP="00756188">
      <w:pPr>
        <w:pStyle w:val="FootnoteText"/>
      </w:pPr>
      <w:r>
        <w:rPr>
          <w:rStyle w:val="FootnoteReference"/>
        </w:rPr>
        <w:footnoteRef/>
      </w:r>
      <w:r>
        <w:tab/>
      </w:r>
      <w:r w:rsidRPr="00EB053E">
        <w:rPr>
          <w:sz w:val="22"/>
          <w:szCs w:val="22"/>
        </w:rPr>
        <w:fldChar w:fldCharType="begin"/>
      </w:r>
      <w:r w:rsidRPr="00EB053E">
        <w:rPr>
          <w:sz w:val="22"/>
          <w:szCs w:val="22"/>
        </w:rPr>
        <w:instrText xml:space="preserve"> ADDIN ZOTERO_ITEM CSL_CITATION {"citationID":"nDZsfgdz","properties":{"formattedCitation":"\\uc0\\u8220{}Press Release,\\uc0\\u8221{} ITU, accessed November 18, 2024, https://www.itu.int:443/en/mediacentre/Pages/PR04-2020-ICT-industry-to-reduce-greenhouse-gas-emissions-by-45-percent-by-2030.aspx.","plainCitation":"“Press Release,” ITU, accessed November 18, 2024, https://www.itu.int:443/en/mediacentre/Pages/PR04-2020-ICT-industry-to-reduce-greenhouse-gas-emissions-by-45-percent-by-2030.aspx.","noteIndex":1},"citationItems":[{"id":225,"uris":["http://zotero.org/users/5581816/items/LRNX7T6A"],"itemData":{"id":225,"type":"webpage","container-title":"ITU","language":"en-US","title":"Press Release","URL":"https://www.itu.int:443/en/mediacentre/Pages/PR04-2020-ICT-industry-to-reduce-greenhouse-gas-emissions-by-45-percent-by-2030.aspx","accessed":{"date-parts":[["2024",11,18]]}}}],"schema":"https://github.com/citation-style-language/schema/raw/master/csl-citation.json"} </w:instrText>
      </w:r>
      <w:r w:rsidRPr="00EB053E">
        <w:rPr>
          <w:sz w:val="22"/>
          <w:szCs w:val="22"/>
        </w:rPr>
        <w:fldChar w:fldCharType="separate"/>
      </w:r>
      <w:r w:rsidRPr="00EB053E">
        <w:rPr>
          <w:rFonts w:cs="Calibri"/>
          <w:sz w:val="22"/>
          <w:szCs w:val="22"/>
        </w:rPr>
        <w:t>“Press Release,” ITU, accessed November 18, 2024, https://www.itu.int:443/en/mediacentre/Pages/PR04-2020-ICT-industry-to-reduce-greenhouse-gas-emissions-by-45-percent-by-2030.aspx.</w:t>
      </w:r>
      <w:r w:rsidRPr="00EB053E">
        <w:rPr>
          <w:sz w:val="22"/>
          <w:szCs w:val="22"/>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410F" w14:textId="253FC5D4" w:rsidR="00756188" w:rsidRDefault="00756188" w:rsidP="00756188">
    <w:pPr>
      <w:pStyle w:val="Header"/>
    </w:pPr>
    <w:r w:rsidRPr="00756188">
      <w:rPr>
        <w:bCs/>
      </w:rPr>
      <w:t>Third draft Report— 27 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372B6" w:rsidRPr="00784011" w14:paraId="25AB9B3D" w14:textId="77777777" w:rsidTr="002F314B">
      <w:trPr>
        <w:trHeight w:val="1304"/>
        <w:jc w:val="center"/>
      </w:trPr>
      <w:tc>
        <w:tcPr>
          <w:tcW w:w="6546" w:type="dxa"/>
        </w:tcPr>
        <w:bookmarkStart w:id="13" w:name="_Hlk133422111"/>
        <w:p w14:paraId="5CE3A6BD" w14:textId="77777777" w:rsidR="00E372B6" w:rsidRPr="009621F8" w:rsidRDefault="00E372B6" w:rsidP="00E372B6">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BA29BF3" wp14:editId="48456988">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3472F06" w14:textId="46192D74" w:rsidR="00E372B6" w:rsidRDefault="00E372B6" w:rsidP="000D0DB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3354ED">
                                  <w:rPr>
                                    <w:sz w:val="20"/>
                                  </w:rPr>
                                  <w:t>Third</w:t>
                                </w:r>
                                <w:r>
                                  <w:rPr>
                                    <w:sz w:val="20"/>
                                  </w:rPr>
                                  <w:t xml:space="preserve"> </w:t>
                                </w:r>
                                <w:r w:rsidRPr="00130599">
                                  <w:rPr>
                                    <w:sz w:val="20"/>
                                  </w:rPr>
                                  <w:t xml:space="preserve">meeting </w:t>
                                </w:r>
                                <w:r w:rsidRPr="000D0DB0">
                                  <w:rPr>
                                    <w:sz w:val="20"/>
                                  </w:rPr>
                                  <w:t xml:space="preserve">– </w:t>
                                </w:r>
                                <w:r w:rsidR="000D0DB0" w:rsidRPr="000D0DB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A29BF3" id="_x0000_t202" coordsize="21600,21600" o:spt="202" path="m,l,21600r21600,l21600,xe">
                    <v:stroke joinstyle="miter"/>
                    <v:path gradientshapeok="t" o:connecttype="rect"/>
                  </v:shapetype>
                  <v:shape id="_x0000_s1039"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03472F06" w14:textId="46192D74" w:rsidR="00E372B6" w:rsidRDefault="00E372B6" w:rsidP="000D0DB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3354ED">
                            <w:rPr>
                              <w:sz w:val="20"/>
                            </w:rPr>
                            <w:t>Third</w:t>
                          </w:r>
                          <w:r>
                            <w:rPr>
                              <w:sz w:val="20"/>
                            </w:rPr>
                            <w:t xml:space="preserve"> </w:t>
                          </w:r>
                          <w:r w:rsidRPr="00130599">
                            <w:rPr>
                              <w:sz w:val="20"/>
                            </w:rPr>
                            <w:t xml:space="preserve">meeting </w:t>
                          </w:r>
                          <w:r w:rsidRPr="000D0DB0">
                            <w:rPr>
                              <w:sz w:val="20"/>
                            </w:rPr>
                            <w:t xml:space="preserve">– </w:t>
                          </w:r>
                          <w:r w:rsidR="000D0DB0" w:rsidRPr="000D0DB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29EE5F59" wp14:editId="38CCA41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4807BEC" w14:textId="77777777" w:rsidR="00E372B6" w:rsidRDefault="00E372B6" w:rsidP="00E372B6">
          <w:pPr>
            <w:pStyle w:val="Header"/>
            <w:jc w:val="right"/>
            <w:rPr>
              <w:rFonts w:ascii="Arial" w:hAnsi="Arial" w:cs="Arial"/>
              <w:b/>
              <w:bCs/>
              <w:color w:val="009CD6"/>
              <w:szCs w:val="18"/>
            </w:rPr>
          </w:pPr>
        </w:p>
        <w:p w14:paraId="701EC1B5" w14:textId="77777777" w:rsidR="00E372B6" w:rsidRDefault="00E372B6" w:rsidP="00E372B6">
          <w:pPr>
            <w:pStyle w:val="Header"/>
            <w:jc w:val="right"/>
            <w:rPr>
              <w:rFonts w:ascii="Arial" w:hAnsi="Arial" w:cs="Arial"/>
              <w:b/>
              <w:bCs/>
              <w:color w:val="009CD6"/>
              <w:szCs w:val="18"/>
            </w:rPr>
          </w:pPr>
        </w:p>
        <w:p w14:paraId="66FA26B3" w14:textId="77777777" w:rsidR="00E372B6" w:rsidRPr="00784011" w:rsidRDefault="00E372B6" w:rsidP="00E372B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51BF1CE1" w14:textId="74067685" w:rsidR="00AD3606" w:rsidRPr="00E372B6" w:rsidRDefault="00E372B6" w:rsidP="00E372B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DC0AAA7" wp14:editId="035F9267">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334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6A0E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34C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A2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E00A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66F8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83A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620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207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865D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B442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E47DA"/>
    <w:multiLevelType w:val="hybridMultilevel"/>
    <w:tmpl w:val="544EA62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CB6E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CF74E4"/>
    <w:multiLevelType w:val="hybridMultilevel"/>
    <w:tmpl w:val="A4B8D5A8"/>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374816267">
    <w:abstractNumId w:val="9"/>
  </w:num>
  <w:num w:numId="2" w16cid:durableId="1317610487">
    <w:abstractNumId w:val="7"/>
  </w:num>
  <w:num w:numId="3" w16cid:durableId="700594878">
    <w:abstractNumId w:val="6"/>
  </w:num>
  <w:num w:numId="4" w16cid:durableId="981808299">
    <w:abstractNumId w:val="5"/>
  </w:num>
  <w:num w:numId="5" w16cid:durableId="452094071">
    <w:abstractNumId w:val="4"/>
  </w:num>
  <w:num w:numId="6" w16cid:durableId="1632519813">
    <w:abstractNumId w:val="8"/>
  </w:num>
  <w:num w:numId="7" w16cid:durableId="1110007609">
    <w:abstractNumId w:val="3"/>
  </w:num>
  <w:num w:numId="8" w16cid:durableId="76829135">
    <w:abstractNumId w:val="2"/>
  </w:num>
  <w:num w:numId="9" w16cid:durableId="1611011476">
    <w:abstractNumId w:val="1"/>
  </w:num>
  <w:num w:numId="10" w16cid:durableId="617955706">
    <w:abstractNumId w:val="0"/>
  </w:num>
  <w:num w:numId="11" w16cid:durableId="757948217">
    <w:abstractNumId w:val="8"/>
  </w:num>
  <w:num w:numId="12" w16cid:durableId="352731453">
    <w:abstractNumId w:val="3"/>
  </w:num>
  <w:num w:numId="13" w16cid:durableId="890842215">
    <w:abstractNumId w:val="2"/>
  </w:num>
  <w:num w:numId="14" w16cid:durableId="958536898">
    <w:abstractNumId w:val="1"/>
  </w:num>
  <w:num w:numId="15" w16cid:durableId="1298143016">
    <w:abstractNumId w:val="0"/>
  </w:num>
  <w:num w:numId="16" w16cid:durableId="1428035339">
    <w:abstractNumId w:val="11"/>
  </w:num>
  <w:num w:numId="17" w16cid:durableId="1722047778">
    <w:abstractNumId w:val="12"/>
  </w:num>
  <w:num w:numId="18" w16cid:durableId="218787071">
    <w:abstractNumId w:val="13"/>
  </w:num>
  <w:num w:numId="19" w16cid:durableId="2030175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B"/>
    <w:rsid w:val="00003A6D"/>
    <w:rsid w:val="000041A9"/>
    <w:rsid w:val="00004C8C"/>
    <w:rsid w:val="00006DB2"/>
    <w:rsid w:val="000120E4"/>
    <w:rsid w:val="000210D4"/>
    <w:rsid w:val="00046146"/>
    <w:rsid w:val="000525A1"/>
    <w:rsid w:val="0005727E"/>
    <w:rsid w:val="00063016"/>
    <w:rsid w:val="00066795"/>
    <w:rsid w:val="00076AF6"/>
    <w:rsid w:val="00085CF2"/>
    <w:rsid w:val="000A1525"/>
    <w:rsid w:val="000B1705"/>
    <w:rsid w:val="000D0DB0"/>
    <w:rsid w:val="000D75B2"/>
    <w:rsid w:val="000F6AB8"/>
    <w:rsid w:val="001121F5"/>
    <w:rsid w:val="00130599"/>
    <w:rsid w:val="00131E18"/>
    <w:rsid w:val="001400DC"/>
    <w:rsid w:val="00140CE1"/>
    <w:rsid w:val="00147C54"/>
    <w:rsid w:val="0016259B"/>
    <w:rsid w:val="0017539C"/>
    <w:rsid w:val="00175AC2"/>
    <w:rsid w:val="0017609F"/>
    <w:rsid w:val="0017625E"/>
    <w:rsid w:val="001A0480"/>
    <w:rsid w:val="001A7D1D"/>
    <w:rsid w:val="001B0595"/>
    <w:rsid w:val="001B51DD"/>
    <w:rsid w:val="001C628E"/>
    <w:rsid w:val="001D62DF"/>
    <w:rsid w:val="001E0F7B"/>
    <w:rsid w:val="001E0FBE"/>
    <w:rsid w:val="001E5FE7"/>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E0AC3"/>
    <w:rsid w:val="002F2D06"/>
    <w:rsid w:val="0030160F"/>
    <w:rsid w:val="00301AEE"/>
    <w:rsid w:val="003145DF"/>
    <w:rsid w:val="00320223"/>
    <w:rsid w:val="00322AB8"/>
    <w:rsid w:val="00322D0D"/>
    <w:rsid w:val="003354ED"/>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169"/>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1E73"/>
    <w:rsid w:val="00662984"/>
    <w:rsid w:val="00663050"/>
    <w:rsid w:val="006716BB"/>
    <w:rsid w:val="006973C8"/>
    <w:rsid w:val="006A4862"/>
    <w:rsid w:val="006B1859"/>
    <w:rsid w:val="006B6680"/>
    <w:rsid w:val="006B6DCC"/>
    <w:rsid w:val="006D7D1A"/>
    <w:rsid w:val="00701C70"/>
    <w:rsid w:val="00702DEF"/>
    <w:rsid w:val="00706861"/>
    <w:rsid w:val="00715596"/>
    <w:rsid w:val="007247CF"/>
    <w:rsid w:val="00726B8C"/>
    <w:rsid w:val="00727C44"/>
    <w:rsid w:val="0075051B"/>
    <w:rsid w:val="00756188"/>
    <w:rsid w:val="0077110E"/>
    <w:rsid w:val="00775655"/>
    <w:rsid w:val="007849D5"/>
    <w:rsid w:val="00793188"/>
    <w:rsid w:val="00794D34"/>
    <w:rsid w:val="007B3F0C"/>
    <w:rsid w:val="00806E3C"/>
    <w:rsid w:val="00813E5E"/>
    <w:rsid w:val="00816C2C"/>
    <w:rsid w:val="00834CF1"/>
    <w:rsid w:val="0083581B"/>
    <w:rsid w:val="00860EED"/>
    <w:rsid w:val="00863874"/>
    <w:rsid w:val="00864AFF"/>
    <w:rsid w:val="00865925"/>
    <w:rsid w:val="00870C17"/>
    <w:rsid w:val="00872B5C"/>
    <w:rsid w:val="00877BF2"/>
    <w:rsid w:val="00884F3A"/>
    <w:rsid w:val="00891503"/>
    <w:rsid w:val="008A2F06"/>
    <w:rsid w:val="008B4A6A"/>
    <w:rsid w:val="008C7E27"/>
    <w:rsid w:val="008F3822"/>
    <w:rsid w:val="008F7448"/>
    <w:rsid w:val="0090147A"/>
    <w:rsid w:val="0090389B"/>
    <w:rsid w:val="009173EF"/>
    <w:rsid w:val="00932906"/>
    <w:rsid w:val="00961860"/>
    <w:rsid w:val="00961B0B"/>
    <w:rsid w:val="00962D33"/>
    <w:rsid w:val="009B0EBB"/>
    <w:rsid w:val="009B38C3"/>
    <w:rsid w:val="009B44BD"/>
    <w:rsid w:val="009E17BD"/>
    <w:rsid w:val="009E485A"/>
    <w:rsid w:val="009E5C0E"/>
    <w:rsid w:val="00A04CEC"/>
    <w:rsid w:val="00A27F92"/>
    <w:rsid w:val="00A32257"/>
    <w:rsid w:val="00A34013"/>
    <w:rsid w:val="00A36D20"/>
    <w:rsid w:val="00A43C03"/>
    <w:rsid w:val="00A46CD0"/>
    <w:rsid w:val="00A50166"/>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A3A51"/>
    <w:rsid w:val="00BC251A"/>
    <w:rsid w:val="00BD032B"/>
    <w:rsid w:val="00BD0614"/>
    <w:rsid w:val="00BD094B"/>
    <w:rsid w:val="00BE2640"/>
    <w:rsid w:val="00C01189"/>
    <w:rsid w:val="00C374DE"/>
    <w:rsid w:val="00C47AD4"/>
    <w:rsid w:val="00C52D81"/>
    <w:rsid w:val="00C55198"/>
    <w:rsid w:val="00C567EC"/>
    <w:rsid w:val="00C725C6"/>
    <w:rsid w:val="00C922C7"/>
    <w:rsid w:val="00CA6393"/>
    <w:rsid w:val="00CB18FF"/>
    <w:rsid w:val="00CB24AA"/>
    <w:rsid w:val="00CC1AFD"/>
    <w:rsid w:val="00CD0C08"/>
    <w:rsid w:val="00CD3C91"/>
    <w:rsid w:val="00CE03FB"/>
    <w:rsid w:val="00CE433C"/>
    <w:rsid w:val="00CF0161"/>
    <w:rsid w:val="00CF33F3"/>
    <w:rsid w:val="00D06183"/>
    <w:rsid w:val="00D066FF"/>
    <w:rsid w:val="00D143DF"/>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372B6"/>
    <w:rsid w:val="00E4728B"/>
    <w:rsid w:val="00E545C6"/>
    <w:rsid w:val="00E60F04"/>
    <w:rsid w:val="00E63EFF"/>
    <w:rsid w:val="00E65B24"/>
    <w:rsid w:val="00E854E4"/>
    <w:rsid w:val="00E85B67"/>
    <w:rsid w:val="00E86DBF"/>
    <w:rsid w:val="00EA2E93"/>
    <w:rsid w:val="00EB053E"/>
    <w:rsid w:val="00EB0D6F"/>
    <w:rsid w:val="00EB2232"/>
    <w:rsid w:val="00EC5337"/>
    <w:rsid w:val="00EC7C07"/>
    <w:rsid w:val="00EE49E8"/>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5322"/>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FDA2F"/>
  <w15:docId w15:val="{270DA025-B6CD-4A4D-A30B-B90B9B4C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C1AFD"/>
    <w:rPr>
      <w:color w:val="666666"/>
    </w:rPr>
  </w:style>
  <w:style w:type="paragraph" w:customStyle="1" w:styleId="Reasons">
    <w:name w:val="Reasons"/>
    <w:basedOn w:val="Normal"/>
    <w:qFormat/>
    <w:rsid w:val="003354ED"/>
  </w:style>
  <w:style w:type="paragraph" w:styleId="ListParagraph">
    <w:name w:val="List Paragraph"/>
    <w:basedOn w:val="Normal"/>
    <w:uiPriority w:val="34"/>
    <w:qFormat/>
    <w:rsid w:val="00756188"/>
    <w:pPr>
      <w:ind w:left="720"/>
      <w:contextualSpacing/>
    </w:pPr>
  </w:style>
  <w:style w:type="table" w:customStyle="1" w:styleId="TableGrid1">
    <w:name w:val="Table Grid1"/>
    <w:basedOn w:val="TableNormal"/>
    <w:next w:val="TableGrid"/>
    <w:uiPriority w:val="39"/>
    <w:rsid w:val="00756188"/>
    <w:rPr>
      <w:rFonts w:asciiTheme="minorHAnsi" w:eastAsia="MS Mincho"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97639">
      <w:bodyDiv w:val="1"/>
      <w:marLeft w:val="0"/>
      <w:marRight w:val="0"/>
      <w:marTop w:val="0"/>
      <w:marBottom w:val="0"/>
      <w:divBdr>
        <w:top w:val="none" w:sz="0" w:space="0" w:color="auto"/>
        <w:left w:val="none" w:sz="0" w:space="0" w:color="auto"/>
        <w:bottom w:val="none" w:sz="0" w:space="0" w:color="auto"/>
        <w:right w:val="none" w:sz="0" w:space="0" w:color="auto"/>
      </w:divBdr>
    </w:div>
    <w:div w:id="1201553423">
      <w:bodyDiv w:val="1"/>
      <w:marLeft w:val="0"/>
      <w:marRight w:val="0"/>
      <w:marTop w:val="0"/>
      <w:marBottom w:val="0"/>
      <w:divBdr>
        <w:top w:val="none" w:sz="0" w:space="0" w:color="auto"/>
        <w:left w:val="none" w:sz="0" w:space="0" w:color="auto"/>
        <w:bottom w:val="none" w:sz="0" w:space="0" w:color="auto"/>
        <w:right w:val="none" w:sz="0" w:space="0" w:color="auto"/>
      </w:divBdr>
    </w:div>
    <w:div w:id="1329821833">
      <w:bodyDiv w:val="1"/>
      <w:marLeft w:val="0"/>
      <w:marRight w:val="0"/>
      <w:marTop w:val="0"/>
      <w:marBottom w:val="0"/>
      <w:divBdr>
        <w:top w:val="none" w:sz="0" w:space="0" w:color="auto"/>
        <w:left w:val="none" w:sz="0" w:space="0" w:color="auto"/>
        <w:bottom w:val="none" w:sz="0" w:space="0" w:color="auto"/>
        <w:right w:val="none" w:sz="0" w:space="0" w:color="auto"/>
      </w:divBdr>
    </w:div>
    <w:div w:id="1396851896">
      <w:bodyDiv w:val="1"/>
      <w:marLeft w:val="0"/>
      <w:marRight w:val="0"/>
      <w:marTop w:val="0"/>
      <w:marBottom w:val="0"/>
      <w:divBdr>
        <w:top w:val="none" w:sz="0" w:space="0" w:color="auto"/>
        <w:left w:val="none" w:sz="0" w:space="0" w:color="auto"/>
        <w:bottom w:val="none" w:sz="0" w:space="0" w:color="auto"/>
        <w:right w:val="none" w:sz="0" w:space="0" w:color="auto"/>
      </w:divBdr>
    </w:div>
    <w:div w:id="1705786725">
      <w:bodyDiv w:val="1"/>
      <w:marLeft w:val="0"/>
      <w:marRight w:val="0"/>
      <w:marTop w:val="0"/>
      <w:marBottom w:val="0"/>
      <w:divBdr>
        <w:top w:val="none" w:sz="0" w:space="0" w:color="auto"/>
        <w:left w:val="none" w:sz="0" w:space="0" w:color="auto"/>
        <w:bottom w:val="none" w:sz="0" w:space="0" w:color="auto"/>
        <w:right w:val="none" w:sz="0" w:space="0" w:color="auto"/>
      </w:divBdr>
    </w:div>
    <w:div w:id="18535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academy.itu.int/itu-d/projects-activities/research-publications/digital-skills-toolkit" TargetMode="External"/><Relationship Id="rId26" Type="http://schemas.openxmlformats.org/officeDocument/2006/relationships/hyperlink" Target="https://www.itu.int/md/S25-WTPF26IEG2-C-0006/en" TargetMode="External"/><Relationship Id="rId39" Type="http://schemas.openxmlformats.org/officeDocument/2006/relationships/header" Target="header1.xml"/><Relationship Id="rId21" Type="http://schemas.openxmlformats.org/officeDocument/2006/relationships/hyperlink" Target="https://www.itu.int/en/digital-resilience/submarine-cables/Pages/default.aspx" TargetMode="External"/><Relationship Id="rId34" Type="http://schemas.openxmlformats.org/officeDocument/2006/relationships/hyperlink" Target="https://www.itu.int/md/S25-WTPF26IEG2-C-0006/en"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4-CL-C-0136/en" TargetMode="External"/><Relationship Id="rId20" Type="http://schemas.openxmlformats.org/officeDocument/2006/relationships/hyperlink" Target="https://www.itu.int/en/digital-resilience/submarine-cables/Pages/default.aspx" TargetMode="External"/><Relationship Id="rId29" Type="http://schemas.openxmlformats.org/officeDocument/2006/relationships/hyperlink" Target="https://www.itu.int/md/S24-WTPF26IEG1-C-0007/e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02-E.pdf" TargetMode="External"/><Relationship Id="rId24" Type="http://schemas.openxmlformats.org/officeDocument/2006/relationships/hyperlink" Target="https://www.itu.int/md/S24-WTPF26IEG1-C-0002/en" TargetMode="External"/><Relationship Id="rId32" Type="http://schemas.openxmlformats.org/officeDocument/2006/relationships/hyperlink" Target="https://www.itu.int/md/S24-WTPF26IEG1-C-0004/en" TargetMode="External"/><Relationship Id="rId37" Type="http://schemas.openxmlformats.org/officeDocument/2006/relationships/hyperlink" Target="https://www.itu.int/md/S25-WTPF26IEG2-C-0010/e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council/Documents/basic-texts-2023/RES-002-E.pdf" TargetMode="External"/><Relationship Id="rId23" Type="http://schemas.openxmlformats.org/officeDocument/2006/relationships/hyperlink" Target="https://academy.itu.int/" TargetMode="External"/><Relationship Id="rId28" Type="http://schemas.openxmlformats.org/officeDocument/2006/relationships/hyperlink" Target="https://www.itu.int/md/S25-WTPF26IEG2-C-0011/en" TargetMode="External"/><Relationship Id="rId36" Type="http://schemas.openxmlformats.org/officeDocument/2006/relationships/hyperlink" Target="https://www.itu.int/md/S25-WTPF26IEG2-C-0009/en" TargetMode="External"/><Relationship Id="rId10" Type="http://schemas.openxmlformats.org/officeDocument/2006/relationships/hyperlink" Target="https://www.itu.int/en/council/Documents/basic-texts-2023/RES-002-E.pdf" TargetMode="External"/><Relationship Id="rId19" Type="http://schemas.openxmlformats.org/officeDocument/2006/relationships/hyperlink" Target="https://academy.itu.int/itu-d/projects-activities/research-publications/digital-skills-toolkit" TargetMode="External"/><Relationship Id="rId31" Type="http://schemas.openxmlformats.org/officeDocument/2006/relationships/hyperlink" Target="https://www.itu.int/md/S25-WTPF26IEG2-C-0009/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tu.int/en/council/Pages/ieg-wtpf-26.aspx" TargetMode="External"/><Relationship Id="rId22" Type="http://schemas.openxmlformats.org/officeDocument/2006/relationships/hyperlink" Target="https://academy.itu.int/" TargetMode="External"/><Relationship Id="rId27" Type="http://schemas.openxmlformats.org/officeDocument/2006/relationships/hyperlink" Target="https://www.itu.int/md/S24-WTPF26IEG1-C-0007/en" TargetMode="External"/><Relationship Id="rId30" Type="http://schemas.openxmlformats.org/officeDocument/2006/relationships/hyperlink" Target="https://www.itu.int/md/S24-WTPF26IEG1-C-0009/en" TargetMode="External"/><Relationship Id="rId35" Type="http://schemas.openxmlformats.org/officeDocument/2006/relationships/hyperlink" Target="https://www.itu.int/md/S25-WTPF26IEG2-C-0006/en" TargetMode="External"/><Relationship Id="rId43" Type="http://schemas.openxmlformats.org/officeDocument/2006/relationships/fontTable" Target="fontTable.xml"/><Relationship Id="rId8" Type="http://schemas.openxmlformats.org/officeDocument/2006/relationships/hyperlink" Target="https://www.itu.int/en/council/Pages/ieg-wtpf-26.aspx" TargetMode="External"/><Relationship Id="rId3" Type="http://schemas.openxmlformats.org/officeDocument/2006/relationships/styles" Target="styles.xml"/><Relationship Id="rId12" Type="http://schemas.openxmlformats.org/officeDocument/2006/relationships/hyperlink" Target="https://www.itu.int/md/S24-CL-C-0136/en" TargetMode="External"/><Relationship Id="rId17" Type="http://schemas.openxmlformats.org/officeDocument/2006/relationships/hyperlink" Target="https://www.itu.int/md/S24-SG-CIR-0044/en" TargetMode="External"/><Relationship Id="rId25" Type="http://schemas.openxmlformats.org/officeDocument/2006/relationships/hyperlink" Target="https://www.itu.int/md/S24-WTPF26IEG1-C-0007/en" TargetMode="External"/><Relationship Id="rId33" Type="http://schemas.openxmlformats.org/officeDocument/2006/relationships/hyperlink" Target="https://www.itu.int/md/S24-WTPF26IEG1-C-0008/en" TargetMode="External"/><Relationship Id="rId38" Type="http://schemas.openxmlformats.org/officeDocument/2006/relationships/hyperlink" Target="https://www.itu.int/md/S25-WTPF26IEG2-C-0009/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7946</Words>
  <Characters>53738</Characters>
  <Application>Microsoft Office Word</Application>
  <DocSecurity>0</DocSecurity>
  <Lines>447</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61561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Informal groups of experts on WTPF-26</dc:subject>
  <dc:creator>LRT</dc:creator>
  <cp:keywords>IEG3-WTPF-26</cp:keywords>
  <dc:description/>
  <cp:lastModifiedBy>GBS</cp:lastModifiedBy>
  <cp:revision>4</cp:revision>
  <dcterms:created xsi:type="dcterms:W3CDTF">2025-09-15T17:53:00Z</dcterms:created>
  <dcterms:modified xsi:type="dcterms:W3CDTF">2025-09-15T18:02:00Z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54ca7a0abae9c1fec765a5763a84b5b1ac93da14b3b346b7f358f225462eaf55</vt:lpwstr>
  </property>
</Properties>
</file>