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2F7FB098" w14:textId="77777777" w:rsidTr="00AD3606">
        <w:trPr>
          <w:cantSplit/>
          <w:trHeight w:val="23"/>
        </w:trPr>
        <w:tc>
          <w:tcPr>
            <w:tcW w:w="3969" w:type="dxa"/>
            <w:vMerge w:val="restart"/>
            <w:tcMar>
              <w:left w:w="0" w:type="dxa"/>
            </w:tcMar>
          </w:tcPr>
          <w:p w14:paraId="4E0211AD"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406CF855" w14:textId="4387E2EE"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proofErr w:type="spellStart"/>
            <w:r w:rsidRPr="00301AEE">
              <w:rPr>
                <w:b/>
                <w:lang w:val="fr-FR"/>
              </w:rPr>
              <w:t>C</w:t>
            </w:r>
            <w:r w:rsidR="00A52C84" w:rsidRPr="00301AEE">
              <w:rPr>
                <w:b/>
                <w:lang w:val="fr-FR"/>
              </w:rPr>
              <w:t>WG-</w:t>
            </w:r>
            <w:r w:rsidR="00131E18">
              <w:rPr>
                <w:b/>
                <w:lang w:val="fr-FR"/>
              </w:rPr>
              <w:t>Internet</w:t>
            </w:r>
            <w:r w:rsidR="00A52C84" w:rsidRPr="00301AEE">
              <w:rPr>
                <w:b/>
                <w:lang w:val="fr-FR"/>
              </w:rPr>
              <w:t>-</w:t>
            </w:r>
            <w:r w:rsidR="00131E18">
              <w:rPr>
                <w:b/>
                <w:lang w:val="fr-FR"/>
              </w:rPr>
              <w:t>21</w:t>
            </w:r>
            <w:proofErr w:type="spellEnd"/>
            <w:r w:rsidR="00D86E6C">
              <w:rPr>
                <w:b/>
                <w:lang w:val="fr-FR"/>
              </w:rPr>
              <w:t>/</w:t>
            </w:r>
            <w:r w:rsidR="00B4343F">
              <w:rPr>
                <w:b/>
                <w:lang w:val="fr-FR"/>
              </w:rPr>
              <w:t>7</w:t>
            </w:r>
          </w:p>
        </w:tc>
      </w:tr>
      <w:tr w:rsidR="00AD3606" w:rsidRPr="00147C54" w14:paraId="78473A43" w14:textId="77777777" w:rsidTr="00AD3606">
        <w:trPr>
          <w:cantSplit/>
        </w:trPr>
        <w:tc>
          <w:tcPr>
            <w:tcW w:w="3969" w:type="dxa"/>
            <w:vMerge/>
          </w:tcPr>
          <w:p w14:paraId="50A67748"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1D3AEA9D" w14:textId="1944EEED" w:rsidR="00AD3606" w:rsidRPr="00147C54" w:rsidRDefault="00B4343F" w:rsidP="00AD3606">
            <w:pPr>
              <w:tabs>
                <w:tab w:val="left" w:pos="851"/>
              </w:tabs>
              <w:spacing w:before="0"/>
              <w:jc w:val="right"/>
              <w:rPr>
                <w:b/>
              </w:rPr>
            </w:pPr>
            <w:r>
              <w:rPr>
                <w:b/>
              </w:rPr>
              <w:t>7 February 2025</w:t>
            </w:r>
          </w:p>
        </w:tc>
      </w:tr>
      <w:tr w:rsidR="00AD3606" w:rsidRPr="00147C54" w14:paraId="77DF5C13" w14:textId="77777777" w:rsidTr="00AD3606">
        <w:trPr>
          <w:cantSplit/>
          <w:trHeight w:val="23"/>
        </w:trPr>
        <w:tc>
          <w:tcPr>
            <w:tcW w:w="3969" w:type="dxa"/>
            <w:vMerge/>
          </w:tcPr>
          <w:p w14:paraId="5F930324"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25EC5E03"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3395BC47" w14:textId="77777777" w:rsidTr="00AD3606">
        <w:trPr>
          <w:cantSplit/>
          <w:trHeight w:val="23"/>
        </w:trPr>
        <w:tc>
          <w:tcPr>
            <w:tcW w:w="3969" w:type="dxa"/>
          </w:tcPr>
          <w:p w14:paraId="4EDC2D94" w14:textId="77777777" w:rsidR="00472BAD" w:rsidRPr="00147C54" w:rsidRDefault="00472BAD" w:rsidP="00AD3606">
            <w:pPr>
              <w:tabs>
                <w:tab w:val="left" w:pos="851"/>
              </w:tabs>
              <w:spacing w:line="240" w:lineRule="atLeast"/>
              <w:rPr>
                <w:b/>
              </w:rPr>
            </w:pPr>
          </w:p>
        </w:tc>
        <w:tc>
          <w:tcPr>
            <w:tcW w:w="5245" w:type="dxa"/>
          </w:tcPr>
          <w:p w14:paraId="6FCD5729" w14:textId="77777777" w:rsidR="00472BAD" w:rsidRPr="00147C54" w:rsidRDefault="00472BAD" w:rsidP="00AD3606">
            <w:pPr>
              <w:tabs>
                <w:tab w:val="left" w:pos="851"/>
              </w:tabs>
              <w:spacing w:before="0" w:line="240" w:lineRule="atLeast"/>
              <w:jc w:val="right"/>
              <w:rPr>
                <w:b/>
              </w:rPr>
            </w:pPr>
          </w:p>
        </w:tc>
      </w:tr>
      <w:tr w:rsidR="00AD3606" w:rsidRPr="00147C54" w14:paraId="3CDABD14" w14:textId="77777777" w:rsidTr="00AD3606">
        <w:trPr>
          <w:cantSplit/>
        </w:trPr>
        <w:tc>
          <w:tcPr>
            <w:tcW w:w="9214" w:type="dxa"/>
            <w:gridSpan w:val="2"/>
            <w:tcMar>
              <w:left w:w="0" w:type="dxa"/>
            </w:tcMar>
          </w:tcPr>
          <w:p w14:paraId="1264B75A" w14:textId="52F12246" w:rsidR="00AD3606" w:rsidRPr="00147C54" w:rsidRDefault="00D67039" w:rsidP="00890157">
            <w:pPr>
              <w:pStyle w:val="Source"/>
              <w:framePr w:hSpace="0" w:wrap="auto" w:vAnchor="margin" w:hAnchor="text" w:xAlign="left" w:yAlign="inline"/>
            </w:pPr>
            <w:bookmarkStart w:id="8" w:name="dsource" w:colFirst="0" w:colLast="0"/>
            <w:bookmarkEnd w:id="7"/>
            <w:r w:rsidRPr="00F9339E">
              <w:t xml:space="preserve">Contribution </w:t>
            </w:r>
            <w:r>
              <w:t>by</w:t>
            </w:r>
            <w:r w:rsidRPr="00F9339E">
              <w:t xml:space="preserve"> </w:t>
            </w:r>
            <w:r w:rsidR="00890157">
              <w:t>Saudi Arabia</w:t>
            </w:r>
            <w:r w:rsidR="00085A53">
              <w:t xml:space="preserve">, </w:t>
            </w:r>
            <w:r w:rsidR="00FA17A2">
              <w:t>South Africa (Republic of)</w:t>
            </w:r>
            <w:r w:rsidR="008E619F">
              <w:t>,</w:t>
            </w:r>
            <w:r w:rsidR="00085A53">
              <w:t xml:space="preserve"> </w:t>
            </w:r>
            <w:r w:rsidR="0025129B" w:rsidRPr="0025129B">
              <w:t xml:space="preserve">Egypt </w:t>
            </w:r>
            <w:r w:rsidR="0025129B">
              <w:br/>
            </w:r>
            <w:r w:rsidR="0025129B" w:rsidRPr="0025129B">
              <w:t>(Arab Republic of)</w:t>
            </w:r>
            <w:r w:rsidR="0025129B">
              <w:t xml:space="preserve">, </w:t>
            </w:r>
            <w:r w:rsidR="008E619F" w:rsidRPr="008E619F">
              <w:t>Kuwait (State of)</w:t>
            </w:r>
            <w:r w:rsidR="008E619F">
              <w:t xml:space="preserve"> </w:t>
            </w:r>
            <w:r w:rsidR="00085A53">
              <w:t xml:space="preserve">and </w:t>
            </w:r>
            <w:r w:rsidR="00085A53" w:rsidRPr="00085A53">
              <w:t>Tunisia</w:t>
            </w:r>
          </w:p>
        </w:tc>
      </w:tr>
      <w:tr w:rsidR="00AD3606" w:rsidRPr="00147C54" w14:paraId="13754A4B" w14:textId="77777777" w:rsidTr="00AD3606">
        <w:trPr>
          <w:cantSplit/>
        </w:trPr>
        <w:tc>
          <w:tcPr>
            <w:tcW w:w="9214" w:type="dxa"/>
            <w:gridSpan w:val="2"/>
            <w:tcMar>
              <w:left w:w="0" w:type="dxa"/>
            </w:tcMar>
          </w:tcPr>
          <w:p w14:paraId="2E9489C0" w14:textId="4CA979C7" w:rsidR="00AD3606" w:rsidRPr="00890157" w:rsidRDefault="00C32FD0" w:rsidP="000D3C51">
            <w:pPr>
              <w:pStyle w:val="Subtitle"/>
              <w:framePr w:hSpace="0" w:wrap="auto" w:xAlign="left" w:yAlign="inline"/>
            </w:pPr>
            <w:bookmarkStart w:id="9" w:name="dtitle1" w:colFirst="0" w:colLast="0"/>
            <w:bookmarkEnd w:id="8"/>
            <w:r w:rsidRPr="008D1D39">
              <w:t>INTERNET PUBLIC POLICY ISSUES ADDRESSED BY THE GLOBAL DIGITAL COMPACT</w:t>
            </w:r>
          </w:p>
        </w:tc>
      </w:tr>
      <w:tr w:rsidR="00AD3606" w:rsidRPr="00147C54" w14:paraId="490414C7" w14:textId="77777777" w:rsidTr="00AD3606">
        <w:trPr>
          <w:cantSplit/>
        </w:trPr>
        <w:tc>
          <w:tcPr>
            <w:tcW w:w="9214" w:type="dxa"/>
            <w:gridSpan w:val="2"/>
            <w:tcBorders>
              <w:top w:val="single" w:sz="4" w:space="0" w:color="auto"/>
              <w:bottom w:val="single" w:sz="4" w:space="0" w:color="auto"/>
            </w:tcBorders>
            <w:tcMar>
              <w:left w:w="0" w:type="dxa"/>
            </w:tcMar>
          </w:tcPr>
          <w:p w14:paraId="15AFD3EC" w14:textId="77777777" w:rsidR="00AD3606" w:rsidRPr="00147C54" w:rsidRDefault="00F16BAB" w:rsidP="00F16BAB">
            <w:pPr>
              <w:spacing w:before="160"/>
              <w:rPr>
                <w:b/>
                <w:bCs/>
                <w:sz w:val="26"/>
                <w:szCs w:val="26"/>
              </w:rPr>
            </w:pPr>
            <w:r w:rsidRPr="00147C54">
              <w:rPr>
                <w:b/>
                <w:bCs/>
                <w:sz w:val="26"/>
                <w:szCs w:val="26"/>
              </w:rPr>
              <w:t>Purpose</w:t>
            </w:r>
          </w:p>
          <w:p w14:paraId="1561D2D0" w14:textId="77777777" w:rsidR="00890157" w:rsidRDefault="00CB5CF6" w:rsidP="00F711B1">
            <w:pPr>
              <w:spacing w:before="160"/>
            </w:pPr>
            <w:r>
              <w:t>Gi</w:t>
            </w:r>
            <w:r w:rsidRPr="00CB5CF6">
              <w:t>ven the Terms of Reference (</w:t>
            </w:r>
            <w:proofErr w:type="spellStart"/>
            <w:r w:rsidRPr="00CB5CF6">
              <w:t>ToR</w:t>
            </w:r>
            <w:proofErr w:type="spellEnd"/>
            <w:r w:rsidRPr="00CB5CF6">
              <w:t xml:space="preserve">) of the CWG-Internet, which mandate discussions on international public policy matters related to the Internet, this document </w:t>
            </w:r>
            <w:r w:rsidR="000604BF">
              <w:t xml:space="preserve">addressing </w:t>
            </w:r>
            <w:r>
              <w:t xml:space="preserve">key international Internet-related public policy issues emerging from the </w:t>
            </w:r>
            <w:r w:rsidRPr="00CB5CF6">
              <w:t>Global Digital Compact (</w:t>
            </w:r>
            <w:proofErr w:type="spellStart"/>
            <w:r w:rsidRPr="00CB5CF6">
              <w:t>GDC</w:t>
            </w:r>
            <w:proofErr w:type="spellEnd"/>
            <w:r w:rsidRPr="00CB5CF6">
              <w:t>),</w:t>
            </w:r>
            <w:r>
              <w:t xml:space="preserve"> </w:t>
            </w:r>
            <w:r w:rsidR="00F711B1">
              <w:t>which could be further discussed in the CWG-Internet</w:t>
            </w:r>
            <w:r>
              <w:t>.</w:t>
            </w:r>
          </w:p>
          <w:p w14:paraId="64E13360" w14:textId="77777777" w:rsidR="00AD3606" w:rsidRPr="00147C54" w:rsidRDefault="00AD3606" w:rsidP="00F16BAB">
            <w:pPr>
              <w:spacing w:before="160"/>
              <w:rPr>
                <w:b/>
                <w:bCs/>
                <w:sz w:val="26"/>
                <w:szCs w:val="26"/>
              </w:rPr>
            </w:pPr>
            <w:r w:rsidRPr="00147C54">
              <w:rPr>
                <w:b/>
                <w:bCs/>
                <w:sz w:val="26"/>
                <w:szCs w:val="26"/>
              </w:rPr>
              <w:t>Action required</w:t>
            </w:r>
          </w:p>
          <w:p w14:paraId="2E7CE476" w14:textId="77777777" w:rsidR="0025570E" w:rsidRPr="004405AB" w:rsidRDefault="00D67039" w:rsidP="00CB5CF6">
            <w:pPr>
              <w:spacing w:before="160"/>
            </w:pPr>
            <w:r w:rsidRPr="00F9339E">
              <w:t xml:space="preserve">The Council Working Group on international Internet-related public policy issues is invited to </w:t>
            </w:r>
            <w:r w:rsidR="00890157" w:rsidRPr="00890157">
              <w:rPr>
                <w:b/>
                <w:bCs/>
              </w:rPr>
              <w:t xml:space="preserve">consider </w:t>
            </w:r>
            <w:r w:rsidRPr="00F9339E">
              <w:t>this document.</w:t>
            </w:r>
          </w:p>
          <w:p w14:paraId="08553CA4" w14:textId="77777777" w:rsidR="00AD3606" w:rsidRPr="00CD3C91" w:rsidRDefault="00AD3606" w:rsidP="00890157">
            <w:pPr>
              <w:rPr>
                <w:i/>
                <w:iCs/>
                <w:sz w:val="22"/>
                <w:szCs w:val="22"/>
              </w:rPr>
            </w:pPr>
          </w:p>
        </w:tc>
      </w:tr>
    </w:tbl>
    <w:p w14:paraId="3C9DEEC9"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1DE5C5B"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5DE4D66A" w14:textId="7A5E3D19" w:rsidR="00B4343F" w:rsidRDefault="00294E37" w:rsidP="00450555">
      <w:pPr>
        <w:pStyle w:val="Heading1"/>
      </w:pPr>
      <w:r w:rsidRPr="00425B35">
        <w:lastRenderedPageBreak/>
        <w:t>1</w:t>
      </w:r>
      <w:r w:rsidRPr="00425B35">
        <w:tab/>
      </w:r>
      <w:r w:rsidR="00CB5CF6" w:rsidRPr="00425B35">
        <w:t>Introduction</w:t>
      </w:r>
    </w:p>
    <w:p w14:paraId="3185D89E" w14:textId="41F1504D" w:rsidR="00CB5CF6" w:rsidRPr="00425B35" w:rsidRDefault="00CB5CF6" w:rsidP="00450555">
      <w:pPr>
        <w:jc w:val="both"/>
      </w:pPr>
      <w:r w:rsidRPr="00425B35">
        <w:t>The Global Digital Compact (</w:t>
      </w:r>
      <w:proofErr w:type="spellStart"/>
      <w:r w:rsidRPr="00425B35">
        <w:t>GDC</w:t>
      </w:r>
      <w:proofErr w:type="spellEnd"/>
      <w:r w:rsidRPr="00425B35">
        <w:t xml:space="preserve">), adopted in September 2024, marks a key milestone in the evolving landscape of. It reflects a collective effort by all stakeholders to address critical challenges in the digital space. In this context, it is essential to highlight the role of the CWG-Internet as a platform for discussing these critical aspects. With the </w:t>
      </w:r>
      <w:proofErr w:type="spellStart"/>
      <w:r w:rsidRPr="00425B35">
        <w:t>GDC</w:t>
      </w:r>
      <w:proofErr w:type="spellEnd"/>
      <w:r w:rsidRPr="00425B35">
        <w:t xml:space="preserve"> outcomes now established and the CWG-Internet’s mandate </w:t>
      </w:r>
      <w:proofErr w:type="spellStart"/>
      <w:r w:rsidRPr="00425B35">
        <w:t>centered</w:t>
      </w:r>
      <w:proofErr w:type="spellEnd"/>
      <w:r w:rsidRPr="00425B35">
        <w:t xml:space="preserve"> on Internet-related public policy issues, ensuring alignment between these global commitments and ongoing discussions is imperative. This contribution underscores </w:t>
      </w:r>
      <w:r w:rsidR="000604BF">
        <w:t>some</w:t>
      </w:r>
      <w:r w:rsidRPr="00425B35">
        <w:t xml:space="preserve"> key issues emerging from the </w:t>
      </w:r>
      <w:proofErr w:type="spellStart"/>
      <w:r w:rsidRPr="00425B35">
        <w:t>GDC</w:t>
      </w:r>
      <w:proofErr w:type="spellEnd"/>
      <w:r w:rsidR="000604BF">
        <w:t>,</w:t>
      </w:r>
      <w:r w:rsidRPr="00425B35">
        <w:t xml:space="preserve"> </w:t>
      </w:r>
      <w:r w:rsidR="000604BF">
        <w:t xml:space="preserve">as demonstrated in the following section, </w:t>
      </w:r>
      <w:r w:rsidRPr="00425B35">
        <w:t>and aims to bring them to the international Internet-related public policy CWG-Internet for in-depth discussion.</w:t>
      </w:r>
    </w:p>
    <w:p w14:paraId="76D3E3D0" w14:textId="0A83B909" w:rsidR="00CB5CF6" w:rsidRPr="00425B35" w:rsidRDefault="00294E37" w:rsidP="00450555">
      <w:pPr>
        <w:pStyle w:val="Heading1"/>
      </w:pPr>
      <w:r w:rsidRPr="00425B35">
        <w:t>2</w:t>
      </w:r>
      <w:r w:rsidRPr="00425B35">
        <w:tab/>
      </w:r>
      <w:r w:rsidR="00CB5CF6" w:rsidRPr="00425B35">
        <w:t>Discussion</w:t>
      </w:r>
    </w:p>
    <w:p w14:paraId="39D7882A" w14:textId="2F090D28" w:rsidR="00CB5CF6" w:rsidRPr="00425B35" w:rsidRDefault="00294E37" w:rsidP="00450555">
      <w:pPr>
        <w:pStyle w:val="enumlev1"/>
        <w:jc w:val="both"/>
      </w:pPr>
      <w:r w:rsidRPr="00425B35">
        <w:rPr>
          <w:rFonts w:ascii="Symbol" w:hAnsi="Symbol"/>
        </w:rPr>
        <w:t></w:t>
      </w:r>
      <w:r w:rsidRPr="00425B35">
        <w:rPr>
          <w:rFonts w:ascii="Symbol" w:hAnsi="Symbol"/>
        </w:rPr>
        <w:tab/>
      </w:r>
      <w:r w:rsidR="00CB5CF6" w:rsidRPr="00425B35">
        <w:rPr>
          <w:rStyle w:val="Strong"/>
          <w:rFonts w:asciiTheme="minorHAnsi" w:hAnsiTheme="minorHAnsi" w:cstheme="minorHAnsi"/>
        </w:rPr>
        <w:t xml:space="preserve">Digital </w:t>
      </w:r>
      <w:r w:rsidR="00F82D68" w:rsidRPr="00425B35">
        <w:rPr>
          <w:rStyle w:val="Strong"/>
          <w:rFonts w:asciiTheme="minorHAnsi" w:hAnsiTheme="minorHAnsi" w:cstheme="minorHAnsi"/>
        </w:rPr>
        <w:t>inclusion and bridging the digital divide</w:t>
      </w:r>
      <w:r w:rsidR="00F82D68" w:rsidRPr="00425B35">
        <w:t xml:space="preserve"> </w:t>
      </w:r>
      <w:r w:rsidR="00CB5CF6" w:rsidRPr="00425B35">
        <w:t xml:space="preserve">– Ensuring universal and equitable access to the Internet remains a fundamental policy priority. The </w:t>
      </w:r>
      <w:proofErr w:type="spellStart"/>
      <w:r w:rsidR="00CB5CF6" w:rsidRPr="00425B35">
        <w:t>GDC</w:t>
      </w:r>
      <w:proofErr w:type="spellEnd"/>
      <w:r w:rsidR="00CB5CF6" w:rsidRPr="00425B35">
        <w:t xml:space="preserve"> emphasizes the need for policies that support affordable and reliable connectivity, to enable inclusive participation in the digital economy and society.</w:t>
      </w:r>
    </w:p>
    <w:p w14:paraId="1C8F98CA" w14:textId="647F16E3" w:rsidR="00CB5CF6" w:rsidRPr="00425B35" w:rsidRDefault="00294E37" w:rsidP="00F82D68">
      <w:pPr>
        <w:pStyle w:val="enumlev1"/>
        <w:jc w:val="both"/>
        <w:rPr>
          <w:rFonts w:asciiTheme="minorHAnsi" w:hAnsiTheme="minorHAnsi" w:cstheme="minorHAnsi"/>
        </w:rPr>
      </w:pPr>
      <w:r w:rsidRPr="00425B35">
        <w:rPr>
          <w:rFonts w:ascii="Symbol" w:hAnsi="Symbol" w:cstheme="minorHAnsi"/>
        </w:rPr>
        <w:t></w:t>
      </w:r>
      <w:r w:rsidRPr="00425B35">
        <w:rPr>
          <w:rFonts w:ascii="Symbol" w:hAnsi="Symbol" w:cstheme="minorHAnsi"/>
        </w:rPr>
        <w:tab/>
      </w:r>
      <w:r w:rsidR="00CB5CF6" w:rsidRPr="00425B35">
        <w:rPr>
          <w:rStyle w:val="Strong"/>
          <w:rFonts w:asciiTheme="minorHAnsi" w:hAnsiTheme="minorHAnsi" w:cstheme="minorHAnsi"/>
        </w:rPr>
        <w:t xml:space="preserve">Cybersecurity and </w:t>
      </w:r>
      <w:r w:rsidR="00F82D68" w:rsidRPr="00425B35">
        <w:rPr>
          <w:rStyle w:val="Strong"/>
          <w:rFonts w:asciiTheme="minorHAnsi" w:hAnsiTheme="minorHAnsi" w:cstheme="minorHAnsi"/>
        </w:rPr>
        <w:t>trust</w:t>
      </w:r>
      <w:r w:rsidR="00F82D68" w:rsidRPr="00425B35">
        <w:rPr>
          <w:rFonts w:asciiTheme="minorHAnsi" w:hAnsiTheme="minorHAnsi" w:cstheme="minorHAnsi"/>
        </w:rPr>
        <w:t xml:space="preserve"> </w:t>
      </w:r>
      <w:r w:rsidR="00CB5CF6" w:rsidRPr="00425B35">
        <w:rPr>
          <w:rFonts w:asciiTheme="minorHAnsi" w:hAnsiTheme="minorHAnsi" w:cstheme="minorHAnsi"/>
        </w:rPr>
        <w:t xml:space="preserve">– Strengthening cybersecurity frameworks is a critical aspect of the </w:t>
      </w:r>
      <w:proofErr w:type="spellStart"/>
      <w:r w:rsidR="00CB5CF6" w:rsidRPr="00425B35">
        <w:rPr>
          <w:rFonts w:asciiTheme="minorHAnsi" w:hAnsiTheme="minorHAnsi" w:cstheme="minorHAnsi"/>
        </w:rPr>
        <w:t>GDC</w:t>
      </w:r>
      <w:proofErr w:type="spellEnd"/>
      <w:r w:rsidR="00CB5CF6" w:rsidRPr="00425B35">
        <w:rPr>
          <w:rFonts w:asciiTheme="minorHAnsi" w:hAnsiTheme="minorHAnsi" w:cstheme="minorHAnsi"/>
        </w:rPr>
        <w:t xml:space="preserve">. It calls for international cooperation to address the increasing complexity of cyber threats, promote best practices in security policies, and enhance global trust in digital systems. Additionally, it highlights the need to counter misinformation and </w:t>
      </w:r>
      <w:r w:rsidR="00CB5CF6" w:rsidRPr="00F82D68">
        <w:t>disinformation</w:t>
      </w:r>
      <w:r w:rsidR="00CB5CF6" w:rsidRPr="00425B35">
        <w:rPr>
          <w:rFonts w:asciiTheme="minorHAnsi" w:hAnsiTheme="minorHAnsi" w:cstheme="minorHAnsi"/>
        </w:rPr>
        <w:t xml:space="preserve"> that undermine public trust in digital spaces.</w:t>
      </w:r>
    </w:p>
    <w:p w14:paraId="4BE53594" w14:textId="0C32A7A8" w:rsidR="00CB5CF6" w:rsidRPr="00425B35" w:rsidRDefault="00294E37" w:rsidP="00F82D68">
      <w:pPr>
        <w:pStyle w:val="enumlev1"/>
        <w:jc w:val="both"/>
        <w:rPr>
          <w:rFonts w:asciiTheme="minorHAnsi" w:hAnsiTheme="minorHAnsi" w:cstheme="minorHAnsi"/>
        </w:rPr>
      </w:pPr>
      <w:r w:rsidRPr="00425B35">
        <w:rPr>
          <w:rFonts w:ascii="Symbol" w:hAnsi="Symbol" w:cstheme="minorHAnsi"/>
        </w:rPr>
        <w:t></w:t>
      </w:r>
      <w:r w:rsidRPr="00425B35">
        <w:rPr>
          <w:rFonts w:ascii="Symbol" w:hAnsi="Symbol" w:cstheme="minorHAnsi"/>
        </w:rPr>
        <w:tab/>
      </w:r>
      <w:r w:rsidR="00CB5CF6" w:rsidRPr="00425B35">
        <w:rPr>
          <w:rStyle w:val="Strong"/>
          <w:rFonts w:asciiTheme="minorHAnsi" w:hAnsiTheme="minorHAnsi" w:cstheme="minorHAnsi"/>
        </w:rPr>
        <w:t xml:space="preserve">Governance of </w:t>
      </w:r>
      <w:r w:rsidR="00F82D68" w:rsidRPr="00425B35">
        <w:rPr>
          <w:rStyle w:val="Strong"/>
          <w:rFonts w:asciiTheme="minorHAnsi" w:hAnsiTheme="minorHAnsi" w:cstheme="minorHAnsi"/>
        </w:rPr>
        <w:t xml:space="preserve">artificial intelligence </w:t>
      </w:r>
      <w:r w:rsidR="00CB5CF6" w:rsidRPr="00425B35">
        <w:rPr>
          <w:rStyle w:val="Strong"/>
          <w:rFonts w:asciiTheme="minorHAnsi" w:hAnsiTheme="minorHAnsi" w:cstheme="minorHAnsi"/>
        </w:rPr>
        <w:t>(AI)</w:t>
      </w:r>
      <w:r w:rsidR="00CB5CF6" w:rsidRPr="00425B35">
        <w:rPr>
          <w:rFonts w:asciiTheme="minorHAnsi" w:hAnsiTheme="minorHAnsi" w:cstheme="minorHAnsi"/>
        </w:rPr>
        <w:t xml:space="preserve"> – The rapid advancement of AI presents significant opportunities and challenges. The </w:t>
      </w:r>
      <w:proofErr w:type="spellStart"/>
      <w:r w:rsidR="00CB5CF6" w:rsidRPr="00425B35">
        <w:rPr>
          <w:rFonts w:asciiTheme="minorHAnsi" w:hAnsiTheme="minorHAnsi" w:cstheme="minorHAnsi"/>
        </w:rPr>
        <w:t>GDC</w:t>
      </w:r>
      <w:proofErr w:type="spellEnd"/>
      <w:r w:rsidR="00CB5CF6" w:rsidRPr="00425B35">
        <w:rPr>
          <w:rFonts w:asciiTheme="minorHAnsi" w:hAnsiTheme="minorHAnsi" w:cstheme="minorHAnsi"/>
        </w:rPr>
        <w:t xml:space="preserve"> advocates for the development of international AI governance frameworks that promote transparency, accountability, and ethical considerations while ensuring interoperability and responsible AI deployment.</w:t>
      </w:r>
    </w:p>
    <w:p w14:paraId="33455173" w14:textId="472BB475" w:rsidR="00CB5CF6" w:rsidRPr="00F47423" w:rsidRDefault="00294E37" w:rsidP="00F82D68">
      <w:pPr>
        <w:pStyle w:val="enumlev1"/>
        <w:jc w:val="both"/>
        <w:rPr>
          <w:rFonts w:asciiTheme="minorHAnsi" w:hAnsiTheme="minorHAnsi" w:cstheme="minorHAnsi"/>
        </w:rPr>
      </w:pPr>
      <w:r w:rsidRPr="00F47423">
        <w:rPr>
          <w:rFonts w:ascii="Symbol" w:hAnsi="Symbol" w:cstheme="minorHAnsi"/>
        </w:rPr>
        <w:t></w:t>
      </w:r>
      <w:r w:rsidRPr="00F47423">
        <w:rPr>
          <w:rFonts w:ascii="Symbol" w:hAnsi="Symbol" w:cstheme="minorHAnsi"/>
        </w:rPr>
        <w:tab/>
      </w:r>
      <w:r w:rsidR="00CB5CF6" w:rsidRPr="00425B35">
        <w:rPr>
          <w:rStyle w:val="Strong"/>
          <w:rFonts w:asciiTheme="minorHAnsi" w:hAnsiTheme="minorHAnsi" w:cstheme="minorHAnsi"/>
        </w:rPr>
        <w:t xml:space="preserve">Equitable and </w:t>
      </w:r>
      <w:r w:rsidR="00F82D68" w:rsidRPr="00425B35">
        <w:rPr>
          <w:rStyle w:val="Strong"/>
          <w:rFonts w:asciiTheme="minorHAnsi" w:hAnsiTheme="minorHAnsi" w:cstheme="minorHAnsi"/>
        </w:rPr>
        <w:t>interoperable data governance</w:t>
      </w:r>
      <w:r w:rsidR="00F82D68" w:rsidRPr="00425B35">
        <w:rPr>
          <w:rFonts w:asciiTheme="minorHAnsi" w:hAnsiTheme="minorHAnsi" w:cstheme="minorHAnsi"/>
        </w:rPr>
        <w:t xml:space="preserve"> </w:t>
      </w:r>
      <w:r w:rsidR="00CB5CF6" w:rsidRPr="00425B35">
        <w:rPr>
          <w:rFonts w:asciiTheme="minorHAnsi" w:hAnsiTheme="minorHAnsi" w:cstheme="minorHAnsi"/>
        </w:rPr>
        <w:t xml:space="preserve">– Data has become a vital asset in the digital economy, and the </w:t>
      </w:r>
      <w:proofErr w:type="spellStart"/>
      <w:r w:rsidR="00CB5CF6" w:rsidRPr="00425B35">
        <w:rPr>
          <w:rFonts w:asciiTheme="minorHAnsi" w:hAnsiTheme="minorHAnsi" w:cstheme="minorHAnsi"/>
        </w:rPr>
        <w:t>GDC</w:t>
      </w:r>
      <w:proofErr w:type="spellEnd"/>
      <w:r w:rsidR="00CB5CF6" w:rsidRPr="00425B35">
        <w:rPr>
          <w:rFonts w:asciiTheme="minorHAnsi" w:hAnsiTheme="minorHAnsi" w:cstheme="minorHAnsi"/>
        </w:rPr>
        <w:t xml:space="preserve"> stresses the importance of secure and responsible data governance. </w:t>
      </w:r>
      <w:r w:rsidR="00CB5CF6" w:rsidRPr="00F82D68">
        <w:t>It</w:t>
      </w:r>
      <w:r w:rsidR="00CB5CF6" w:rsidRPr="00425B35">
        <w:rPr>
          <w:rFonts w:asciiTheme="minorHAnsi" w:hAnsiTheme="minorHAnsi" w:cstheme="minorHAnsi"/>
        </w:rPr>
        <w:t xml:space="preserve"> calls for frameworks that enable cross-border data flow</w:t>
      </w:r>
      <w:r w:rsidR="0052595F">
        <w:rPr>
          <w:rFonts w:asciiTheme="minorHAnsi" w:hAnsiTheme="minorHAnsi" w:cstheme="minorHAnsi"/>
        </w:rPr>
        <w:t>s with trust, safeguard privacy</w:t>
      </w:r>
      <w:r w:rsidR="00CB5CF6" w:rsidRPr="00425B35">
        <w:rPr>
          <w:rFonts w:asciiTheme="minorHAnsi" w:hAnsiTheme="minorHAnsi" w:cstheme="minorHAnsi"/>
        </w:rPr>
        <w:t>.</w:t>
      </w:r>
    </w:p>
    <w:p w14:paraId="055264B9" w14:textId="4D3522C5" w:rsidR="00CB5CF6" w:rsidRPr="00425B35" w:rsidRDefault="00294E37" w:rsidP="00450555">
      <w:pPr>
        <w:pStyle w:val="Heading1"/>
      </w:pPr>
      <w:r w:rsidRPr="00425B35">
        <w:t>3</w:t>
      </w:r>
      <w:r w:rsidRPr="00425B35">
        <w:tab/>
      </w:r>
      <w:r w:rsidR="00CB5CF6" w:rsidRPr="00425B35">
        <w:t>Proposal</w:t>
      </w:r>
    </w:p>
    <w:p w14:paraId="44EECCAC" w14:textId="77777777" w:rsidR="00CB5CF6" w:rsidRDefault="00CB5CF6" w:rsidP="00CB5CF6">
      <w:pPr>
        <w:jc w:val="both"/>
        <w:rPr>
          <w:rFonts w:cstheme="minorHAnsi"/>
          <w:szCs w:val="24"/>
        </w:rPr>
      </w:pPr>
      <w:r w:rsidRPr="00425B35">
        <w:rPr>
          <w:rFonts w:cstheme="minorHAnsi"/>
          <w:szCs w:val="24"/>
        </w:rPr>
        <w:t xml:space="preserve">Given the Terms of Reference of CWG-Internet, which focus on international Internet-related public policy </w:t>
      </w:r>
      <w:r w:rsidRPr="00450555">
        <w:t>issues</w:t>
      </w:r>
      <w:r w:rsidRPr="00425B35">
        <w:rPr>
          <w:rFonts w:cstheme="minorHAnsi"/>
          <w:szCs w:val="24"/>
        </w:rPr>
        <w:t xml:space="preserve">, continued dialogue and engagement on these topics within the CWG-Internet can contribute to policy discussions at the international level. By fostering discussions on these key issues, </w:t>
      </w:r>
      <w:r>
        <w:rPr>
          <w:rFonts w:cstheme="minorHAnsi"/>
          <w:szCs w:val="24"/>
        </w:rPr>
        <w:t>the membership of ITU</w:t>
      </w:r>
      <w:r w:rsidRPr="00425B35">
        <w:rPr>
          <w:rFonts w:cstheme="minorHAnsi"/>
          <w:szCs w:val="24"/>
        </w:rPr>
        <w:t xml:space="preserve"> can support the ongoing evolution of digital governance frameworks, promote international cooperation, and facilitate the exchange of best practices to support a more inclusive, secure, and sustainable digital future.</w:t>
      </w:r>
    </w:p>
    <w:p w14:paraId="5D507AA0" w14:textId="77777777" w:rsidR="00B4343F" w:rsidRDefault="00B4343F" w:rsidP="00CB5CF6">
      <w:pPr>
        <w:jc w:val="both"/>
        <w:rPr>
          <w:rFonts w:cstheme="minorHAnsi"/>
          <w:szCs w:val="24"/>
        </w:rPr>
      </w:pPr>
    </w:p>
    <w:p w14:paraId="333B4186" w14:textId="77777777" w:rsidR="00B4343F" w:rsidRDefault="00B4343F">
      <w:pPr>
        <w:jc w:val="center"/>
      </w:pPr>
      <w:r>
        <w:t>______________</w:t>
      </w:r>
    </w:p>
    <w:sectPr w:rsidR="00B4343F"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DD032" w14:textId="77777777" w:rsidR="006A4D39" w:rsidRDefault="006A4D39">
      <w:r>
        <w:separator/>
      </w:r>
    </w:p>
  </w:endnote>
  <w:endnote w:type="continuationSeparator" w:id="0">
    <w:p w14:paraId="4AD7BEAC" w14:textId="77777777" w:rsidR="006A4D39" w:rsidRDefault="006A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charset w:val="00"/>
    <w:family w:val="swiss"/>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0526E03D" w14:textId="77777777" w:rsidTr="0042469C">
      <w:trPr>
        <w:jc w:val="center"/>
      </w:trPr>
      <w:tc>
        <w:tcPr>
          <w:tcW w:w="1803" w:type="dxa"/>
          <w:vAlign w:val="center"/>
        </w:tcPr>
        <w:p w14:paraId="7F7D5BFA" w14:textId="77777777" w:rsidR="00EE49E8" w:rsidRDefault="00EE49E8" w:rsidP="00EE49E8">
          <w:pPr>
            <w:pStyle w:val="Header"/>
            <w:jc w:val="left"/>
            <w:rPr>
              <w:noProof/>
            </w:rPr>
          </w:pPr>
        </w:p>
      </w:tc>
      <w:tc>
        <w:tcPr>
          <w:tcW w:w="8261" w:type="dxa"/>
        </w:tcPr>
        <w:p w14:paraId="073E8953" w14:textId="4549F5BB" w:rsidR="00EE49E8" w:rsidRPr="00877BF2" w:rsidRDefault="00EE49E8" w:rsidP="000041A9">
          <w:pPr>
            <w:pStyle w:val="Header"/>
            <w:tabs>
              <w:tab w:val="left" w:pos="6025"/>
              <w:tab w:val="right" w:pos="8505"/>
              <w:tab w:val="right" w:pos="9639"/>
            </w:tabs>
            <w:jc w:val="left"/>
            <w:rPr>
              <w:rFonts w:ascii="Arial" w:hAnsi="Arial" w:cs="Arial"/>
              <w:b/>
              <w:bCs/>
              <w:szCs w:val="18"/>
              <w:lang w:val="es-ES"/>
            </w:rPr>
          </w:pPr>
          <w:r w:rsidRPr="005C13D4">
            <w:rPr>
              <w:bCs/>
              <w:lang w:val="fr-CH"/>
            </w:rPr>
            <w:tab/>
          </w:r>
          <w:r w:rsidR="00A52C84" w:rsidRPr="00877BF2">
            <w:rPr>
              <w:bCs/>
              <w:lang w:val="es-ES"/>
            </w:rPr>
            <w:t>CWG-</w:t>
          </w:r>
          <w:r w:rsidR="00131E18">
            <w:rPr>
              <w:bCs/>
              <w:lang w:val="es-ES"/>
            </w:rPr>
            <w:t>Internet</w:t>
          </w:r>
          <w:r w:rsidR="00131E18" w:rsidRPr="000F6AB8">
            <w:rPr>
              <w:bCs/>
              <w:lang w:val="es-ES"/>
            </w:rPr>
            <w:t>-2</w:t>
          </w:r>
          <w:r w:rsidR="00131E18">
            <w:rPr>
              <w:bCs/>
              <w:lang w:val="es-ES"/>
            </w:rPr>
            <w:t>1</w:t>
          </w:r>
          <w:r w:rsidR="00131E18" w:rsidRPr="000F6AB8">
            <w:rPr>
              <w:bCs/>
              <w:lang w:val="es-ES"/>
            </w:rPr>
            <w:t>/</w:t>
          </w:r>
          <w:r w:rsidR="00B4343F">
            <w:rPr>
              <w:bCs/>
              <w:lang w:val="es-ES"/>
            </w:rPr>
            <w:t>7</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00FA17A2">
            <w:rPr>
              <w:noProof/>
            </w:rPr>
            <w:t>2</w:t>
          </w:r>
          <w:r>
            <w:rPr>
              <w:noProof/>
            </w:rPr>
            <w:fldChar w:fldCharType="end"/>
          </w:r>
        </w:p>
      </w:tc>
    </w:tr>
  </w:tbl>
  <w:p w14:paraId="3F7548A5"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04E381E1" w14:textId="77777777" w:rsidTr="00A52C84">
      <w:trPr>
        <w:jc w:val="center"/>
      </w:trPr>
      <w:tc>
        <w:tcPr>
          <w:tcW w:w="3107" w:type="dxa"/>
          <w:vAlign w:val="center"/>
        </w:tcPr>
        <w:p w14:paraId="788A972E" w14:textId="77777777" w:rsidR="00EE49E8" w:rsidRPr="007D5C30" w:rsidRDefault="0025570E" w:rsidP="00EE49E8">
          <w:pPr>
            <w:pStyle w:val="Header"/>
            <w:jc w:val="left"/>
            <w:rPr>
              <w:noProof/>
            </w:rPr>
          </w:pPr>
          <w:hyperlink r:id="rId1" w:history="1">
            <w:r w:rsidRPr="007D5C30">
              <w:rPr>
                <w:rStyle w:val="Hyperlink"/>
                <w:u w:val="none"/>
              </w:rPr>
              <w:t>https://council.itu.int/working-groups</w:t>
            </w:r>
          </w:hyperlink>
        </w:p>
      </w:tc>
      <w:tc>
        <w:tcPr>
          <w:tcW w:w="6957" w:type="dxa"/>
        </w:tcPr>
        <w:p w14:paraId="77D6C228" w14:textId="317419A7" w:rsidR="00EE49E8" w:rsidRPr="000F6AB8" w:rsidRDefault="00EE49E8" w:rsidP="000041A9">
          <w:pPr>
            <w:pStyle w:val="Header"/>
            <w:tabs>
              <w:tab w:val="left" w:pos="4724"/>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131E18">
            <w:rPr>
              <w:bCs/>
              <w:lang w:val="es-ES"/>
            </w:rPr>
            <w:t>Internet</w:t>
          </w:r>
          <w:r w:rsidR="00A52C84" w:rsidRPr="000F6AB8">
            <w:rPr>
              <w:bCs/>
              <w:lang w:val="es-ES"/>
            </w:rPr>
            <w:t>-</w:t>
          </w:r>
          <w:r w:rsidR="0025570E" w:rsidRPr="000F6AB8">
            <w:rPr>
              <w:bCs/>
              <w:lang w:val="es-ES"/>
            </w:rPr>
            <w:t>2</w:t>
          </w:r>
          <w:r w:rsidR="006A4862">
            <w:rPr>
              <w:bCs/>
              <w:lang w:val="es-ES"/>
            </w:rPr>
            <w:t>1</w:t>
          </w:r>
          <w:r w:rsidRPr="000F6AB8">
            <w:rPr>
              <w:bCs/>
              <w:lang w:val="es-ES"/>
            </w:rPr>
            <w:t>/</w:t>
          </w:r>
          <w:r w:rsidR="00B4343F">
            <w:rPr>
              <w:bCs/>
              <w:lang w:val="es-ES"/>
            </w:rPr>
            <w:t>7</w:t>
          </w:r>
          <w:r w:rsidRPr="000F6AB8">
            <w:rPr>
              <w:bCs/>
              <w:lang w:val="es-ES"/>
            </w:rPr>
            <w:t>-E</w:t>
          </w:r>
          <w:r w:rsidRPr="000F6AB8">
            <w:rPr>
              <w:bCs/>
              <w:lang w:val="es-ES"/>
            </w:rPr>
            <w:tab/>
          </w:r>
          <w:r>
            <w:fldChar w:fldCharType="begin"/>
          </w:r>
          <w:r w:rsidRPr="000F6AB8">
            <w:rPr>
              <w:lang w:val="es-ES"/>
            </w:rPr>
            <w:instrText>PAGE</w:instrText>
          </w:r>
          <w:r>
            <w:fldChar w:fldCharType="separate"/>
          </w:r>
          <w:r w:rsidR="00FA17A2">
            <w:rPr>
              <w:noProof/>
            </w:rPr>
            <w:t>1</w:t>
          </w:r>
          <w:r>
            <w:rPr>
              <w:noProof/>
            </w:rPr>
            <w:fldChar w:fldCharType="end"/>
          </w:r>
        </w:p>
      </w:tc>
    </w:tr>
  </w:tbl>
  <w:p w14:paraId="26FA4645"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ED776" w14:textId="77777777" w:rsidR="006A4D39" w:rsidRDefault="006A4D39">
      <w:r>
        <w:t>____________________</w:t>
      </w:r>
    </w:p>
  </w:footnote>
  <w:footnote w:type="continuationSeparator" w:id="0">
    <w:p w14:paraId="29C0AC0C" w14:textId="77777777" w:rsidR="006A4D39" w:rsidRDefault="006A4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0A8F4A3B" w14:textId="77777777" w:rsidTr="00F74694">
      <w:trPr>
        <w:trHeight w:val="1304"/>
        <w:jc w:val="center"/>
      </w:trPr>
      <w:tc>
        <w:tcPr>
          <w:tcW w:w="6546" w:type="dxa"/>
        </w:tcPr>
        <w:bookmarkStart w:id="11" w:name="_Hlk133422111"/>
        <w:p w14:paraId="2CFD7809" w14:textId="77777777" w:rsidR="00AD3606" w:rsidRPr="009621F8" w:rsidRDefault="007D5C30" w:rsidP="00130599">
          <w:pPr>
            <w:pStyle w:val="Header"/>
            <w:jc w:val="left"/>
            <w:rPr>
              <w:rFonts w:ascii="Arial" w:hAnsi="Arial" w:cs="Arial"/>
              <w:b/>
              <w:bCs/>
              <w:color w:val="009CD6"/>
              <w:sz w:val="36"/>
              <w:szCs w:val="36"/>
            </w:rPr>
          </w:pPr>
          <w:r w:rsidRPr="00130599">
            <w:rPr>
              <w:rFonts w:ascii="Arial" w:hAnsi="Arial" w:cs="Arial"/>
              <w:b/>
              <w:bCs/>
              <w:noProof/>
              <w:color w:val="009CD6"/>
              <w:szCs w:val="18"/>
              <w:lang w:val="en-US"/>
            </w:rPr>
            <mc:AlternateContent>
              <mc:Choice Requires="wps">
                <w:drawing>
                  <wp:anchor distT="0" distB="0" distL="114300" distR="114300" simplePos="0" relativeHeight="251662336" behindDoc="0" locked="0" layoutInCell="1" allowOverlap="1" wp14:anchorId="65107767" wp14:editId="43C18528">
                    <wp:simplePos x="0" y="0"/>
                    <wp:positionH relativeFrom="column">
                      <wp:posOffset>1431234</wp:posOffset>
                    </wp:positionH>
                    <wp:positionV relativeFrom="paragraph">
                      <wp:posOffset>5080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E916AE0" w14:textId="77777777" w:rsidR="00130599" w:rsidRDefault="00877BF2" w:rsidP="000120E4">
                                <w:pPr>
                                  <w:spacing w:before="0"/>
                                </w:pP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Twenty-first</w:t>
                                </w:r>
                                <w:r w:rsidRPr="00F13DC6">
                                  <w:rPr>
                                    <w:sz w:val="20"/>
                                  </w:rPr>
                                  <w:t xml:space="preserve"> meeting </w:t>
                                </w:r>
                                <w:r>
                                  <w:rPr>
                                    <w:sz w:val="20"/>
                                  </w:rPr>
                                  <w:t>–</w:t>
                                </w:r>
                                <w:r w:rsidRPr="00F13DC6">
                                  <w:rPr>
                                    <w:sz w:val="20"/>
                                  </w:rPr>
                                  <w:t xml:space="preserve"> </w:t>
                                </w:r>
                                <w:r>
                                  <w:rPr>
                                    <w:sz w:val="20"/>
                                  </w:rPr>
                                  <w:t>From 19 to 20 (a.m</w:t>
                                </w:r>
                                <w:r w:rsidR="007849D5">
                                  <w:rPr>
                                    <w:sz w:val="20"/>
                                  </w:rPr>
                                  <w:t>.</w:t>
                                </w:r>
                                <w:r>
                                  <w:rPr>
                                    <w:sz w:val="20"/>
                                  </w:rPr>
                                  <w:t>) February</w:t>
                                </w:r>
                                <w:r w:rsidRPr="00F13DC6">
                                  <w:rPr>
                                    <w:sz w:val="20"/>
                                  </w:rPr>
                                  <w:t xml:space="preserve"> 202</w:t>
                                </w:r>
                                <w:r>
                                  <w:rPr>
                                    <w:sz w:val="20"/>
                                  </w:rPr>
                                  <w:t>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5107767" id="_x0000_t202" coordsize="21600,21600" o:spt="202" path="m,l,21600r21600,l21600,xe">
                    <v:stroke joinstyle="miter"/>
                    <v:path gradientshapeok="t" o:connecttype="rect"/>
                  </v:shapetype>
                  <v:shape id="Text Box 2" o:spid="_x0000_s1026" type="#_x0000_t202" style="position:absolute;margin-left:112.7pt;margin-top:.4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" fillcolor="white [3212]" stroked="f">
                    <v:textbox style="mso-fit-shape-to-text:t" inset="1mm">
                      <w:txbxContent>
                        <w:p w14:paraId="2E916AE0" w14:textId="77777777" w:rsidR="00130599" w:rsidRDefault="00877BF2" w:rsidP="000120E4">
                          <w:pPr>
                            <w:spacing w:before="0"/>
                          </w:pP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Twenty-first</w:t>
                          </w:r>
                          <w:r w:rsidRPr="00F13DC6">
                            <w:rPr>
                              <w:sz w:val="20"/>
                            </w:rPr>
                            <w:t xml:space="preserve"> meeting </w:t>
                          </w:r>
                          <w:r>
                            <w:rPr>
                              <w:sz w:val="20"/>
                            </w:rPr>
                            <w:t>–</w:t>
                          </w:r>
                          <w:r w:rsidRPr="00F13DC6">
                            <w:rPr>
                              <w:sz w:val="20"/>
                            </w:rPr>
                            <w:t xml:space="preserve"> </w:t>
                          </w:r>
                          <w:r>
                            <w:rPr>
                              <w:sz w:val="20"/>
                            </w:rPr>
                            <w:t>From 19 to 20 (a.m</w:t>
                          </w:r>
                          <w:r w:rsidR="007849D5">
                            <w:rPr>
                              <w:sz w:val="20"/>
                            </w:rPr>
                            <w:t>.</w:t>
                          </w:r>
                          <w:r>
                            <w:rPr>
                              <w:sz w:val="20"/>
                            </w:rPr>
                            <w:t>) February</w:t>
                          </w:r>
                          <w:r w:rsidRPr="00F13DC6">
                            <w:rPr>
                              <w:sz w:val="20"/>
                            </w:rPr>
                            <w:t xml:space="preserve"> 202</w:t>
                          </w:r>
                          <w:r>
                            <w:rPr>
                              <w:sz w:val="20"/>
                            </w:rPr>
                            <w:t>5</w:t>
                          </w:r>
                        </w:p>
                      </w:txbxContent>
                    </v:textbox>
                  </v:shape>
                </w:pict>
              </mc:Fallback>
            </mc:AlternateContent>
          </w:r>
          <w:r>
            <w:rPr>
              <w:rFonts w:ascii="Arial" w:hAnsi="Arial" w:cs="Arial"/>
              <w:b/>
              <w:bCs/>
              <w:noProof/>
              <w:color w:val="009CD6"/>
              <w:sz w:val="36"/>
              <w:szCs w:val="36"/>
              <w:lang w:val="en-US"/>
            </w:rPr>
            <w:drawing>
              <wp:inline distT="0" distB="0" distL="0" distR="0" wp14:anchorId="721E2818" wp14:editId="09F5156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12F2C7D1" w14:textId="77777777" w:rsidR="00AD3606" w:rsidRDefault="00AD3606" w:rsidP="00AD3606">
          <w:pPr>
            <w:pStyle w:val="Header"/>
            <w:jc w:val="right"/>
            <w:rPr>
              <w:rFonts w:ascii="Arial" w:hAnsi="Arial" w:cs="Arial"/>
              <w:b/>
              <w:bCs/>
              <w:color w:val="009CD6"/>
              <w:szCs w:val="18"/>
            </w:rPr>
          </w:pPr>
        </w:p>
        <w:p w14:paraId="06E8488A" w14:textId="77777777" w:rsidR="00AD3606" w:rsidRDefault="00AD3606" w:rsidP="00AD3606">
          <w:pPr>
            <w:pStyle w:val="Header"/>
            <w:jc w:val="right"/>
            <w:rPr>
              <w:rFonts w:ascii="Arial" w:hAnsi="Arial" w:cs="Arial"/>
              <w:b/>
              <w:bCs/>
              <w:color w:val="009CD6"/>
              <w:szCs w:val="18"/>
            </w:rPr>
          </w:pPr>
        </w:p>
        <w:p w14:paraId="18337EAC"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61F6053" w14:textId="77777777" w:rsidR="00AD3606" w:rsidRDefault="00DB00D5">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1A422366" wp14:editId="7654CEE0">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7B17B"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2C237FF"/>
    <w:multiLevelType w:val="multilevel"/>
    <w:tmpl w:val="CB842A6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458543A8"/>
    <w:multiLevelType w:val="hybridMultilevel"/>
    <w:tmpl w:val="6A886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39A4DEF"/>
    <w:multiLevelType w:val="multilevel"/>
    <w:tmpl w:val="C2F4B454"/>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854134"/>
    <w:multiLevelType w:val="multilevel"/>
    <w:tmpl w:val="412A4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757980">
    <w:abstractNumId w:val="0"/>
  </w:num>
  <w:num w:numId="2" w16cid:durableId="13647899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8140886">
    <w:abstractNumId w:val="1"/>
  </w:num>
  <w:num w:numId="4" w16cid:durableId="1924415695">
    <w:abstractNumId w:val="3"/>
  </w:num>
  <w:num w:numId="5" w16cid:durableId="491024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57"/>
    <w:rsid w:val="000041A9"/>
    <w:rsid w:val="00004C8C"/>
    <w:rsid w:val="000120E4"/>
    <w:rsid w:val="000210D4"/>
    <w:rsid w:val="000604BF"/>
    <w:rsid w:val="00063016"/>
    <w:rsid w:val="00066795"/>
    <w:rsid w:val="00073C15"/>
    <w:rsid w:val="00076AF6"/>
    <w:rsid w:val="00085A53"/>
    <w:rsid w:val="00085CF2"/>
    <w:rsid w:val="000B1705"/>
    <w:rsid w:val="000D3C51"/>
    <w:rsid w:val="000D75B2"/>
    <w:rsid w:val="000E71B3"/>
    <w:rsid w:val="000F6AB8"/>
    <w:rsid w:val="001121F5"/>
    <w:rsid w:val="00130599"/>
    <w:rsid w:val="00131E18"/>
    <w:rsid w:val="001400DC"/>
    <w:rsid w:val="00140CE1"/>
    <w:rsid w:val="00147C54"/>
    <w:rsid w:val="00164F90"/>
    <w:rsid w:val="0017539C"/>
    <w:rsid w:val="00175AC2"/>
    <w:rsid w:val="0017609F"/>
    <w:rsid w:val="001A7D1D"/>
    <w:rsid w:val="001B51DD"/>
    <w:rsid w:val="001C628E"/>
    <w:rsid w:val="001E0F7B"/>
    <w:rsid w:val="001E0FBE"/>
    <w:rsid w:val="001E5FE7"/>
    <w:rsid w:val="002119FD"/>
    <w:rsid w:val="002130E0"/>
    <w:rsid w:val="002240EE"/>
    <w:rsid w:val="00244F7F"/>
    <w:rsid w:val="0025129B"/>
    <w:rsid w:val="0025570E"/>
    <w:rsid w:val="002608B7"/>
    <w:rsid w:val="00264425"/>
    <w:rsid w:val="00265875"/>
    <w:rsid w:val="0027303B"/>
    <w:rsid w:val="0028109B"/>
    <w:rsid w:val="00294E37"/>
    <w:rsid w:val="002A2188"/>
    <w:rsid w:val="002B1F58"/>
    <w:rsid w:val="002C1C7A"/>
    <w:rsid w:val="002C54E2"/>
    <w:rsid w:val="002E0AC3"/>
    <w:rsid w:val="002E7804"/>
    <w:rsid w:val="0030160F"/>
    <w:rsid w:val="00301AEE"/>
    <w:rsid w:val="003145DF"/>
    <w:rsid w:val="00320223"/>
    <w:rsid w:val="00322D0D"/>
    <w:rsid w:val="00330828"/>
    <w:rsid w:val="00361465"/>
    <w:rsid w:val="003877F5"/>
    <w:rsid w:val="003942D4"/>
    <w:rsid w:val="0039514F"/>
    <w:rsid w:val="003958A8"/>
    <w:rsid w:val="003B29C2"/>
    <w:rsid w:val="003C20CA"/>
    <w:rsid w:val="003C2533"/>
    <w:rsid w:val="003D5A7F"/>
    <w:rsid w:val="003D635C"/>
    <w:rsid w:val="004016E2"/>
    <w:rsid w:val="0040435A"/>
    <w:rsid w:val="00416A24"/>
    <w:rsid w:val="0042059E"/>
    <w:rsid w:val="00431D9E"/>
    <w:rsid w:val="00433CE8"/>
    <w:rsid w:val="00434A5C"/>
    <w:rsid w:val="00450555"/>
    <w:rsid w:val="004544D9"/>
    <w:rsid w:val="00472BAD"/>
    <w:rsid w:val="00484009"/>
    <w:rsid w:val="00490079"/>
    <w:rsid w:val="00490E72"/>
    <w:rsid w:val="00491157"/>
    <w:rsid w:val="00491BA9"/>
    <w:rsid w:val="004921C8"/>
    <w:rsid w:val="00495B0B"/>
    <w:rsid w:val="004A1B8B"/>
    <w:rsid w:val="004D1851"/>
    <w:rsid w:val="004D599D"/>
    <w:rsid w:val="004E2EA5"/>
    <w:rsid w:val="004E3AEB"/>
    <w:rsid w:val="0050223C"/>
    <w:rsid w:val="00516677"/>
    <w:rsid w:val="005243FF"/>
    <w:rsid w:val="0052595F"/>
    <w:rsid w:val="005311D6"/>
    <w:rsid w:val="0053624B"/>
    <w:rsid w:val="00536422"/>
    <w:rsid w:val="00564FBC"/>
    <w:rsid w:val="005800BC"/>
    <w:rsid w:val="00582442"/>
    <w:rsid w:val="005A335D"/>
    <w:rsid w:val="005C13D4"/>
    <w:rsid w:val="005E2BD5"/>
    <w:rsid w:val="005F3269"/>
    <w:rsid w:val="00615961"/>
    <w:rsid w:val="00623AE3"/>
    <w:rsid w:val="006261F4"/>
    <w:rsid w:val="0064737F"/>
    <w:rsid w:val="006535F1"/>
    <w:rsid w:val="0065557D"/>
    <w:rsid w:val="00660D50"/>
    <w:rsid w:val="00662984"/>
    <w:rsid w:val="006716BB"/>
    <w:rsid w:val="006973C8"/>
    <w:rsid w:val="006A4862"/>
    <w:rsid w:val="006A4D39"/>
    <w:rsid w:val="006B1859"/>
    <w:rsid w:val="006B6680"/>
    <w:rsid w:val="006B6DCC"/>
    <w:rsid w:val="00702DEF"/>
    <w:rsid w:val="00706861"/>
    <w:rsid w:val="00726B8C"/>
    <w:rsid w:val="0075051B"/>
    <w:rsid w:val="00775655"/>
    <w:rsid w:val="007849D5"/>
    <w:rsid w:val="00793188"/>
    <w:rsid w:val="00794D34"/>
    <w:rsid w:val="007D5C30"/>
    <w:rsid w:val="00806E3C"/>
    <w:rsid w:val="00813E5E"/>
    <w:rsid w:val="00816C2C"/>
    <w:rsid w:val="0083581B"/>
    <w:rsid w:val="00860EED"/>
    <w:rsid w:val="00863874"/>
    <w:rsid w:val="00864AFF"/>
    <w:rsid w:val="00865925"/>
    <w:rsid w:val="00877BF2"/>
    <w:rsid w:val="00890157"/>
    <w:rsid w:val="00891503"/>
    <w:rsid w:val="008A2F06"/>
    <w:rsid w:val="008B4A6A"/>
    <w:rsid w:val="008C7E27"/>
    <w:rsid w:val="008D1D39"/>
    <w:rsid w:val="008E619F"/>
    <w:rsid w:val="008F3822"/>
    <w:rsid w:val="008F7448"/>
    <w:rsid w:val="0090147A"/>
    <w:rsid w:val="0090389B"/>
    <w:rsid w:val="0091112E"/>
    <w:rsid w:val="009173EF"/>
    <w:rsid w:val="00932906"/>
    <w:rsid w:val="00961860"/>
    <w:rsid w:val="00961B0B"/>
    <w:rsid w:val="00962D33"/>
    <w:rsid w:val="00972F9B"/>
    <w:rsid w:val="009B38C3"/>
    <w:rsid w:val="009E17BD"/>
    <w:rsid w:val="009E485A"/>
    <w:rsid w:val="00A04CEC"/>
    <w:rsid w:val="00A10189"/>
    <w:rsid w:val="00A27F92"/>
    <w:rsid w:val="00A32257"/>
    <w:rsid w:val="00A34B16"/>
    <w:rsid w:val="00A36D20"/>
    <w:rsid w:val="00A41845"/>
    <w:rsid w:val="00A43C03"/>
    <w:rsid w:val="00A46CD0"/>
    <w:rsid w:val="00A514A4"/>
    <w:rsid w:val="00A52C84"/>
    <w:rsid w:val="00A55622"/>
    <w:rsid w:val="00A83502"/>
    <w:rsid w:val="00AD15B3"/>
    <w:rsid w:val="00AD3606"/>
    <w:rsid w:val="00AD4A3D"/>
    <w:rsid w:val="00AF6E49"/>
    <w:rsid w:val="00B04A67"/>
    <w:rsid w:val="00B0583C"/>
    <w:rsid w:val="00B248BC"/>
    <w:rsid w:val="00B358B2"/>
    <w:rsid w:val="00B40A81"/>
    <w:rsid w:val="00B4343F"/>
    <w:rsid w:val="00B44910"/>
    <w:rsid w:val="00B72267"/>
    <w:rsid w:val="00B73DD1"/>
    <w:rsid w:val="00B76EB6"/>
    <w:rsid w:val="00B7737B"/>
    <w:rsid w:val="00B824C8"/>
    <w:rsid w:val="00B849D3"/>
    <w:rsid w:val="00B84B9D"/>
    <w:rsid w:val="00BA3A51"/>
    <w:rsid w:val="00BC251A"/>
    <w:rsid w:val="00BD032B"/>
    <w:rsid w:val="00BD0614"/>
    <w:rsid w:val="00BD094B"/>
    <w:rsid w:val="00BE2640"/>
    <w:rsid w:val="00BF61E7"/>
    <w:rsid w:val="00C01189"/>
    <w:rsid w:val="00C32FD0"/>
    <w:rsid w:val="00C374DE"/>
    <w:rsid w:val="00C47AD4"/>
    <w:rsid w:val="00C52D81"/>
    <w:rsid w:val="00C55198"/>
    <w:rsid w:val="00C725C6"/>
    <w:rsid w:val="00C922C7"/>
    <w:rsid w:val="00CA6393"/>
    <w:rsid w:val="00CB18FF"/>
    <w:rsid w:val="00CB24AA"/>
    <w:rsid w:val="00CB5CF6"/>
    <w:rsid w:val="00CD0C08"/>
    <w:rsid w:val="00CD3C91"/>
    <w:rsid w:val="00CE03FB"/>
    <w:rsid w:val="00CE433C"/>
    <w:rsid w:val="00CF0161"/>
    <w:rsid w:val="00CF33F3"/>
    <w:rsid w:val="00D06183"/>
    <w:rsid w:val="00D22C42"/>
    <w:rsid w:val="00D45669"/>
    <w:rsid w:val="00D464CC"/>
    <w:rsid w:val="00D522F6"/>
    <w:rsid w:val="00D65041"/>
    <w:rsid w:val="00D67039"/>
    <w:rsid w:val="00D86E6C"/>
    <w:rsid w:val="00DB00D5"/>
    <w:rsid w:val="00DB1936"/>
    <w:rsid w:val="00DB384B"/>
    <w:rsid w:val="00DF0189"/>
    <w:rsid w:val="00DF7271"/>
    <w:rsid w:val="00E06FD5"/>
    <w:rsid w:val="00E10E80"/>
    <w:rsid w:val="00E124F0"/>
    <w:rsid w:val="00E227F3"/>
    <w:rsid w:val="00E27881"/>
    <w:rsid w:val="00E4728B"/>
    <w:rsid w:val="00E545C6"/>
    <w:rsid w:val="00E60F04"/>
    <w:rsid w:val="00E63EFF"/>
    <w:rsid w:val="00E65B24"/>
    <w:rsid w:val="00E854E4"/>
    <w:rsid w:val="00E86DBF"/>
    <w:rsid w:val="00E96547"/>
    <w:rsid w:val="00EB0D6F"/>
    <w:rsid w:val="00EB2232"/>
    <w:rsid w:val="00EC5337"/>
    <w:rsid w:val="00EE49E8"/>
    <w:rsid w:val="00F1099C"/>
    <w:rsid w:val="00F10B59"/>
    <w:rsid w:val="00F16BAB"/>
    <w:rsid w:val="00F2150A"/>
    <w:rsid w:val="00F231D8"/>
    <w:rsid w:val="00F44C00"/>
    <w:rsid w:val="00F45D2C"/>
    <w:rsid w:val="00F46C5F"/>
    <w:rsid w:val="00F47423"/>
    <w:rsid w:val="00F632C0"/>
    <w:rsid w:val="00F678C7"/>
    <w:rsid w:val="00F711B1"/>
    <w:rsid w:val="00F74694"/>
    <w:rsid w:val="00F82D68"/>
    <w:rsid w:val="00F86596"/>
    <w:rsid w:val="00F93FD4"/>
    <w:rsid w:val="00F94A63"/>
    <w:rsid w:val="00FA17A2"/>
    <w:rsid w:val="00FA1C28"/>
    <w:rsid w:val="00FB1279"/>
    <w:rsid w:val="00FB6B76"/>
    <w:rsid w:val="00FB7596"/>
    <w:rsid w:val="00FB7777"/>
    <w:rsid w:val="00FD58C2"/>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27BEF6"/>
  <w15:docId w15:val="{2F3AF33F-F011-42EB-B4C7-8560BA5E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490079"/>
    <w:rPr>
      <w:color w:val="666666"/>
    </w:rPr>
  </w:style>
  <w:style w:type="paragraph" w:styleId="NormalWeb">
    <w:name w:val="Normal (Web)"/>
    <w:basedOn w:val="Normal"/>
    <w:uiPriority w:val="99"/>
    <w:unhideWhenUsed/>
    <w:rsid w:val="0089015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CommentText">
    <w:name w:val="annotation text"/>
    <w:basedOn w:val="Normal"/>
    <w:link w:val="CommentTextChar"/>
    <w:uiPriority w:val="99"/>
    <w:semiHidden/>
    <w:unhideWhenUsed/>
    <w:rsid w:val="00890157"/>
    <w:pPr>
      <w:tabs>
        <w:tab w:val="clear" w:pos="567"/>
        <w:tab w:val="clear" w:pos="1134"/>
        <w:tab w:val="clear" w:pos="1701"/>
        <w:tab w:val="clear" w:pos="2268"/>
        <w:tab w:val="clear" w:pos="2835"/>
      </w:tabs>
      <w:overflowPunct/>
      <w:autoSpaceDE/>
      <w:autoSpaceDN/>
      <w:adjustRightInd/>
      <w:spacing w:before="0" w:after="160"/>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semiHidden/>
    <w:rsid w:val="00890157"/>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890157"/>
    <w:rPr>
      <w:sz w:val="16"/>
      <w:szCs w:val="16"/>
    </w:rPr>
  </w:style>
  <w:style w:type="character" w:styleId="Strong">
    <w:name w:val="Strong"/>
    <w:basedOn w:val="DefaultParagraphFont"/>
    <w:uiPriority w:val="22"/>
    <w:qFormat/>
    <w:rsid w:val="00890157"/>
    <w:rPr>
      <w:b/>
      <w:bCs/>
    </w:rPr>
  </w:style>
  <w:style w:type="paragraph" w:styleId="BalloonText">
    <w:name w:val="Balloon Text"/>
    <w:basedOn w:val="Normal"/>
    <w:link w:val="BalloonTextChar"/>
    <w:semiHidden/>
    <w:unhideWhenUsed/>
    <w:rsid w:val="0089015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90157"/>
    <w:rPr>
      <w:rFonts w:ascii="Segoe UI" w:hAnsi="Segoe UI" w:cs="Segoe UI"/>
      <w:sz w:val="18"/>
      <w:szCs w:val="18"/>
      <w:lang w:val="en-GB" w:eastAsia="en-US"/>
    </w:rPr>
  </w:style>
  <w:style w:type="paragraph" w:customStyle="1" w:styleId="Reasons">
    <w:name w:val="Reasons"/>
    <w:basedOn w:val="Normal"/>
    <w:qFormat/>
    <w:rsid w:val="00B4343F"/>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18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lahmadi\Downloads\CWG-INTERNET21-TEMPLATE-EXT-contri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4" ma:contentTypeDescription="Create a new document." ma:contentTypeScope="" ma:versionID="b7cf36797617bcc3e16d20b4e774bc8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7c507cf9aad33329ed45c003d6050f0"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D8BF5C-B194-4DBD-9CB0-46C31A55A473}">
  <ds:schemaRefs>
    <ds:schemaRef ds:uri="http://schemas.openxmlformats.org/officeDocument/2006/bibliography"/>
  </ds:schemaRefs>
</ds:datastoreItem>
</file>

<file path=customXml/itemProps2.xml><?xml version="1.0" encoding="utf-8"?>
<ds:datastoreItem xmlns:ds="http://schemas.openxmlformats.org/officeDocument/2006/customXml" ds:itemID="{989C8C78-2596-48BC-B6C2-C610D10B9886}">
  <ds:schemaRefs>
    <ds:schemaRef ds:uri="http://schemas.microsoft.com/sharepoint/v3/contenttype/forms"/>
  </ds:schemaRefs>
</ds:datastoreItem>
</file>

<file path=customXml/itemProps3.xml><?xml version="1.0" encoding="utf-8"?>
<ds:datastoreItem xmlns:ds="http://schemas.openxmlformats.org/officeDocument/2006/customXml" ds:itemID="{BB11040A-5520-4BCB-BC8B-AE50B3790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F720C6-2D8B-407B-8217-61F7C2E1080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CWG-INTERNET21-TEMPLATE-EXT-contrib.dotx</Template>
  <TotalTime>9</TotalTime>
  <Pages>2</Pages>
  <Words>471</Words>
  <Characters>2968</Characters>
  <Application>Microsoft Office Word</Application>
  <DocSecurity>0</DocSecurity>
  <Lines>63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public policy issues addressed by the Global Digital Compact</dc:title>
  <dc:subject>ITU Council Working Group on international Internet-related public policy issues</dc:subject>
  <dc:creator>Abdulmajeed I. AlAhmadi</dc:creator>
  <cp:keywords>CWG-Internet</cp:keywords>
  <dc:description/>
  <dcterms:created xsi:type="dcterms:W3CDTF">2025-02-07T16:50:00Z</dcterms:created>
  <dcterms:modified xsi:type="dcterms:W3CDTF">2025-02-18T17:37:00Z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0x010100C7F750E4F31D394F9C9AE3A705156B03</vt:lpwstr>
  </property>
  <property fmtid="{D5CDD505-2E9C-101B-9397-08002B2CF9AE}" pid="3" name="GrammarlyDocumentId">
    <vt:lpwstr>5adc50a1d28d95000c832efc98cae33275c88a987e473471196110a5e111a505</vt:lpwstr>
  </property>
</Properties>
</file>