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page" w:tblpX="1395" w:tblpY="2317"/>
        <w:tblW w:w="9640" w:type="dxa"/>
        <w:tblLayout w:type="fixed"/>
        <w:tblLook w:val="0000" w:firstRow="0" w:lastRow="0" w:firstColumn="0" w:lastColumn="0" w:noHBand="0" w:noVBand="0"/>
      </w:tblPr>
      <w:tblGrid>
        <w:gridCol w:w="4395"/>
        <w:gridCol w:w="5245"/>
      </w:tblGrid>
      <w:tr w:rsidR="00AD3606" w:rsidRPr="004B51C8" w14:paraId="75738ABB" w14:textId="77777777" w:rsidTr="005115F0">
        <w:trPr>
          <w:cantSplit/>
          <w:trHeight w:val="23"/>
        </w:trPr>
        <w:tc>
          <w:tcPr>
            <w:tcW w:w="4395" w:type="dxa"/>
            <w:vMerge w:val="restart"/>
            <w:tcMar>
              <w:left w:w="0" w:type="dxa"/>
            </w:tcMar>
          </w:tcPr>
          <w:p w14:paraId="56725C13" w14:textId="77777777" w:rsidR="00AD3606" w:rsidRDefault="00AD0C2E" w:rsidP="005115F0">
            <w:pPr>
              <w:tabs>
                <w:tab w:val="left" w:pos="851"/>
              </w:tabs>
              <w:spacing w:before="0" w:line="240" w:lineRule="atLeast"/>
              <w:rPr>
                <w:b/>
              </w:rPr>
            </w:pPr>
            <w:bookmarkStart w:id="0" w:name="dmeeting" w:colFirst="0" w:colLast="0"/>
            <w:bookmarkStart w:id="1" w:name="dnum" w:colFirst="1" w:colLast="1"/>
            <w:bookmarkStart w:id="2" w:name="_Hlk133421839"/>
            <w:bookmarkStart w:id="3" w:name="_Hlk133421856"/>
            <w:bookmarkStart w:id="4" w:name="_Hlk133422370"/>
            <w:bookmarkStart w:id="5" w:name="_Hlk133586559"/>
            <w:r>
              <w:rPr>
                <w:b/>
              </w:rPr>
              <w:t>.</w:t>
            </w:r>
          </w:p>
          <w:p w14:paraId="39A57221" w14:textId="77777777" w:rsidR="00AD0C2E" w:rsidRDefault="00AD0C2E" w:rsidP="005115F0">
            <w:pPr>
              <w:tabs>
                <w:tab w:val="left" w:pos="851"/>
              </w:tabs>
              <w:spacing w:before="0" w:line="240" w:lineRule="atLeast"/>
              <w:rPr>
                <w:b/>
              </w:rPr>
            </w:pPr>
          </w:p>
          <w:p w14:paraId="333D3DBA" w14:textId="7C433717" w:rsidR="00AD0C2E" w:rsidRPr="00147C54" w:rsidRDefault="00AD0C2E" w:rsidP="005115F0">
            <w:pPr>
              <w:tabs>
                <w:tab w:val="left" w:pos="851"/>
              </w:tabs>
              <w:spacing w:before="0" w:line="240" w:lineRule="atLeast"/>
              <w:rPr>
                <w:b/>
              </w:rPr>
            </w:pPr>
          </w:p>
        </w:tc>
        <w:tc>
          <w:tcPr>
            <w:tcW w:w="5245" w:type="dxa"/>
          </w:tcPr>
          <w:p w14:paraId="4F75CE2E" w14:textId="3C26E258" w:rsidR="00AD3606" w:rsidRPr="00301AEE" w:rsidRDefault="00E85B67" w:rsidP="005115F0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  <w:lang w:val="fr-FR"/>
              </w:rPr>
            </w:pPr>
            <w:r w:rsidRPr="00A52C84">
              <w:rPr>
                <w:b/>
                <w:lang w:val="fr-CH"/>
              </w:rPr>
              <w:t xml:space="preserve">Document </w:t>
            </w:r>
            <w:r w:rsidR="005241E0">
              <w:rPr>
                <w:b/>
                <w:lang w:val="fr-CH"/>
              </w:rPr>
              <w:t>ISCG/25</w:t>
            </w:r>
            <w:r w:rsidR="00524E9C">
              <w:rPr>
                <w:b/>
                <w:lang w:val="fr-CH"/>
              </w:rPr>
              <w:t>-</w:t>
            </w:r>
            <w:r w:rsidR="00F70249">
              <w:rPr>
                <w:b/>
                <w:lang w:val="fr-CH"/>
              </w:rPr>
              <w:t>2</w:t>
            </w:r>
            <w:r w:rsidR="00F66A26">
              <w:rPr>
                <w:b/>
                <w:lang w:val="fr-FR"/>
              </w:rPr>
              <w:t>/</w:t>
            </w:r>
            <w:r w:rsidR="005115F0">
              <w:rPr>
                <w:b/>
                <w:lang w:val="fr-FR"/>
              </w:rPr>
              <w:t>07</w:t>
            </w:r>
            <w:r w:rsidR="005241E0">
              <w:rPr>
                <w:b/>
                <w:lang w:val="fr-FR"/>
              </w:rPr>
              <w:t>-E</w:t>
            </w:r>
          </w:p>
        </w:tc>
      </w:tr>
      <w:tr w:rsidR="00AD3606" w:rsidRPr="00147C54" w14:paraId="49AA1FBD" w14:textId="77777777" w:rsidTr="005115F0">
        <w:trPr>
          <w:cantSplit/>
        </w:trPr>
        <w:tc>
          <w:tcPr>
            <w:tcW w:w="4395" w:type="dxa"/>
            <w:vMerge/>
          </w:tcPr>
          <w:p w14:paraId="6C9E27D5" w14:textId="77777777" w:rsidR="00AD3606" w:rsidRPr="00301AEE" w:rsidRDefault="00AD3606" w:rsidP="005115F0">
            <w:pPr>
              <w:tabs>
                <w:tab w:val="left" w:pos="851"/>
              </w:tabs>
              <w:spacing w:line="240" w:lineRule="atLeast"/>
              <w:rPr>
                <w:b/>
                <w:lang w:val="fr-FR"/>
              </w:rPr>
            </w:pPr>
            <w:bookmarkStart w:id="6" w:name="ddate" w:colFirst="1" w:colLast="1"/>
            <w:bookmarkEnd w:id="0"/>
            <w:bookmarkEnd w:id="1"/>
          </w:p>
        </w:tc>
        <w:tc>
          <w:tcPr>
            <w:tcW w:w="5245" w:type="dxa"/>
          </w:tcPr>
          <w:p w14:paraId="0A6B18FC" w14:textId="4917BB7B" w:rsidR="00AD3606" w:rsidRPr="00147C54" w:rsidRDefault="005115F0" w:rsidP="005115F0">
            <w:pPr>
              <w:tabs>
                <w:tab w:val="left" w:pos="851"/>
              </w:tabs>
              <w:spacing w:before="0"/>
              <w:jc w:val="right"/>
              <w:rPr>
                <w:b/>
              </w:rPr>
            </w:pPr>
            <w:r>
              <w:rPr>
                <w:b/>
              </w:rPr>
              <w:t>22 May 2025</w:t>
            </w:r>
          </w:p>
        </w:tc>
      </w:tr>
      <w:tr w:rsidR="00AD3606" w:rsidRPr="00147C54" w14:paraId="245EED5B" w14:textId="77777777" w:rsidTr="005115F0">
        <w:trPr>
          <w:cantSplit/>
          <w:trHeight w:val="23"/>
        </w:trPr>
        <w:tc>
          <w:tcPr>
            <w:tcW w:w="4395" w:type="dxa"/>
            <w:vMerge/>
          </w:tcPr>
          <w:p w14:paraId="1E90653D" w14:textId="77777777" w:rsidR="00AD3606" w:rsidRPr="00147C54" w:rsidRDefault="00AD3606" w:rsidP="005115F0">
            <w:pPr>
              <w:tabs>
                <w:tab w:val="left" w:pos="851"/>
              </w:tabs>
              <w:spacing w:line="240" w:lineRule="atLeast"/>
              <w:rPr>
                <w:b/>
              </w:rPr>
            </w:pPr>
            <w:bookmarkStart w:id="7" w:name="dorlang" w:colFirst="1" w:colLast="1"/>
            <w:bookmarkEnd w:id="6"/>
          </w:p>
        </w:tc>
        <w:tc>
          <w:tcPr>
            <w:tcW w:w="5245" w:type="dxa"/>
          </w:tcPr>
          <w:p w14:paraId="248884E4" w14:textId="77777777" w:rsidR="00AD3606" w:rsidRPr="00147C54" w:rsidRDefault="00891503" w:rsidP="005115F0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</w:rPr>
            </w:pPr>
            <w:r w:rsidRPr="00147C54">
              <w:rPr>
                <w:b/>
              </w:rPr>
              <w:t>English only</w:t>
            </w:r>
          </w:p>
        </w:tc>
      </w:tr>
      <w:tr w:rsidR="00472BAD" w:rsidRPr="00147C54" w14:paraId="453B6052" w14:textId="77777777" w:rsidTr="005115F0">
        <w:trPr>
          <w:cantSplit/>
          <w:trHeight w:val="23"/>
        </w:trPr>
        <w:tc>
          <w:tcPr>
            <w:tcW w:w="4395" w:type="dxa"/>
          </w:tcPr>
          <w:p w14:paraId="68C47D52" w14:textId="77777777" w:rsidR="00472BAD" w:rsidRPr="00147C54" w:rsidRDefault="00472BAD" w:rsidP="005115F0">
            <w:pPr>
              <w:tabs>
                <w:tab w:val="left" w:pos="851"/>
              </w:tabs>
              <w:spacing w:line="240" w:lineRule="atLeast"/>
              <w:rPr>
                <w:b/>
              </w:rPr>
            </w:pPr>
          </w:p>
        </w:tc>
        <w:tc>
          <w:tcPr>
            <w:tcW w:w="5245" w:type="dxa"/>
          </w:tcPr>
          <w:p w14:paraId="550894A5" w14:textId="77777777" w:rsidR="00472BAD" w:rsidRPr="00147C54" w:rsidRDefault="00472BAD" w:rsidP="005115F0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</w:rPr>
            </w:pPr>
          </w:p>
        </w:tc>
      </w:tr>
      <w:tr w:rsidR="00AD3606" w:rsidRPr="00147C54" w14:paraId="02CE4872" w14:textId="77777777" w:rsidTr="005115F0">
        <w:trPr>
          <w:cantSplit/>
        </w:trPr>
        <w:tc>
          <w:tcPr>
            <w:tcW w:w="9640" w:type="dxa"/>
            <w:gridSpan w:val="2"/>
            <w:tcMar>
              <w:left w:w="0" w:type="dxa"/>
            </w:tcMar>
          </w:tcPr>
          <w:p w14:paraId="11EB1697" w14:textId="62DF1557" w:rsidR="00AD3606" w:rsidRPr="00147C54" w:rsidRDefault="00006DB2" w:rsidP="005115F0">
            <w:pPr>
              <w:pStyle w:val="Source"/>
              <w:framePr w:hSpace="0" w:wrap="auto" w:vAnchor="margin" w:hAnchor="text" w:xAlign="left" w:yAlign="inline"/>
            </w:pPr>
            <w:bookmarkStart w:id="8" w:name="dsource" w:colFirst="0" w:colLast="0"/>
            <w:bookmarkEnd w:id="7"/>
            <w:r w:rsidRPr="005E413D">
              <w:t xml:space="preserve">Contribution </w:t>
            </w:r>
            <w:r>
              <w:t>by</w:t>
            </w:r>
            <w:r w:rsidRPr="005E413D">
              <w:t xml:space="preserve"> </w:t>
            </w:r>
            <w:r w:rsidR="005115F0">
              <w:t xml:space="preserve">Coordinator on </w:t>
            </w:r>
            <w:r w:rsidR="00A954CC">
              <w:t xml:space="preserve">Climate Change </w:t>
            </w:r>
          </w:p>
        </w:tc>
      </w:tr>
      <w:tr w:rsidR="00AD3606" w:rsidRPr="00147C54" w14:paraId="16B8590D" w14:textId="77777777" w:rsidTr="005115F0">
        <w:trPr>
          <w:cantSplit/>
        </w:trPr>
        <w:tc>
          <w:tcPr>
            <w:tcW w:w="9640" w:type="dxa"/>
            <w:gridSpan w:val="2"/>
            <w:tcMar>
              <w:left w:w="0" w:type="dxa"/>
            </w:tcMar>
          </w:tcPr>
          <w:p w14:paraId="3EBDE99F" w14:textId="64B8F2DF" w:rsidR="00AD3606" w:rsidRPr="005115F0" w:rsidRDefault="00A954CC" w:rsidP="005115F0">
            <w:pPr>
              <w:pStyle w:val="Subtitle"/>
              <w:framePr w:hSpace="0" w:wrap="auto" w:xAlign="left" w:yAlign="inline"/>
              <w:rPr>
                <w:caps/>
              </w:rPr>
            </w:pPr>
            <w:bookmarkStart w:id="9" w:name="dtitle1" w:colFirst="0" w:colLast="0"/>
            <w:bookmarkEnd w:id="8"/>
            <w:r w:rsidRPr="005115F0">
              <w:rPr>
                <w:caps/>
              </w:rPr>
              <w:t xml:space="preserve">Climate Change </w:t>
            </w:r>
            <w:r w:rsidR="005115F0" w:rsidRPr="005115F0">
              <w:rPr>
                <w:caps/>
              </w:rPr>
              <w:t>Report</w:t>
            </w:r>
          </w:p>
        </w:tc>
      </w:tr>
      <w:tr w:rsidR="00AD3606" w:rsidRPr="00147C54" w14:paraId="738924AE" w14:textId="77777777" w:rsidTr="005115F0">
        <w:trPr>
          <w:cantSplit/>
        </w:trPr>
        <w:tc>
          <w:tcPr>
            <w:tcW w:w="9640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</w:tcMar>
          </w:tcPr>
          <w:p w14:paraId="393CFB80" w14:textId="0B8CE3EC" w:rsidR="005241E0" w:rsidRPr="005241E0" w:rsidRDefault="00F16BAB" w:rsidP="005115F0">
            <w:pPr>
              <w:spacing w:before="160" w:after="120"/>
              <w:rPr>
                <w:sz w:val="26"/>
                <w:szCs w:val="26"/>
              </w:rPr>
            </w:pPr>
            <w:r w:rsidRPr="00147C54">
              <w:rPr>
                <w:b/>
                <w:bCs/>
                <w:sz w:val="26"/>
                <w:szCs w:val="26"/>
              </w:rPr>
              <w:t>Purpose</w:t>
            </w:r>
            <w:r w:rsidR="005241E0">
              <w:rPr>
                <w:b/>
                <w:bCs/>
                <w:sz w:val="26"/>
                <w:szCs w:val="26"/>
              </w:rPr>
              <w:t xml:space="preserve">: </w:t>
            </w:r>
            <w:r w:rsidR="005241E0">
              <w:t xml:space="preserve"> </w:t>
            </w:r>
            <w:r w:rsidR="005241E0" w:rsidRPr="005241E0">
              <w:rPr>
                <w:sz w:val="26"/>
                <w:szCs w:val="26"/>
              </w:rPr>
              <w:t xml:space="preserve">Admin </w:t>
            </w:r>
            <w:proofErr w:type="gramStart"/>
            <w:r w:rsidR="005241E0" w:rsidRPr="005241E0">
              <w:rPr>
                <w:sz w:val="26"/>
                <w:szCs w:val="26"/>
              </w:rPr>
              <w:t>( )</w:t>
            </w:r>
            <w:proofErr w:type="gramEnd"/>
            <w:r w:rsidR="005241E0" w:rsidRPr="005241E0">
              <w:rPr>
                <w:sz w:val="26"/>
                <w:szCs w:val="26"/>
              </w:rPr>
              <w:t xml:space="preserve"> / Information (</w:t>
            </w:r>
            <w:r w:rsidR="00A954CC">
              <w:rPr>
                <w:sz w:val="26"/>
                <w:szCs w:val="26"/>
              </w:rPr>
              <w:t>X</w:t>
            </w:r>
            <w:r w:rsidR="005241E0" w:rsidRPr="005241E0">
              <w:rPr>
                <w:sz w:val="26"/>
                <w:szCs w:val="26"/>
              </w:rPr>
              <w:t xml:space="preserve">) / Discussion </w:t>
            </w:r>
            <w:proofErr w:type="gramStart"/>
            <w:r w:rsidR="005241E0" w:rsidRPr="005241E0">
              <w:rPr>
                <w:sz w:val="26"/>
                <w:szCs w:val="26"/>
              </w:rPr>
              <w:t>(</w:t>
            </w:r>
            <w:r w:rsidR="005241E0">
              <w:rPr>
                <w:sz w:val="26"/>
                <w:szCs w:val="26"/>
              </w:rPr>
              <w:t xml:space="preserve"> </w:t>
            </w:r>
            <w:r w:rsidR="005241E0" w:rsidRPr="005241E0">
              <w:rPr>
                <w:sz w:val="26"/>
                <w:szCs w:val="26"/>
              </w:rPr>
              <w:t>)</w:t>
            </w:r>
            <w:proofErr w:type="gramEnd"/>
            <w:r w:rsidR="005241E0" w:rsidRPr="005241E0">
              <w:rPr>
                <w:sz w:val="26"/>
                <w:szCs w:val="26"/>
              </w:rPr>
              <w:t xml:space="preserve"> / Proposal </w:t>
            </w:r>
            <w:proofErr w:type="gramStart"/>
            <w:r w:rsidR="005241E0" w:rsidRPr="005241E0">
              <w:rPr>
                <w:sz w:val="26"/>
                <w:szCs w:val="26"/>
              </w:rPr>
              <w:t>( )</w:t>
            </w:r>
            <w:proofErr w:type="gramEnd"/>
          </w:p>
        </w:tc>
      </w:tr>
      <w:tr w:rsidR="005241E0" w:rsidRPr="005115F0" w14:paraId="14D83C7C" w14:textId="77777777" w:rsidTr="005115F0">
        <w:trPr>
          <w:cantSplit/>
        </w:trPr>
        <w:tc>
          <w:tcPr>
            <w:tcW w:w="9640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</w:tcMar>
          </w:tcPr>
          <w:p w14:paraId="6CC9DE5E" w14:textId="63FA1DE2" w:rsidR="005115F0" w:rsidRDefault="005241E0" w:rsidP="005115F0">
            <w:pPr>
              <w:spacing w:before="0"/>
              <w:rPr>
                <w:b/>
                <w:bCs/>
                <w:sz w:val="26"/>
                <w:szCs w:val="26"/>
                <w:lang w:val="it-IT"/>
              </w:rPr>
            </w:pPr>
            <w:r>
              <w:rPr>
                <w:b/>
                <w:bCs/>
                <w:sz w:val="26"/>
                <w:szCs w:val="26"/>
                <w:lang w:val="it-IT"/>
              </w:rPr>
              <w:t xml:space="preserve">Contact: </w:t>
            </w:r>
            <w:r w:rsidR="00A954CC">
              <w:rPr>
                <w:b/>
                <w:bCs/>
                <w:sz w:val="26"/>
                <w:szCs w:val="26"/>
                <w:lang w:val="it-IT"/>
              </w:rPr>
              <w:t xml:space="preserve"> </w:t>
            </w:r>
            <w:r w:rsidR="00A954CC" w:rsidRPr="005115F0">
              <w:rPr>
                <w:sz w:val="26"/>
                <w:szCs w:val="26"/>
                <w:lang w:val="it-IT"/>
              </w:rPr>
              <w:t>Paolo Gemma</w:t>
            </w:r>
            <w:r w:rsidR="00A954CC">
              <w:rPr>
                <w:b/>
                <w:bCs/>
                <w:sz w:val="26"/>
                <w:szCs w:val="26"/>
                <w:lang w:val="it-IT"/>
              </w:rPr>
              <w:t xml:space="preserve"> </w:t>
            </w:r>
            <w:r w:rsidR="005115F0">
              <w:rPr>
                <w:b/>
                <w:bCs/>
                <w:sz w:val="26"/>
                <w:szCs w:val="26"/>
                <w:lang w:val="it-IT"/>
              </w:rPr>
              <w:t xml:space="preserve">                                            E-mail: </w:t>
            </w:r>
            <w:hyperlink r:id="rId11" w:history="1">
              <w:r w:rsidR="005115F0" w:rsidRPr="005115F0">
                <w:rPr>
                  <w:rStyle w:val="Hyperlink"/>
                  <w:sz w:val="26"/>
                  <w:szCs w:val="26"/>
                  <w:lang w:val="it-IT"/>
                </w:rPr>
                <w:t>paolo.gemma@huawei.com</w:t>
              </w:r>
            </w:hyperlink>
            <w:r w:rsidR="005115F0">
              <w:rPr>
                <w:b/>
                <w:bCs/>
                <w:sz w:val="26"/>
                <w:szCs w:val="26"/>
                <w:lang w:val="it-IT"/>
              </w:rPr>
              <w:t xml:space="preserve"> </w:t>
            </w:r>
          </w:p>
          <w:p w14:paraId="6F51167A" w14:textId="5174BA07" w:rsidR="005241E0" w:rsidRPr="005241E0" w:rsidRDefault="005115F0" w:rsidP="005115F0">
            <w:pPr>
              <w:spacing w:before="0"/>
              <w:rPr>
                <w:b/>
                <w:bCs/>
                <w:sz w:val="26"/>
                <w:szCs w:val="26"/>
                <w:lang w:val="it-IT"/>
              </w:rPr>
            </w:pPr>
            <w:r>
              <w:rPr>
                <w:sz w:val="26"/>
                <w:szCs w:val="26"/>
                <w:lang w:val="it-IT"/>
              </w:rPr>
              <w:t xml:space="preserve">                 </w:t>
            </w:r>
            <w:r w:rsidRPr="005115F0">
              <w:rPr>
                <w:sz w:val="26"/>
                <w:szCs w:val="26"/>
                <w:lang w:val="it-IT"/>
              </w:rPr>
              <w:t>Huawei Technologies, Co., Ltd</w:t>
            </w:r>
          </w:p>
        </w:tc>
      </w:tr>
      <w:tr w:rsidR="00E228CA" w:rsidRPr="00104E86" w14:paraId="2C1A8484" w14:textId="77777777" w:rsidTr="005115F0">
        <w:trPr>
          <w:cantSplit/>
        </w:trPr>
        <w:tc>
          <w:tcPr>
            <w:tcW w:w="9640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</w:tcMar>
          </w:tcPr>
          <w:p w14:paraId="4C71280E" w14:textId="01A714A3" w:rsidR="00E228CA" w:rsidRPr="00B66D92" w:rsidRDefault="00E228CA" w:rsidP="002F4A1E">
            <w:pPr>
              <w:spacing w:before="0"/>
              <w:rPr>
                <w:sz w:val="26"/>
                <w:szCs w:val="26"/>
                <w:lang w:val="it-IT"/>
              </w:rPr>
            </w:pPr>
            <w:r>
              <w:rPr>
                <w:b/>
                <w:bCs/>
                <w:sz w:val="26"/>
                <w:szCs w:val="26"/>
                <w:lang w:val="it-IT"/>
              </w:rPr>
              <w:t xml:space="preserve">Contact: </w:t>
            </w:r>
            <w:r w:rsidRPr="00B66D92">
              <w:rPr>
                <w:sz w:val="26"/>
                <w:szCs w:val="26"/>
                <w:lang w:val="it-IT"/>
              </w:rPr>
              <w:t>Jean-Manuel Canet</w:t>
            </w:r>
            <w:r w:rsidR="00B66D92">
              <w:rPr>
                <w:sz w:val="26"/>
                <w:szCs w:val="26"/>
                <w:lang w:val="it-IT"/>
              </w:rPr>
              <w:tab/>
            </w:r>
            <w:r w:rsidR="00B66D92">
              <w:rPr>
                <w:sz w:val="26"/>
                <w:szCs w:val="26"/>
                <w:lang w:val="it-IT"/>
              </w:rPr>
              <w:tab/>
            </w:r>
            <w:r w:rsidR="00B66D92">
              <w:rPr>
                <w:sz w:val="26"/>
                <w:szCs w:val="26"/>
                <w:lang w:val="it-IT"/>
              </w:rPr>
              <w:tab/>
            </w:r>
            <w:r w:rsidR="00B66D92" w:rsidRPr="002F4A1E">
              <w:rPr>
                <w:b/>
                <w:bCs/>
                <w:sz w:val="26"/>
                <w:szCs w:val="26"/>
                <w:lang w:val="it-IT"/>
              </w:rPr>
              <w:t xml:space="preserve"> E-mail:</w:t>
            </w:r>
            <w:r w:rsidR="002F4A1E">
              <w:rPr>
                <w:sz w:val="26"/>
                <w:szCs w:val="26"/>
                <w:lang w:val="it-IT"/>
              </w:rPr>
              <w:t xml:space="preserve"> </w:t>
            </w:r>
            <w:r w:rsidR="002F4A1E" w:rsidRPr="002F4A1E">
              <w:rPr>
                <w:lang w:val="es-419"/>
              </w:rPr>
              <w:t xml:space="preserve"> </w:t>
            </w:r>
            <w:hyperlink r:id="rId12" w:history="1">
              <w:r w:rsidR="002F4A1E" w:rsidRPr="002F4A1E">
                <w:rPr>
                  <w:rStyle w:val="Hyperlink"/>
                  <w:sz w:val="26"/>
                  <w:szCs w:val="26"/>
                  <w:lang w:val="es-419"/>
                </w:rPr>
                <w:t>jean-manuel.canet@orange.com</w:t>
              </w:r>
            </w:hyperlink>
            <w:r w:rsidR="00B66D92">
              <w:rPr>
                <w:sz w:val="26"/>
                <w:szCs w:val="26"/>
                <w:lang w:val="it-IT"/>
              </w:rPr>
              <w:tab/>
            </w:r>
            <w:r w:rsidR="002F4A1E">
              <w:rPr>
                <w:sz w:val="26"/>
                <w:szCs w:val="26"/>
                <w:lang w:val="it-IT"/>
              </w:rPr>
              <w:t xml:space="preserve">       </w:t>
            </w:r>
            <w:r w:rsidR="00FC4D7E" w:rsidRPr="00B66D92">
              <w:rPr>
                <w:sz w:val="26"/>
                <w:szCs w:val="26"/>
                <w:lang w:val="it-IT"/>
              </w:rPr>
              <w:t>Orange</w:t>
            </w:r>
            <w:r w:rsidRPr="00B66D92">
              <w:rPr>
                <w:sz w:val="26"/>
                <w:szCs w:val="26"/>
                <w:lang w:val="it-IT"/>
              </w:rPr>
              <w:t xml:space="preserve"> </w:t>
            </w:r>
          </w:p>
        </w:tc>
      </w:tr>
    </w:tbl>
    <w:p w14:paraId="469525C2" w14:textId="77777777" w:rsidR="00E227F3" w:rsidRPr="005241E0" w:rsidRDefault="00E227F3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autoSpaceDE/>
        <w:autoSpaceDN/>
        <w:adjustRightInd/>
        <w:spacing w:before="0"/>
        <w:textAlignment w:val="auto"/>
        <w:rPr>
          <w:lang w:val="it-IT"/>
        </w:rPr>
      </w:pPr>
      <w:bookmarkStart w:id="10" w:name="_Hlk133421428"/>
      <w:bookmarkEnd w:id="2"/>
      <w:bookmarkEnd w:id="9"/>
    </w:p>
    <w:bookmarkEnd w:id="3"/>
    <w:bookmarkEnd w:id="4"/>
    <w:bookmarkEnd w:id="5"/>
    <w:bookmarkEnd w:id="10"/>
    <w:p w14:paraId="5245BAF0" w14:textId="0F5C19B7" w:rsidR="00A514A4" w:rsidRPr="005115F0" w:rsidRDefault="00A954CC" w:rsidP="005115F0">
      <w:pPr>
        <w:jc w:val="both"/>
        <w:rPr>
          <w:rFonts w:asciiTheme="minorHAnsi" w:hAnsiTheme="minorHAnsi" w:cstheme="minorHAnsi"/>
          <w:b/>
          <w:bCs/>
          <w:szCs w:val="24"/>
          <w:lang w:val="en-US"/>
        </w:rPr>
      </w:pPr>
      <w:r w:rsidRPr="005115F0">
        <w:rPr>
          <w:rFonts w:asciiTheme="minorHAnsi" w:hAnsiTheme="minorHAnsi" w:cstheme="minorHAnsi"/>
          <w:b/>
          <w:bCs/>
          <w:szCs w:val="24"/>
          <w:lang w:val="en-US"/>
        </w:rPr>
        <w:t>Main activities from last ISCG meeting</w:t>
      </w:r>
    </w:p>
    <w:p w14:paraId="0A12607C" w14:textId="309D9ED6" w:rsidR="00AD0C2E" w:rsidRPr="005115F0" w:rsidRDefault="00A954CC" w:rsidP="005115F0">
      <w:pPr>
        <w:jc w:val="both"/>
        <w:rPr>
          <w:rFonts w:asciiTheme="minorHAnsi" w:hAnsiTheme="minorHAnsi" w:cstheme="minorHAnsi"/>
          <w:b/>
          <w:bCs/>
          <w:szCs w:val="24"/>
        </w:rPr>
      </w:pPr>
      <w:r w:rsidRPr="005115F0">
        <w:rPr>
          <w:rFonts w:asciiTheme="minorHAnsi" w:hAnsiTheme="minorHAnsi" w:cstheme="minorHAnsi"/>
          <w:b/>
          <w:bCs/>
          <w:szCs w:val="24"/>
        </w:rPr>
        <w:t xml:space="preserve">Update on progress in </w:t>
      </w:r>
      <w:r w:rsidR="005115F0" w:rsidRPr="005115F0">
        <w:rPr>
          <w:rFonts w:asciiTheme="minorHAnsi" w:hAnsiTheme="minorHAnsi" w:cstheme="minorHAnsi"/>
          <w:b/>
          <w:bCs/>
          <w:szCs w:val="24"/>
        </w:rPr>
        <w:t xml:space="preserve">ITU-T </w:t>
      </w:r>
      <w:r w:rsidRPr="005115F0">
        <w:rPr>
          <w:rFonts w:asciiTheme="minorHAnsi" w:hAnsiTheme="minorHAnsi" w:cstheme="minorHAnsi"/>
          <w:b/>
          <w:bCs/>
          <w:szCs w:val="24"/>
        </w:rPr>
        <w:t>SG5</w:t>
      </w:r>
      <w:r w:rsidR="005115F0" w:rsidRPr="005115F0">
        <w:rPr>
          <w:rFonts w:asciiTheme="minorHAnsi" w:hAnsiTheme="minorHAnsi" w:cstheme="minorHAnsi"/>
          <w:b/>
          <w:bCs/>
          <w:szCs w:val="24"/>
        </w:rPr>
        <w:t>:</w:t>
      </w:r>
    </w:p>
    <w:p w14:paraId="4982B74A" w14:textId="77777777" w:rsidR="00EA3BE4" w:rsidRDefault="00AD0C2E" w:rsidP="005115F0">
      <w:pPr>
        <w:jc w:val="both"/>
        <w:rPr>
          <w:rFonts w:asciiTheme="minorHAnsi" w:hAnsiTheme="minorHAnsi" w:cstheme="minorHAnsi"/>
          <w:szCs w:val="24"/>
        </w:rPr>
      </w:pPr>
      <w:r w:rsidRPr="005115F0">
        <w:rPr>
          <w:rFonts w:asciiTheme="minorHAnsi" w:hAnsiTheme="minorHAnsi" w:cstheme="minorHAnsi"/>
          <w:szCs w:val="24"/>
        </w:rPr>
        <w:t xml:space="preserve">ITU-T Study Group 5 </w:t>
      </w:r>
      <w:r w:rsidR="00EA3BE4">
        <w:rPr>
          <w:rFonts w:asciiTheme="minorHAnsi" w:hAnsiTheme="minorHAnsi" w:cstheme="minorHAnsi"/>
          <w:szCs w:val="24"/>
        </w:rPr>
        <w:t>is progressing on its work on Environmental Sustainability, Climate Action and Circular Economy and would like to provide a brief overview of the following activities:</w:t>
      </w:r>
    </w:p>
    <w:p w14:paraId="02AE61E1" w14:textId="466E2E8A" w:rsidR="00EA3BE4" w:rsidRPr="00B66D92" w:rsidRDefault="00EA3BE4" w:rsidP="00B66D92">
      <w:pPr>
        <w:pStyle w:val="ListParagraph"/>
        <w:numPr>
          <w:ilvl w:val="0"/>
          <w:numId w:val="7"/>
        </w:numPr>
        <w:jc w:val="both"/>
        <w:rPr>
          <w:rFonts w:asciiTheme="minorHAnsi" w:hAnsiTheme="minorHAnsi" w:cstheme="minorHAnsi"/>
          <w:b/>
          <w:bCs/>
          <w:szCs w:val="24"/>
        </w:rPr>
      </w:pPr>
      <w:r w:rsidRPr="00B66D92">
        <w:rPr>
          <w:rFonts w:asciiTheme="minorHAnsi" w:hAnsiTheme="minorHAnsi" w:cstheme="minorHAnsi"/>
          <w:b/>
          <w:bCs/>
          <w:szCs w:val="24"/>
        </w:rPr>
        <w:t>The following work items are being developed together with ETSI TC EE:</w:t>
      </w:r>
    </w:p>
    <w:p w14:paraId="4BF46D78" w14:textId="77777777" w:rsidR="00AB56AF" w:rsidRPr="005115F0" w:rsidRDefault="00AD0C2E" w:rsidP="005115F0">
      <w:pPr>
        <w:pStyle w:val="ListParagraph"/>
        <w:numPr>
          <w:ilvl w:val="0"/>
          <w:numId w:val="2"/>
        </w:numPr>
        <w:spacing w:before="0"/>
        <w:ind w:left="714" w:hanging="357"/>
        <w:jc w:val="both"/>
        <w:rPr>
          <w:rFonts w:asciiTheme="minorHAnsi" w:hAnsiTheme="minorHAnsi" w:cstheme="minorHAnsi"/>
          <w:szCs w:val="24"/>
        </w:rPr>
      </w:pPr>
      <w:r w:rsidRPr="005115F0">
        <w:rPr>
          <w:rFonts w:asciiTheme="minorHAnsi" w:hAnsiTheme="minorHAnsi" w:cstheme="minorHAnsi"/>
          <w:szCs w:val="24"/>
        </w:rPr>
        <w:t>L.1480</w:t>
      </w:r>
      <w:r w:rsidR="00F41CC5" w:rsidRPr="005115F0">
        <w:rPr>
          <w:rFonts w:asciiTheme="minorHAnsi" w:hAnsiTheme="minorHAnsi" w:cstheme="minorHAnsi"/>
          <w:szCs w:val="24"/>
        </w:rPr>
        <w:t xml:space="preserve"> </w:t>
      </w:r>
      <w:hyperlink r:id="rId13" w:tgtFrame="_blank" w:history="1">
        <w:r w:rsidR="00F41CC5" w:rsidRPr="005115F0">
          <w:rPr>
            <w:rFonts w:asciiTheme="minorHAnsi" w:hAnsiTheme="minorHAnsi" w:cstheme="minorHAnsi"/>
            <w:szCs w:val="24"/>
          </w:rPr>
          <w:t>DES/EE-EEPS66 (ES 204 087)</w:t>
        </w:r>
      </w:hyperlink>
      <w:r w:rsidR="00F41CC5" w:rsidRPr="005115F0">
        <w:rPr>
          <w:rFonts w:asciiTheme="minorHAnsi" w:hAnsiTheme="minorHAnsi" w:cstheme="minorHAnsi"/>
          <w:szCs w:val="24"/>
        </w:rPr>
        <w:t>: “Enabling the Net Zero transition: Assessing how the use of ICT solutions impact greenhouse gas emissions of other sectors”</w:t>
      </w:r>
      <w:r w:rsidR="00AB56AF" w:rsidRPr="005115F0">
        <w:rPr>
          <w:rFonts w:asciiTheme="minorHAnsi" w:hAnsiTheme="minorHAnsi" w:cstheme="minorHAnsi"/>
          <w:szCs w:val="24"/>
        </w:rPr>
        <w:t>:</w:t>
      </w:r>
    </w:p>
    <w:p w14:paraId="44C12085" w14:textId="08AFFCCA" w:rsidR="00F41CC5" w:rsidRPr="005115F0" w:rsidRDefault="00A93DAF" w:rsidP="005115F0">
      <w:pPr>
        <w:ind w:left="567"/>
        <w:jc w:val="both"/>
        <w:rPr>
          <w:rFonts w:asciiTheme="minorHAnsi" w:hAnsiTheme="minorHAnsi" w:cstheme="minorHAnsi"/>
          <w:szCs w:val="24"/>
          <w:lang w:val="en-US"/>
        </w:rPr>
      </w:pPr>
      <w:r w:rsidRPr="005115F0">
        <w:rPr>
          <w:rFonts w:asciiTheme="minorHAnsi" w:hAnsiTheme="minorHAnsi" w:cstheme="minorHAnsi"/>
          <w:szCs w:val="24"/>
        </w:rPr>
        <w:t xml:space="preserve">This is a revision of existing </w:t>
      </w:r>
      <w:r w:rsidR="00EA3BE4">
        <w:rPr>
          <w:rFonts w:asciiTheme="minorHAnsi" w:hAnsiTheme="minorHAnsi" w:cstheme="minorHAnsi"/>
          <w:szCs w:val="24"/>
        </w:rPr>
        <w:t>R</w:t>
      </w:r>
      <w:r w:rsidRPr="005115F0">
        <w:rPr>
          <w:rFonts w:asciiTheme="minorHAnsi" w:hAnsiTheme="minorHAnsi" w:cstheme="minorHAnsi"/>
          <w:szCs w:val="24"/>
        </w:rPr>
        <w:t>ecommendation</w:t>
      </w:r>
      <w:r w:rsidR="00EA3BE4">
        <w:rPr>
          <w:rFonts w:asciiTheme="minorHAnsi" w:hAnsiTheme="minorHAnsi" w:cstheme="minorHAnsi"/>
          <w:szCs w:val="24"/>
        </w:rPr>
        <w:t xml:space="preserve">. This revision is being developed together with ETSI TC EE. This revision incorporates additional examples of the application of the standard and clarify some aspects of the standard. </w:t>
      </w:r>
      <w:r w:rsidR="00156EED" w:rsidRPr="005115F0">
        <w:rPr>
          <w:rFonts w:asciiTheme="minorHAnsi" w:hAnsiTheme="minorHAnsi" w:cstheme="minorHAnsi"/>
          <w:szCs w:val="24"/>
        </w:rPr>
        <w:t xml:space="preserve">The </w:t>
      </w:r>
      <w:r w:rsidR="00EA3BE4">
        <w:rPr>
          <w:rFonts w:asciiTheme="minorHAnsi" w:hAnsiTheme="minorHAnsi" w:cstheme="minorHAnsi"/>
          <w:szCs w:val="24"/>
        </w:rPr>
        <w:t xml:space="preserve">revision was also carried out with the </w:t>
      </w:r>
      <w:r w:rsidR="00156EED" w:rsidRPr="005115F0">
        <w:rPr>
          <w:rFonts w:asciiTheme="minorHAnsi" w:hAnsiTheme="minorHAnsi" w:cstheme="minorHAnsi"/>
          <w:szCs w:val="24"/>
        </w:rPr>
        <w:t>cooperation AIOTI that provide</w:t>
      </w:r>
      <w:r w:rsidR="00EA3BE4">
        <w:rPr>
          <w:rFonts w:asciiTheme="minorHAnsi" w:hAnsiTheme="minorHAnsi" w:cstheme="minorHAnsi"/>
          <w:szCs w:val="24"/>
        </w:rPr>
        <w:t>d</w:t>
      </w:r>
      <w:r w:rsidR="00156EED" w:rsidRPr="005115F0">
        <w:rPr>
          <w:rFonts w:asciiTheme="minorHAnsi" w:hAnsiTheme="minorHAnsi" w:cstheme="minorHAnsi"/>
          <w:szCs w:val="24"/>
        </w:rPr>
        <w:t xml:space="preserve"> an application example. </w:t>
      </w:r>
      <w:r w:rsidR="00EA3BE4">
        <w:rPr>
          <w:rFonts w:asciiTheme="minorHAnsi" w:hAnsiTheme="minorHAnsi" w:cstheme="minorHAnsi"/>
          <w:szCs w:val="24"/>
        </w:rPr>
        <w:t xml:space="preserve">This revised standard </w:t>
      </w:r>
      <w:proofErr w:type="gramStart"/>
      <w:r w:rsidR="00EA3BE4">
        <w:rPr>
          <w:rFonts w:asciiTheme="minorHAnsi" w:hAnsiTheme="minorHAnsi" w:cstheme="minorHAnsi"/>
          <w:szCs w:val="24"/>
        </w:rPr>
        <w:t xml:space="preserve">is </w:t>
      </w:r>
      <w:r w:rsidR="00156EED" w:rsidRPr="005115F0">
        <w:rPr>
          <w:rFonts w:asciiTheme="minorHAnsi" w:hAnsiTheme="minorHAnsi" w:cstheme="minorHAnsi"/>
          <w:szCs w:val="24"/>
        </w:rPr>
        <w:t xml:space="preserve"> planned</w:t>
      </w:r>
      <w:proofErr w:type="gramEnd"/>
      <w:r w:rsidR="00156EED" w:rsidRPr="005115F0">
        <w:rPr>
          <w:rFonts w:asciiTheme="minorHAnsi" w:hAnsiTheme="minorHAnsi" w:cstheme="minorHAnsi"/>
          <w:szCs w:val="24"/>
        </w:rPr>
        <w:t xml:space="preserve"> to be consented in June</w:t>
      </w:r>
      <w:r w:rsidR="00EA3BE4">
        <w:rPr>
          <w:rFonts w:asciiTheme="minorHAnsi" w:hAnsiTheme="minorHAnsi" w:cstheme="minorHAnsi"/>
          <w:szCs w:val="24"/>
        </w:rPr>
        <w:t>.</w:t>
      </w:r>
      <w:r w:rsidR="00156EED" w:rsidRPr="005115F0">
        <w:rPr>
          <w:rFonts w:asciiTheme="minorHAnsi" w:hAnsiTheme="minorHAnsi" w:cstheme="minorHAnsi"/>
          <w:szCs w:val="24"/>
        </w:rPr>
        <w:t xml:space="preserve"> </w:t>
      </w:r>
    </w:p>
    <w:p w14:paraId="726C801E" w14:textId="45502AAB" w:rsidR="00156EED" w:rsidRPr="005115F0" w:rsidRDefault="00F41CC5" w:rsidP="005115F0">
      <w:pPr>
        <w:ind w:left="567"/>
        <w:jc w:val="both"/>
        <w:rPr>
          <w:rFonts w:asciiTheme="minorHAnsi" w:hAnsiTheme="minorHAnsi" w:cstheme="minorHAnsi"/>
          <w:szCs w:val="24"/>
          <w:lang w:val="en-US"/>
        </w:rPr>
      </w:pPr>
      <w:proofErr w:type="spellStart"/>
      <w:r w:rsidRPr="005115F0">
        <w:rPr>
          <w:rFonts w:asciiTheme="minorHAnsi" w:hAnsiTheme="minorHAnsi" w:cstheme="minorHAnsi"/>
          <w:szCs w:val="24"/>
        </w:rPr>
        <w:t>L.ClimAI</w:t>
      </w:r>
      <w:proofErr w:type="spellEnd"/>
      <w:r w:rsidRPr="005115F0">
        <w:rPr>
          <w:rFonts w:asciiTheme="minorHAnsi" w:hAnsiTheme="minorHAnsi" w:cstheme="minorHAnsi"/>
          <w:szCs w:val="24"/>
        </w:rPr>
        <w:t xml:space="preserve"> </w:t>
      </w:r>
      <w:r w:rsidR="00EA3BE4">
        <w:rPr>
          <w:rFonts w:asciiTheme="minorHAnsi" w:hAnsiTheme="minorHAnsi" w:cstheme="minorHAnsi"/>
          <w:szCs w:val="24"/>
        </w:rPr>
        <w:t xml:space="preserve">/ </w:t>
      </w:r>
      <w:hyperlink r:id="rId14" w:tgtFrame="_blank" w:history="1">
        <w:r w:rsidRPr="005115F0">
          <w:rPr>
            <w:rFonts w:asciiTheme="minorHAnsi" w:hAnsiTheme="minorHAnsi" w:cstheme="minorHAnsi"/>
            <w:szCs w:val="24"/>
          </w:rPr>
          <w:t>DES/EE-EEPS77 (ES 204 135)</w:t>
        </w:r>
      </w:hyperlink>
      <w:r w:rsidRPr="005115F0">
        <w:rPr>
          <w:rFonts w:asciiTheme="minorHAnsi" w:hAnsiTheme="minorHAnsi" w:cstheme="minorHAnsi"/>
          <w:szCs w:val="24"/>
        </w:rPr>
        <w:t>:</w:t>
      </w:r>
      <w:r w:rsidR="00156EED" w:rsidRPr="005115F0">
        <w:rPr>
          <w:rFonts w:asciiTheme="minorHAnsi" w:hAnsiTheme="minorHAnsi" w:cstheme="minorHAnsi"/>
          <w:szCs w:val="24"/>
        </w:rPr>
        <w:t xml:space="preserve"> </w:t>
      </w:r>
      <w:r w:rsidR="00156EED" w:rsidRPr="005115F0">
        <w:rPr>
          <w:rFonts w:asciiTheme="minorHAnsi" w:hAnsiTheme="minorHAnsi" w:cstheme="minorHAnsi"/>
          <w:szCs w:val="24"/>
          <w:lang w:val="en-US"/>
        </w:rPr>
        <w:t>“</w:t>
      </w:r>
      <w:r w:rsidR="00156EED" w:rsidRPr="005115F0">
        <w:rPr>
          <w:rFonts w:asciiTheme="minorHAnsi" w:hAnsiTheme="minorHAnsi" w:cstheme="minorHAnsi"/>
          <w:szCs w:val="24"/>
        </w:rPr>
        <w:t>Guidelines for Assessing the Impact of Artificial Intelligence on Greenhouse gas emissions”</w:t>
      </w:r>
      <w:r w:rsidR="00EA3BE4">
        <w:rPr>
          <w:rFonts w:asciiTheme="minorHAnsi" w:hAnsiTheme="minorHAnsi" w:cstheme="minorHAnsi"/>
          <w:szCs w:val="24"/>
        </w:rPr>
        <w:t xml:space="preserve">. This Recommendation </w:t>
      </w:r>
      <w:r w:rsidR="00F82EA2">
        <w:rPr>
          <w:rFonts w:asciiTheme="minorHAnsi" w:hAnsiTheme="minorHAnsi" w:cstheme="minorHAnsi"/>
          <w:szCs w:val="24"/>
        </w:rPr>
        <w:t xml:space="preserve">will provide a methodology on how to assess the AI </w:t>
      </w:r>
      <w:r w:rsidR="00B66D92">
        <w:rPr>
          <w:rFonts w:asciiTheme="minorHAnsi" w:hAnsiTheme="minorHAnsi" w:cstheme="minorHAnsi"/>
          <w:szCs w:val="24"/>
        </w:rPr>
        <w:t>environmental</w:t>
      </w:r>
      <w:r w:rsidR="00F82EA2">
        <w:rPr>
          <w:rFonts w:asciiTheme="minorHAnsi" w:hAnsiTheme="minorHAnsi" w:cstheme="minorHAnsi"/>
          <w:szCs w:val="24"/>
        </w:rPr>
        <w:t xml:space="preserve"> impact on GHG emissions, energy and water consumption, and material efficiency. </w:t>
      </w:r>
      <w:r w:rsidR="00156EED" w:rsidRPr="005115F0">
        <w:rPr>
          <w:rFonts w:asciiTheme="minorHAnsi" w:hAnsiTheme="minorHAnsi" w:cstheme="minorHAnsi"/>
          <w:szCs w:val="24"/>
        </w:rPr>
        <w:t>It is planned to be consented</w:t>
      </w:r>
      <w:r w:rsidR="00FC3D81">
        <w:rPr>
          <w:rFonts w:asciiTheme="minorHAnsi" w:hAnsiTheme="minorHAnsi" w:cstheme="minorHAnsi"/>
          <w:szCs w:val="24"/>
        </w:rPr>
        <w:t xml:space="preserve"> by the end of 2025</w:t>
      </w:r>
      <w:r w:rsidR="005115F0">
        <w:rPr>
          <w:rFonts w:asciiTheme="minorHAnsi" w:hAnsiTheme="minorHAnsi" w:cstheme="minorHAnsi"/>
          <w:szCs w:val="24"/>
        </w:rPr>
        <w:t>.</w:t>
      </w:r>
      <w:r w:rsidR="00156EED" w:rsidRPr="005115F0">
        <w:rPr>
          <w:rFonts w:asciiTheme="minorHAnsi" w:hAnsiTheme="minorHAnsi" w:cstheme="minorHAnsi"/>
          <w:szCs w:val="24"/>
        </w:rPr>
        <w:t xml:space="preserve"> </w:t>
      </w:r>
    </w:p>
    <w:p w14:paraId="7BB368EA" w14:textId="2F81C301" w:rsidR="00156EED" w:rsidRPr="005115F0" w:rsidRDefault="00156EED" w:rsidP="005115F0">
      <w:pPr>
        <w:ind w:left="567"/>
        <w:jc w:val="both"/>
        <w:rPr>
          <w:rFonts w:asciiTheme="minorHAnsi" w:hAnsiTheme="minorHAnsi" w:cstheme="minorHAnsi"/>
          <w:szCs w:val="24"/>
          <w:lang w:val="en-US"/>
        </w:rPr>
      </w:pPr>
      <w:proofErr w:type="spellStart"/>
      <w:r w:rsidRPr="005115F0">
        <w:rPr>
          <w:rFonts w:asciiTheme="minorHAnsi" w:hAnsiTheme="minorHAnsi" w:cstheme="minorHAnsi"/>
          <w:szCs w:val="24"/>
        </w:rPr>
        <w:t>L.simplifiedLCA</w:t>
      </w:r>
      <w:proofErr w:type="spellEnd"/>
      <w:r w:rsidRPr="005115F0">
        <w:rPr>
          <w:rFonts w:asciiTheme="minorHAnsi" w:hAnsiTheme="minorHAnsi" w:cstheme="minorHAnsi"/>
          <w:szCs w:val="24"/>
        </w:rPr>
        <w:t>/ES 204 085: “</w:t>
      </w:r>
      <w:r w:rsidRPr="005115F0">
        <w:rPr>
          <w:rFonts w:asciiTheme="minorHAnsi" w:hAnsiTheme="minorHAnsi" w:cstheme="minorHAnsi"/>
          <w:szCs w:val="24"/>
          <w:shd w:val="clear" w:color="auto" w:fill="FFFFFF"/>
        </w:rPr>
        <w:t>Guidance on simplified life cycle assessments of Information and Communication Technologies” this future standard cover</w:t>
      </w:r>
      <w:r w:rsidR="005115F0">
        <w:rPr>
          <w:rFonts w:asciiTheme="minorHAnsi" w:hAnsiTheme="minorHAnsi" w:cstheme="minorHAnsi"/>
          <w:szCs w:val="24"/>
          <w:shd w:val="clear" w:color="auto" w:fill="FFFFFF"/>
        </w:rPr>
        <w:t>s</w:t>
      </w:r>
      <w:r w:rsidRPr="005115F0">
        <w:rPr>
          <w:rFonts w:asciiTheme="minorHAnsi" w:hAnsiTheme="minorHAnsi" w:cstheme="minorHAnsi"/>
          <w:szCs w:val="24"/>
          <w:shd w:val="clear" w:color="auto" w:fill="FFFFFF"/>
        </w:rPr>
        <w:t xml:space="preserve"> the need to have “</w:t>
      </w:r>
      <w:r w:rsidR="0062280B" w:rsidRPr="005115F0">
        <w:rPr>
          <w:rFonts w:asciiTheme="minorHAnsi" w:hAnsiTheme="minorHAnsi" w:cstheme="minorHAnsi"/>
          <w:szCs w:val="24"/>
          <w:shd w:val="clear" w:color="auto" w:fill="FFFFFF"/>
        </w:rPr>
        <w:t>simplified</w:t>
      </w:r>
      <w:r w:rsidRPr="005115F0">
        <w:rPr>
          <w:rFonts w:asciiTheme="minorHAnsi" w:hAnsiTheme="minorHAnsi" w:cstheme="minorHAnsi"/>
          <w:szCs w:val="24"/>
          <w:shd w:val="clear" w:color="auto" w:fill="FFFFFF"/>
        </w:rPr>
        <w:t xml:space="preserve">”” method to </w:t>
      </w:r>
      <w:r w:rsidR="0062280B" w:rsidRPr="005115F0">
        <w:rPr>
          <w:rFonts w:asciiTheme="minorHAnsi" w:hAnsiTheme="minorHAnsi" w:cstheme="minorHAnsi"/>
          <w:szCs w:val="24"/>
          <w:shd w:val="clear" w:color="auto" w:fill="FFFFFF"/>
        </w:rPr>
        <w:t>perform</w:t>
      </w:r>
      <w:r w:rsidRPr="005115F0">
        <w:rPr>
          <w:rFonts w:asciiTheme="minorHAnsi" w:hAnsiTheme="minorHAnsi" w:cstheme="minorHAnsi"/>
          <w:szCs w:val="24"/>
          <w:shd w:val="clear" w:color="auto" w:fill="FFFFFF"/>
        </w:rPr>
        <w:t xml:space="preserve"> an LCA </w:t>
      </w:r>
      <w:r w:rsidR="0062280B" w:rsidRPr="005115F0">
        <w:rPr>
          <w:rFonts w:asciiTheme="minorHAnsi" w:hAnsiTheme="minorHAnsi" w:cstheme="minorHAnsi"/>
          <w:szCs w:val="24"/>
          <w:shd w:val="clear" w:color="auto" w:fill="FFFFFF"/>
        </w:rPr>
        <w:t>assessment</w:t>
      </w:r>
      <w:r w:rsidRPr="005115F0">
        <w:rPr>
          <w:rFonts w:asciiTheme="minorHAnsi" w:hAnsiTheme="minorHAnsi" w:cstheme="minorHAnsi"/>
          <w:szCs w:val="24"/>
          <w:shd w:val="clear" w:color="auto" w:fill="FFFFFF"/>
        </w:rPr>
        <w:t xml:space="preserve"> of a product in a simple way </w:t>
      </w:r>
      <w:r w:rsidR="0038688D">
        <w:rPr>
          <w:rFonts w:asciiTheme="minorHAnsi" w:hAnsiTheme="minorHAnsi" w:cstheme="minorHAnsi"/>
          <w:szCs w:val="24"/>
          <w:shd w:val="clear" w:color="auto" w:fill="FFFFFF"/>
        </w:rPr>
        <w:t xml:space="preserve">with </w:t>
      </w:r>
      <w:r w:rsidRPr="005115F0">
        <w:rPr>
          <w:rFonts w:asciiTheme="minorHAnsi" w:hAnsiTheme="minorHAnsi" w:cstheme="minorHAnsi"/>
          <w:szCs w:val="24"/>
          <w:shd w:val="clear" w:color="auto" w:fill="FFFFFF"/>
        </w:rPr>
        <w:t xml:space="preserve">respect to </w:t>
      </w:r>
      <w:r w:rsidR="0038688D">
        <w:rPr>
          <w:rFonts w:asciiTheme="minorHAnsi" w:hAnsiTheme="minorHAnsi" w:cstheme="minorHAnsi"/>
          <w:szCs w:val="24"/>
          <w:shd w:val="clear" w:color="auto" w:fill="FFFFFF"/>
        </w:rPr>
        <w:t xml:space="preserve">the </w:t>
      </w:r>
      <w:r w:rsidRPr="005115F0">
        <w:rPr>
          <w:rFonts w:asciiTheme="minorHAnsi" w:hAnsiTheme="minorHAnsi" w:cstheme="minorHAnsi"/>
          <w:szCs w:val="24"/>
          <w:shd w:val="clear" w:color="auto" w:fill="FFFFFF"/>
        </w:rPr>
        <w:t>full methodology described in L.1410</w:t>
      </w:r>
      <w:r w:rsidR="0062280B">
        <w:rPr>
          <w:rFonts w:asciiTheme="minorHAnsi" w:hAnsiTheme="minorHAnsi" w:cstheme="minorHAnsi"/>
          <w:szCs w:val="24"/>
          <w:shd w:val="clear" w:color="auto" w:fill="FFFFFF"/>
        </w:rPr>
        <w:t>.</w:t>
      </w:r>
      <w:r w:rsidRPr="005115F0">
        <w:rPr>
          <w:rFonts w:asciiTheme="minorHAnsi" w:hAnsiTheme="minorHAnsi" w:cstheme="minorHAnsi"/>
          <w:szCs w:val="24"/>
        </w:rPr>
        <w:t xml:space="preserve"> It is planned to be consented/approved </w:t>
      </w:r>
      <w:r w:rsidR="00FC3D81">
        <w:rPr>
          <w:rFonts w:asciiTheme="minorHAnsi" w:hAnsiTheme="minorHAnsi" w:cstheme="minorHAnsi"/>
          <w:szCs w:val="24"/>
        </w:rPr>
        <w:t>by the end of</w:t>
      </w:r>
      <w:r w:rsidR="0062280B">
        <w:rPr>
          <w:rFonts w:asciiTheme="minorHAnsi" w:hAnsiTheme="minorHAnsi" w:cstheme="minorHAnsi"/>
          <w:szCs w:val="24"/>
        </w:rPr>
        <w:t xml:space="preserve"> 2025.</w:t>
      </w:r>
      <w:r w:rsidRPr="005115F0">
        <w:rPr>
          <w:rFonts w:asciiTheme="minorHAnsi" w:hAnsiTheme="minorHAnsi" w:cstheme="minorHAnsi"/>
          <w:szCs w:val="24"/>
        </w:rPr>
        <w:t xml:space="preserve"> </w:t>
      </w:r>
    </w:p>
    <w:p w14:paraId="631B6410" w14:textId="533286BA" w:rsidR="00F41CC5" w:rsidRPr="005115F0" w:rsidRDefault="00156EED" w:rsidP="005115F0">
      <w:pPr>
        <w:ind w:left="360"/>
        <w:jc w:val="both"/>
        <w:rPr>
          <w:rFonts w:asciiTheme="minorHAnsi" w:hAnsiTheme="minorHAnsi" w:cstheme="minorHAnsi"/>
          <w:szCs w:val="24"/>
        </w:rPr>
      </w:pPr>
      <w:r w:rsidRPr="005115F0">
        <w:rPr>
          <w:rFonts w:asciiTheme="minorHAnsi" w:hAnsiTheme="minorHAnsi" w:cstheme="minorHAnsi"/>
          <w:szCs w:val="24"/>
          <w:lang w:val="en-US"/>
        </w:rPr>
        <w:lastRenderedPageBreak/>
        <w:t xml:space="preserve">Other </w:t>
      </w:r>
      <w:r w:rsidR="0062280B">
        <w:rPr>
          <w:rFonts w:asciiTheme="minorHAnsi" w:hAnsiTheme="minorHAnsi" w:cstheme="minorHAnsi"/>
          <w:szCs w:val="24"/>
          <w:lang w:val="en-US"/>
        </w:rPr>
        <w:t>Working Items (</w:t>
      </w:r>
      <w:r w:rsidRPr="005115F0">
        <w:rPr>
          <w:rFonts w:asciiTheme="minorHAnsi" w:hAnsiTheme="minorHAnsi" w:cstheme="minorHAnsi"/>
          <w:szCs w:val="24"/>
          <w:lang w:val="en-US"/>
        </w:rPr>
        <w:t>WI</w:t>
      </w:r>
      <w:r w:rsidR="0062280B">
        <w:rPr>
          <w:rFonts w:asciiTheme="minorHAnsi" w:hAnsiTheme="minorHAnsi" w:cstheme="minorHAnsi"/>
          <w:szCs w:val="24"/>
          <w:lang w:val="en-US"/>
        </w:rPr>
        <w:t>)</w:t>
      </w:r>
      <w:r w:rsidRPr="005115F0">
        <w:rPr>
          <w:rFonts w:asciiTheme="minorHAnsi" w:hAnsiTheme="minorHAnsi" w:cstheme="minorHAnsi"/>
          <w:szCs w:val="24"/>
          <w:lang w:val="en-US"/>
        </w:rPr>
        <w:t xml:space="preserve"> related to e</w:t>
      </w:r>
      <w:r w:rsidR="0062280B">
        <w:rPr>
          <w:rFonts w:asciiTheme="minorHAnsi" w:hAnsiTheme="minorHAnsi" w:cstheme="minorHAnsi"/>
          <w:szCs w:val="24"/>
          <w:lang w:val="en-US"/>
        </w:rPr>
        <w:t>-</w:t>
      </w:r>
      <w:r w:rsidRPr="005115F0">
        <w:rPr>
          <w:rFonts w:asciiTheme="minorHAnsi" w:hAnsiTheme="minorHAnsi" w:cstheme="minorHAnsi"/>
          <w:szCs w:val="24"/>
          <w:lang w:val="en-US"/>
        </w:rPr>
        <w:t>waste management are in progress.</w:t>
      </w:r>
    </w:p>
    <w:p w14:paraId="0C4F7D22" w14:textId="7112B9A6" w:rsidR="00302B0C" w:rsidRPr="00B66D92" w:rsidRDefault="00302B0C" w:rsidP="00B66D92">
      <w:pPr>
        <w:pStyle w:val="ListParagraph"/>
        <w:numPr>
          <w:ilvl w:val="0"/>
          <w:numId w:val="7"/>
        </w:numPr>
        <w:jc w:val="both"/>
        <w:rPr>
          <w:rFonts w:asciiTheme="minorHAnsi" w:hAnsiTheme="minorHAnsi" w:cstheme="minorHAnsi"/>
          <w:b/>
          <w:bCs/>
          <w:szCs w:val="24"/>
        </w:rPr>
      </w:pPr>
      <w:r w:rsidRPr="00B66D92">
        <w:rPr>
          <w:rFonts w:asciiTheme="minorHAnsi" w:hAnsiTheme="minorHAnsi" w:cstheme="minorHAnsi"/>
          <w:b/>
          <w:bCs/>
          <w:szCs w:val="24"/>
        </w:rPr>
        <w:t xml:space="preserve">Digital product passport </w:t>
      </w:r>
      <w:r w:rsidR="00FC3D81" w:rsidRPr="00B66D92">
        <w:rPr>
          <w:rFonts w:asciiTheme="minorHAnsi" w:hAnsiTheme="minorHAnsi" w:cstheme="minorHAnsi"/>
          <w:b/>
          <w:bCs/>
          <w:szCs w:val="24"/>
        </w:rPr>
        <w:t>for ICT products</w:t>
      </w:r>
      <w:r w:rsidR="0062280B" w:rsidRPr="00B66D92">
        <w:rPr>
          <w:rFonts w:asciiTheme="minorHAnsi" w:hAnsiTheme="minorHAnsi" w:cstheme="minorHAnsi"/>
          <w:b/>
          <w:bCs/>
          <w:szCs w:val="24"/>
        </w:rPr>
        <w:t>:</w:t>
      </w:r>
    </w:p>
    <w:p w14:paraId="763D9572" w14:textId="35E70AF1" w:rsidR="00156EED" w:rsidRDefault="00156EED" w:rsidP="0062280B">
      <w:pPr>
        <w:jc w:val="both"/>
      </w:pPr>
      <w:r>
        <w:t>Digital product passport is a topic with big discussion involving different standardization origination; on this ITU-T publish</w:t>
      </w:r>
      <w:r w:rsidR="0038688D">
        <w:t>ed</w:t>
      </w:r>
      <w:r>
        <w:t xml:space="preserve"> two recommendation L.1</w:t>
      </w:r>
      <w:r w:rsidR="0038688D">
        <w:t>0</w:t>
      </w:r>
      <w:r>
        <w:t>70 and L.1</w:t>
      </w:r>
      <w:r w:rsidR="0038688D">
        <w:t>0</w:t>
      </w:r>
      <w:r>
        <w:t>71 in collaboration with ETSI.</w:t>
      </w:r>
    </w:p>
    <w:p w14:paraId="0A3E6C10" w14:textId="1CB1537C" w:rsidR="00BC2031" w:rsidRDefault="00FC3D81" w:rsidP="0062280B">
      <w:pPr>
        <w:jc w:val="both"/>
      </w:pPr>
      <w:r>
        <w:t>Currently</w:t>
      </w:r>
      <w:r w:rsidR="0062280B">
        <w:t>,</w:t>
      </w:r>
      <w:r w:rsidR="00156EED">
        <w:t xml:space="preserve"> there is a</w:t>
      </w:r>
      <w:r w:rsidR="0062280B">
        <w:t>n</w:t>
      </w:r>
      <w:r w:rsidR="00156EED">
        <w:t xml:space="preserve"> exchange with UNECE </w:t>
      </w:r>
      <w:r>
        <w:t>on how to collaborate closely on this topic. Taking into consideration that UNECE has release</w:t>
      </w:r>
      <w:r w:rsidR="002F3E82">
        <w:t>d</w:t>
      </w:r>
      <w:r>
        <w:t xml:space="preserve"> Recommendation 49 </w:t>
      </w:r>
      <w:r w:rsidR="002F3E82">
        <w:t xml:space="preserve">on Transparency at Scale and is working on </w:t>
      </w:r>
      <w:r w:rsidR="003D1C0A">
        <w:t>United Nations Transparency Protocol for Digital Product Passports</w:t>
      </w:r>
      <w:r w:rsidR="00C34975">
        <w:t xml:space="preserve">. Additionally, ISO and UNECE </w:t>
      </w:r>
      <w:r w:rsidR="00BC2031">
        <w:t xml:space="preserve">launched </w:t>
      </w:r>
      <w:r w:rsidR="00C34975">
        <w:t>a Working group</w:t>
      </w:r>
      <w:r w:rsidR="00BC2031">
        <w:t xml:space="preserve"> on Digital Product Passport to advance sustainability and circular economy. ITU-T SG5 was invited to present their activities. </w:t>
      </w:r>
    </w:p>
    <w:p w14:paraId="6066F7D0" w14:textId="335750F4" w:rsidR="00A954CC" w:rsidRDefault="00BC2031" w:rsidP="0062280B">
      <w:pPr>
        <w:jc w:val="both"/>
      </w:pPr>
      <w:r>
        <w:t xml:space="preserve">Additionally, there are </w:t>
      </w:r>
      <w:r w:rsidR="004773BC">
        <w:t xml:space="preserve">other standardization activities on DPP: </w:t>
      </w:r>
    </w:p>
    <w:p w14:paraId="6AB99606" w14:textId="033CB4FB" w:rsidR="00302B0C" w:rsidRPr="00302B0C" w:rsidRDefault="00302B0C" w:rsidP="00B66D92">
      <w:pPr>
        <w:pStyle w:val="ListParagraph"/>
        <w:numPr>
          <w:ilvl w:val="0"/>
          <w:numId w:val="5"/>
        </w:numPr>
      </w:pPr>
      <w:r w:rsidRPr="00B66D92">
        <w:rPr>
          <w:b/>
          <w:bCs/>
        </w:rPr>
        <w:t>IEEE SA P3828</w:t>
      </w:r>
      <w:r w:rsidR="008F54F9" w:rsidRPr="00B66D92">
        <w:rPr>
          <w:b/>
          <w:bCs/>
        </w:rPr>
        <w:t xml:space="preserve"> - Standard for Digital Product Passport - Reference Architecture and Technical Requirements</w:t>
      </w:r>
      <w:r w:rsidR="00934C53" w:rsidRPr="00B66D92">
        <w:rPr>
          <w:b/>
          <w:bCs/>
        </w:rPr>
        <w:t xml:space="preserve">. </w:t>
      </w:r>
      <w:r w:rsidRPr="00302B0C">
        <w:t>This initiative</w:t>
      </w:r>
      <w:r w:rsidR="00934C53">
        <w:t xml:space="preserve"> is</w:t>
      </w:r>
      <w:r w:rsidRPr="00302B0C">
        <w:t xml:space="preserve"> led by the China Academy of Information and</w:t>
      </w:r>
      <w:r w:rsidR="0062280B">
        <w:t xml:space="preserve"> </w:t>
      </w:r>
      <w:r w:rsidRPr="00302B0C">
        <w:t>Communications Technology (CAICT)</w:t>
      </w:r>
      <w:r w:rsidR="00934C53">
        <w:t xml:space="preserve"> and</w:t>
      </w:r>
      <w:r w:rsidRPr="00302B0C">
        <w:t xml:space="preserve"> aims to establish a standardized global framework</w:t>
      </w:r>
      <w:r w:rsidR="0062280B">
        <w:t xml:space="preserve"> </w:t>
      </w:r>
      <w:r w:rsidRPr="00302B0C">
        <w:t>for digital product passports (DPPs).</w:t>
      </w:r>
    </w:p>
    <w:p w14:paraId="744FA292" w14:textId="35CD5555" w:rsidR="00302B0C" w:rsidRPr="00302B0C" w:rsidRDefault="00302B0C" w:rsidP="00B66D92">
      <w:pPr>
        <w:pStyle w:val="ListParagraph"/>
        <w:numPr>
          <w:ilvl w:val="0"/>
          <w:numId w:val="5"/>
        </w:numPr>
        <w:rPr>
          <w:b/>
          <w:bCs/>
        </w:rPr>
      </w:pPr>
      <w:r w:rsidRPr="00302B0C">
        <w:rPr>
          <w:b/>
          <w:bCs/>
        </w:rPr>
        <w:t>ISO/TC 154/JWG 9 - ISO/UNECE joint working group</w:t>
      </w:r>
      <w:r w:rsidR="00DF0C0D">
        <w:rPr>
          <w:b/>
          <w:bCs/>
        </w:rPr>
        <w:t xml:space="preserve"> - Digital Product Passport.</w:t>
      </w:r>
    </w:p>
    <w:p w14:paraId="28C53BC3" w14:textId="4248C864" w:rsidR="00302B0C" w:rsidRPr="008B3BA5" w:rsidRDefault="00302B0C" w:rsidP="00B66D92">
      <w:pPr>
        <w:pStyle w:val="ListParagraph"/>
        <w:numPr>
          <w:ilvl w:val="0"/>
          <w:numId w:val="5"/>
        </w:numPr>
        <w:rPr>
          <w:b/>
          <w:bCs/>
        </w:rPr>
      </w:pPr>
      <w:r w:rsidRPr="008B3BA5">
        <w:rPr>
          <w:b/>
          <w:bCs/>
        </w:rPr>
        <w:t>CEN/CENELEC JTC24</w:t>
      </w:r>
      <w:r w:rsidR="003F432C" w:rsidRPr="008B3BA5">
        <w:rPr>
          <w:b/>
          <w:bCs/>
        </w:rPr>
        <w:t xml:space="preserve"> </w:t>
      </w:r>
      <w:r w:rsidR="00676C21" w:rsidRPr="008B3BA5">
        <w:rPr>
          <w:b/>
          <w:bCs/>
        </w:rPr>
        <w:t>–</w:t>
      </w:r>
      <w:r w:rsidR="003F432C" w:rsidRPr="008B3BA5">
        <w:rPr>
          <w:b/>
          <w:bCs/>
        </w:rPr>
        <w:t xml:space="preserve"> </w:t>
      </w:r>
      <w:r w:rsidR="00676C21" w:rsidRPr="008B3BA5">
        <w:rPr>
          <w:b/>
          <w:bCs/>
        </w:rPr>
        <w:t>Digital P</w:t>
      </w:r>
      <w:r w:rsidR="00676C21" w:rsidRPr="00B66D92">
        <w:rPr>
          <w:b/>
          <w:bCs/>
        </w:rPr>
        <w:t>roduct Passport</w:t>
      </w:r>
    </w:p>
    <w:p w14:paraId="77A34927" w14:textId="3D64C166" w:rsidR="00302B0C" w:rsidRPr="00302B0C" w:rsidRDefault="00302B0C" w:rsidP="00302B0C">
      <w:pPr>
        <w:spacing w:before="0"/>
        <w:ind w:left="567"/>
      </w:pPr>
      <w:r w:rsidRPr="00302B0C">
        <w:t xml:space="preserve">This group is responsible to provide standards to establish a framework for the implementation of DPP in Europe following </w:t>
      </w:r>
      <w:r w:rsidR="003C4995" w:rsidRPr="00302B0C">
        <w:t>a</w:t>
      </w:r>
      <w:r w:rsidRPr="00302B0C">
        <w:t xml:space="preserve"> European mandate. The</w:t>
      </w:r>
      <w:r w:rsidR="00300BCB">
        <w:t xml:space="preserve"> </w:t>
      </w:r>
      <w:r w:rsidRPr="00302B0C">
        <w:t xml:space="preserve">plan </w:t>
      </w:r>
      <w:r w:rsidR="00300BCB">
        <w:t xml:space="preserve">is </w:t>
      </w:r>
      <w:r w:rsidRPr="00302B0C">
        <w:t xml:space="preserve">to finish their activities </w:t>
      </w:r>
      <w:r w:rsidR="003F432C">
        <w:t>i</w:t>
      </w:r>
      <w:r w:rsidRPr="00302B0C">
        <w:t xml:space="preserve">n </w:t>
      </w:r>
      <w:r w:rsidR="003F432C">
        <w:t>M</w:t>
      </w:r>
      <w:r w:rsidRPr="00302B0C">
        <w:t>arch 2026.</w:t>
      </w:r>
    </w:p>
    <w:p w14:paraId="57B03772" w14:textId="072DB372" w:rsidR="00FB4CC8" w:rsidRPr="00B66D92" w:rsidRDefault="00FB4CC8" w:rsidP="00B66D92">
      <w:pPr>
        <w:pStyle w:val="ListParagraph"/>
        <w:numPr>
          <w:ilvl w:val="0"/>
          <w:numId w:val="7"/>
        </w:numPr>
        <w:rPr>
          <w:b/>
          <w:bCs/>
          <w:lang w:val="en-US"/>
        </w:rPr>
      </w:pPr>
      <w:r w:rsidRPr="00B66D92">
        <w:rPr>
          <w:b/>
          <w:bCs/>
          <w:lang w:val="en-US"/>
        </w:rPr>
        <w:t>European Green Digital coalition</w:t>
      </w:r>
      <w:r w:rsidR="0062280B" w:rsidRPr="00B66D92">
        <w:rPr>
          <w:b/>
          <w:bCs/>
          <w:lang w:val="en-US"/>
        </w:rPr>
        <w:t>:</w:t>
      </w:r>
    </w:p>
    <w:p w14:paraId="053E10BA" w14:textId="344119E0" w:rsidR="00A954CC" w:rsidRDefault="006F3317" w:rsidP="00A954CC">
      <w:pPr>
        <w:rPr>
          <w:lang w:val="en-US"/>
        </w:rPr>
      </w:pPr>
      <w:r w:rsidRPr="006F3317">
        <w:rPr>
          <w:lang w:val="en-US"/>
        </w:rPr>
        <w:t>Th</w:t>
      </w:r>
      <w:r>
        <w:rPr>
          <w:lang w:val="en-US"/>
        </w:rPr>
        <w:t>is coalition</w:t>
      </w:r>
      <w:r w:rsidR="0062280B">
        <w:rPr>
          <w:lang w:val="en-US"/>
        </w:rPr>
        <w:t xml:space="preserve"> (</w:t>
      </w:r>
      <w:hyperlink r:id="rId15" w:history="1">
        <w:r w:rsidRPr="0079035A">
          <w:rPr>
            <w:rStyle w:val="Hyperlink"/>
            <w:lang w:val="en-US"/>
          </w:rPr>
          <w:t>https://www.greendigitalcoalition.eu/</w:t>
        </w:r>
      </w:hyperlink>
      <w:r>
        <w:rPr>
          <w:lang w:val="en-US"/>
        </w:rPr>
        <w:t xml:space="preserve">) </w:t>
      </w:r>
      <w:r w:rsidR="006F4612">
        <w:rPr>
          <w:lang w:val="en-US"/>
        </w:rPr>
        <w:t xml:space="preserve">was </w:t>
      </w:r>
      <w:r>
        <w:rPr>
          <w:lang w:val="en-US"/>
        </w:rPr>
        <w:t>establish</w:t>
      </w:r>
      <w:r w:rsidR="0062280B">
        <w:rPr>
          <w:lang w:val="en-US"/>
        </w:rPr>
        <w:t>ed</w:t>
      </w:r>
      <w:r>
        <w:rPr>
          <w:lang w:val="en-US"/>
        </w:rPr>
        <w:t xml:space="preserve"> by EU </w:t>
      </w:r>
      <w:r w:rsidR="0062280B">
        <w:rPr>
          <w:lang w:val="en-US"/>
        </w:rPr>
        <w:t>C</w:t>
      </w:r>
      <w:r>
        <w:rPr>
          <w:lang w:val="en-US"/>
        </w:rPr>
        <w:t>ommission with different stakeholder</w:t>
      </w:r>
      <w:r w:rsidR="006F4612">
        <w:rPr>
          <w:lang w:val="en-US"/>
        </w:rPr>
        <w:t>. In the first</w:t>
      </w:r>
      <w:r w:rsidR="00B80372">
        <w:rPr>
          <w:lang w:val="en-US"/>
        </w:rPr>
        <w:t xml:space="preserve"> </w:t>
      </w:r>
      <w:r w:rsidR="00070B66">
        <w:rPr>
          <w:lang w:val="en-US"/>
        </w:rPr>
        <w:t>phase</w:t>
      </w:r>
      <w:r w:rsidR="00B80372">
        <w:rPr>
          <w:lang w:val="en-US"/>
        </w:rPr>
        <w:t xml:space="preserve">, </w:t>
      </w:r>
      <w:r>
        <w:rPr>
          <w:lang w:val="en-US"/>
        </w:rPr>
        <w:t>ITU was part of the advisory board</w:t>
      </w:r>
      <w:r w:rsidR="00B80372">
        <w:rPr>
          <w:lang w:val="en-US"/>
        </w:rPr>
        <w:t xml:space="preserve">. The purpose of the EGDC was to develop a methodology </w:t>
      </w:r>
      <w:r>
        <w:rPr>
          <w:lang w:val="en-US"/>
        </w:rPr>
        <w:t xml:space="preserve">for the </w:t>
      </w:r>
      <w:r w:rsidR="0062280B">
        <w:rPr>
          <w:lang w:val="en-US"/>
        </w:rPr>
        <w:t>assessment</w:t>
      </w:r>
      <w:r>
        <w:rPr>
          <w:lang w:val="en-US"/>
        </w:rPr>
        <w:t xml:space="preserve"> of ICT </w:t>
      </w:r>
      <w:r w:rsidR="0014622E">
        <w:rPr>
          <w:lang w:val="en-US"/>
        </w:rPr>
        <w:t xml:space="preserve">solutions </w:t>
      </w:r>
      <w:r>
        <w:rPr>
          <w:lang w:val="en-US"/>
        </w:rPr>
        <w:t>in</w:t>
      </w:r>
      <w:r w:rsidR="0014622E">
        <w:rPr>
          <w:lang w:val="en-US"/>
        </w:rPr>
        <w:t xml:space="preserve"> different</w:t>
      </w:r>
      <w:r>
        <w:rPr>
          <w:lang w:val="en-US"/>
        </w:rPr>
        <w:t xml:space="preserve"> sector</w:t>
      </w:r>
      <w:r w:rsidR="0014622E">
        <w:rPr>
          <w:lang w:val="en-US"/>
        </w:rPr>
        <w:t>s</w:t>
      </w:r>
      <w:r>
        <w:rPr>
          <w:lang w:val="en-US"/>
        </w:rPr>
        <w:t xml:space="preserve">. Their method is based on </w:t>
      </w:r>
      <w:r w:rsidR="0014622E">
        <w:rPr>
          <w:lang w:val="en-US"/>
        </w:rPr>
        <w:t xml:space="preserve">Recommendation ITU-T </w:t>
      </w:r>
      <w:r>
        <w:rPr>
          <w:lang w:val="en-US"/>
        </w:rPr>
        <w:t>L.1480 with some modification</w:t>
      </w:r>
      <w:r w:rsidR="00070B66">
        <w:rPr>
          <w:lang w:val="en-US"/>
        </w:rPr>
        <w:t>s</w:t>
      </w:r>
      <w:r>
        <w:rPr>
          <w:lang w:val="en-US"/>
        </w:rPr>
        <w:t xml:space="preserve">.  </w:t>
      </w:r>
    </w:p>
    <w:p w14:paraId="4071F032" w14:textId="5FFCC649" w:rsidR="006F3317" w:rsidRPr="006F3317" w:rsidRDefault="00070B66" w:rsidP="00A954CC">
      <w:pPr>
        <w:rPr>
          <w:lang w:val="en-US"/>
        </w:rPr>
      </w:pPr>
      <w:r>
        <w:rPr>
          <w:lang w:val="en-US"/>
        </w:rPr>
        <w:t>Currently</w:t>
      </w:r>
      <w:r w:rsidR="0062280B">
        <w:rPr>
          <w:lang w:val="en-US"/>
        </w:rPr>
        <w:t>,</w:t>
      </w:r>
      <w:r w:rsidR="006F3317">
        <w:rPr>
          <w:lang w:val="en-US"/>
        </w:rPr>
        <w:t xml:space="preserve"> </w:t>
      </w:r>
      <w:r w:rsidR="00BF465E">
        <w:rPr>
          <w:lang w:val="en-US"/>
        </w:rPr>
        <w:t xml:space="preserve">a second phase of the EGDC was </w:t>
      </w:r>
      <w:r w:rsidR="006F3317">
        <w:rPr>
          <w:lang w:val="en-US"/>
        </w:rPr>
        <w:t>launch</w:t>
      </w:r>
      <w:r w:rsidR="00BF465E">
        <w:rPr>
          <w:lang w:val="en-US"/>
        </w:rPr>
        <w:t>ed</w:t>
      </w:r>
      <w:r w:rsidR="006F3317">
        <w:rPr>
          <w:lang w:val="en-US"/>
        </w:rPr>
        <w:t xml:space="preserve"> to collect more use case</w:t>
      </w:r>
      <w:r w:rsidR="00BF465E">
        <w:rPr>
          <w:lang w:val="en-US"/>
        </w:rPr>
        <w:t>s</w:t>
      </w:r>
      <w:r w:rsidR="006F3317">
        <w:rPr>
          <w:lang w:val="en-US"/>
        </w:rPr>
        <w:t xml:space="preserve">. A workshop was organized on 8 may to present their plan </w:t>
      </w:r>
      <w:hyperlink r:id="rId16" w:history="1">
        <w:r w:rsidR="006F3317" w:rsidRPr="0079035A">
          <w:rPr>
            <w:rStyle w:val="Hyperlink"/>
            <w:lang w:val="en-US"/>
          </w:rPr>
          <w:t>https://youtu.be/_ZMTn_KsfvI</w:t>
        </w:r>
      </w:hyperlink>
      <w:r w:rsidR="006F3317">
        <w:rPr>
          <w:lang w:val="en-US"/>
        </w:rPr>
        <w:t xml:space="preserve"> .  </w:t>
      </w:r>
    </w:p>
    <w:p w14:paraId="757D924B" w14:textId="1BDCE5F4" w:rsidR="00A954CC" w:rsidRPr="00B66D92" w:rsidRDefault="003C4995" w:rsidP="00B66D92">
      <w:pPr>
        <w:pStyle w:val="ListParagraph"/>
        <w:numPr>
          <w:ilvl w:val="0"/>
          <w:numId w:val="7"/>
        </w:numPr>
        <w:rPr>
          <w:b/>
          <w:bCs/>
        </w:rPr>
      </w:pPr>
      <w:r w:rsidRPr="00B66D92">
        <w:rPr>
          <w:b/>
          <w:bCs/>
        </w:rPr>
        <w:t>Pilot project on draft Recommendation ITU-T L.1472</w:t>
      </w:r>
    </w:p>
    <w:p w14:paraId="4AA9400C" w14:textId="326A5F0D" w:rsidR="00586F01" w:rsidRDefault="00586F01" w:rsidP="005241E0">
      <w:r>
        <w:rPr>
          <w:b/>
          <w:bCs/>
        </w:rPr>
        <w:t xml:space="preserve">A pilot project to test the feasibility to collect the data suggested </w:t>
      </w:r>
      <w:r w:rsidRPr="00B66D92">
        <w:t xml:space="preserve">in draft Recommendation ITU-T L.1472 - </w:t>
      </w:r>
      <w:r w:rsidR="00845534" w:rsidRPr="00B66D92">
        <w:t>Requirements for the creation of an ITU database on energy consumption and GHG emissions of the ICT sector</w:t>
      </w:r>
      <w:r w:rsidR="004264B5">
        <w:t xml:space="preserve"> will start in June 2025.</w:t>
      </w:r>
    </w:p>
    <w:p w14:paraId="52A7E522" w14:textId="6A07946B" w:rsidR="004264B5" w:rsidRDefault="0054136C" w:rsidP="005241E0">
      <w:r>
        <w:t>The expected deliverables are the following:</w:t>
      </w:r>
    </w:p>
    <w:p w14:paraId="358BF4D8" w14:textId="77777777" w:rsidR="0054136C" w:rsidRPr="0054136C" w:rsidRDefault="0054136C" w:rsidP="0054136C">
      <w:pPr>
        <w:numPr>
          <w:ilvl w:val="1"/>
          <w:numId w:val="6"/>
        </w:numPr>
      </w:pPr>
      <w:r w:rsidRPr="0054136C">
        <w:t>Initial assessment of available data requested in draft Recommendation ITU-T L.1472 from existing data sources for companies.</w:t>
      </w:r>
    </w:p>
    <w:p w14:paraId="553CD650" w14:textId="77777777" w:rsidR="0054136C" w:rsidRPr="0054136C" w:rsidRDefault="0054136C" w:rsidP="0054136C">
      <w:pPr>
        <w:numPr>
          <w:ilvl w:val="1"/>
          <w:numId w:val="6"/>
        </w:numPr>
      </w:pPr>
      <w:r w:rsidRPr="0054136C">
        <w:t>A distinction will be made between the ‘first step’/basic and ‘second step/ advanced data sets as indicated in Recommendation ITU-T L.1472 with a focus on the second step</w:t>
      </w:r>
      <w:r w:rsidRPr="0054136C">
        <w:rPr>
          <w:u w:val="single"/>
        </w:rPr>
        <w:t xml:space="preserve"> </w:t>
      </w:r>
      <w:r w:rsidRPr="00B66D92">
        <w:rPr>
          <w:lang w:val="en-US"/>
        </w:rPr>
        <w:t> </w:t>
      </w:r>
    </w:p>
    <w:p w14:paraId="19F69EB8" w14:textId="77777777" w:rsidR="0054136C" w:rsidRPr="0054136C" w:rsidRDefault="0054136C" w:rsidP="0054136C">
      <w:pPr>
        <w:numPr>
          <w:ilvl w:val="1"/>
          <w:numId w:val="6"/>
        </w:numPr>
      </w:pPr>
      <w:r w:rsidRPr="0054136C">
        <w:t xml:space="preserve">Initial assessment of the feasibility of collecting not-yet-available data requested in draft Recommendation ITU-T L.1472 through interviews with companies. </w:t>
      </w:r>
    </w:p>
    <w:p w14:paraId="2533C2A6" w14:textId="77777777" w:rsidR="0054136C" w:rsidRPr="0054136C" w:rsidRDefault="0054136C" w:rsidP="0054136C">
      <w:pPr>
        <w:numPr>
          <w:ilvl w:val="1"/>
          <w:numId w:val="6"/>
        </w:numPr>
      </w:pPr>
      <w:r w:rsidRPr="0054136C">
        <w:lastRenderedPageBreak/>
        <w:t xml:space="preserve">Feedback for the update of draft ITU-T L.1472 based on the initial assessment. </w:t>
      </w:r>
    </w:p>
    <w:p w14:paraId="4DBF30EC" w14:textId="77777777" w:rsidR="0054136C" w:rsidRPr="0054136C" w:rsidRDefault="0054136C" w:rsidP="0054136C">
      <w:pPr>
        <w:numPr>
          <w:ilvl w:val="1"/>
          <w:numId w:val="6"/>
        </w:numPr>
      </w:pPr>
      <w:r w:rsidRPr="0054136C">
        <w:t xml:space="preserve">Complementary assessment of data being collected by countries based on interviews and identification on how the data requested in L.1472 is feasible for countries. </w:t>
      </w:r>
    </w:p>
    <w:p w14:paraId="39B30C39" w14:textId="77777777" w:rsidR="0054136C" w:rsidRDefault="0054136C" w:rsidP="005241E0"/>
    <w:p w14:paraId="38D07A61" w14:textId="0FB1549B" w:rsidR="007C57BB" w:rsidRPr="004264B5" w:rsidRDefault="007C57BB" w:rsidP="00B66D92">
      <w:pPr>
        <w:jc w:val="center"/>
      </w:pPr>
      <w:r>
        <w:t>______________</w:t>
      </w:r>
    </w:p>
    <w:p w14:paraId="138D78F8" w14:textId="77777777" w:rsidR="005241E0" w:rsidRPr="005241E0" w:rsidRDefault="005241E0" w:rsidP="005241E0"/>
    <w:p w14:paraId="3566798B" w14:textId="77777777" w:rsidR="005241E0" w:rsidRPr="005241E0" w:rsidRDefault="005241E0" w:rsidP="005241E0"/>
    <w:p w14:paraId="37518CDC" w14:textId="77777777" w:rsidR="005241E0" w:rsidRPr="005241E0" w:rsidRDefault="005241E0" w:rsidP="005241E0"/>
    <w:p w14:paraId="4E9592B6" w14:textId="77777777" w:rsidR="005241E0" w:rsidRPr="005241E0" w:rsidRDefault="005241E0" w:rsidP="005241E0"/>
    <w:p w14:paraId="5B2A3232" w14:textId="77777777" w:rsidR="005241E0" w:rsidRPr="005241E0" w:rsidRDefault="005241E0" w:rsidP="005241E0"/>
    <w:p w14:paraId="7CD49F72" w14:textId="77777777" w:rsidR="005241E0" w:rsidRPr="005241E0" w:rsidRDefault="005241E0" w:rsidP="005241E0"/>
    <w:p w14:paraId="03F5DF37" w14:textId="77777777" w:rsidR="005241E0" w:rsidRPr="005241E0" w:rsidRDefault="005241E0" w:rsidP="005241E0"/>
    <w:p w14:paraId="0A80EBC5" w14:textId="77777777" w:rsidR="005241E0" w:rsidRPr="005241E0" w:rsidRDefault="005241E0" w:rsidP="005241E0"/>
    <w:p w14:paraId="0EE18D2E" w14:textId="77777777" w:rsidR="005241E0" w:rsidRPr="005241E0" w:rsidRDefault="005241E0" w:rsidP="005241E0"/>
    <w:p w14:paraId="7DF1E26B" w14:textId="77777777" w:rsidR="005241E0" w:rsidRPr="005241E0" w:rsidRDefault="005241E0" w:rsidP="005241E0"/>
    <w:p w14:paraId="4388125D" w14:textId="77777777" w:rsidR="005241E0" w:rsidRPr="005241E0" w:rsidRDefault="005241E0" w:rsidP="005241E0"/>
    <w:p w14:paraId="56355E6A" w14:textId="77777777" w:rsidR="005241E0" w:rsidRPr="005241E0" w:rsidRDefault="005241E0" w:rsidP="005241E0"/>
    <w:p w14:paraId="5873E02C" w14:textId="77777777" w:rsidR="005241E0" w:rsidRPr="005241E0" w:rsidRDefault="005241E0" w:rsidP="005241E0"/>
    <w:p w14:paraId="706BE5C0" w14:textId="77777777" w:rsidR="005241E0" w:rsidRPr="005241E0" w:rsidRDefault="005241E0" w:rsidP="005241E0"/>
    <w:p w14:paraId="7659FAEC" w14:textId="77777777" w:rsidR="005241E0" w:rsidRPr="005241E0" w:rsidRDefault="005241E0" w:rsidP="005241E0"/>
    <w:p w14:paraId="74FC1975" w14:textId="77777777" w:rsidR="005241E0" w:rsidRPr="005241E0" w:rsidRDefault="005241E0" w:rsidP="005241E0"/>
    <w:p w14:paraId="066982BC" w14:textId="77777777" w:rsidR="005241E0" w:rsidRPr="005241E0" w:rsidRDefault="005241E0" w:rsidP="005241E0"/>
    <w:sectPr w:rsidR="005241E0" w:rsidRPr="005241E0" w:rsidSect="00AD3606">
      <w:footerReference w:type="even" r:id="rId17"/>
      <w:footerReference w:type="default" r:id="rId18"/>
      <w:headerReference w:type="first" r:id="rId19"/>
      <w:footerReference w:type="first" r:id="rId20"/>
      <w:pgSz w:w="11907" w:h="16834"/>
      <w:pgMar w:top="1418" w:right="1418" w:bottom="1418" w:left="1418" w:header="720" w:footer="720" w:gutter="0"/>
      <w:paperSrc w:first="286" w:other="286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DD6631" w14:textId="77777777" w:rsidR="00E83CF8" w:rsidRDefault="00E83CF8">
      <w:r>
        <w:separator/>
      </w:r>
    </w:p>
  </w:endnote>
  <w:endnote w:type="continuationSeparator" w:id="0">
    <w:p w14:paraId="139FA260" w14:textId="77777777" w:rsidR="00E83CF8" w:rsidRDefault="00E83C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Nxt2 W1G Medium">
    <w:altName w:val="Calibri"/>
    <w:panose1 w:val="00000000000000000000"/>
    <w:charset w:val="00"/>
    <w:family w:val="swiss"/>
    <w:notTrueType/>
    <w:pitch w:val="variable"/>
    <w:sig w:usb0="A00002EF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962F16" w14:textId="60042014" w:rsidR="00104E86" w:rsidRDefault="00104E8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03"/>
      <w:gridCol w:w="8261"/>
    </w:tblGrid>
    <w:tr w:rsidR="00EE49E8" w:rsidRPr="00870C17" w14:paraId="5871917D" w14:textId="77777777" w:rsidTr="0042469C">
      <w:trPr>
        <w:jc w:val="center"/>
      </w:trPr>
      <w:tc>
        <w:tcPr>
          <w:tcW w:w="1803" w:type="dxa"/>
          <w:vAlign w:val="center"/>
        </w:tcPr>
        <w:p w14:paraId="43DB2B7E" w14:textId="4DB2D0E1" w:rsidR="00EE49E8" w:rsidRDefault="00EE49E8" w:rsidP="00EE49E8">
          <w:pPr>
            <w:pStyle w:val="Header"/>
            <w:jc w:val="left"/>
            <w:rPr>
              <w:noProof/>
            </w:rPr>
          </w:pPr>
        </w:p>
      </w:tc>
      <w:tc>
        <w:tcPr>
          <w:tcW w:w="8261" w:type="dxa"/>
        </w:tcPr>
        <w:p w14:paraId="4A206939" w14:textId="77777777" w:rsidR="00EE49E8" w:rsidRPr="00877BF2" w:rsidRDefault="00EE49E8" w:rsidP="00B82C1B">
          <w:pPr>
            <w:pStyle w:val="Header"/>
            <w:tabs>
              <w:tab w:val="left" w:pos="6451"/>
              <w:tab w:val="right" w:pos="8505"/>
              <w:tab w:val="right" w:pos="9639"/>
            </w:tabs>
            <w:jc w:val="left"/>
            <w:rPr>
              <w:rFonts w:ascii="Arial" w:hAnsi="Arial" w:cs="Arial"/>
              <w:b/>
              <w:bCs/>
              <w:szCs w:val="18"/>
              <w:lang w:val="es-ES"/>
            </w:rPr>
          </w:pPr>
          <w:r w:rsidRPr="005C13D4">
            <w:rPr>
              <w:bCs/>
              <w:lang w:val="fr-CH"/>
            </w:rPr>
            <w:tab/>
          </w:r>
          <w:r w:rsidR="00B82C1B">
            <w:rPr>
              <w:bCs/>
              <w:lang w:val="es-ES"/>
            </w:rPr>
            <w:t>CWG-SFP</w:t>
          </w:r>
          <w:r w:rsidR="00B82C1B" w:rsidRPr="00870C17">
            <w:rPr>
              <w:bCs/>
              <w:lang w:val="es-ES"/>
            </w:rPr>
            <w:t>-</w:t>
          </w:r>
          <w:r w:rsidR="00B82C1B">
            <w:rPr>
              <w:bCs/>
              <w:lang w:val="es-ES"/>
            </w:rPr>
            <w:t>2/</w:t>
          </w:r>
          <w:proofErr w:type="spellStart"/>
          <w:r w:rsidR="00A52C84" w:rsidRPr="00877BF2">
            <w:rPr>
              <w:bCs/>
              <w:lang w:val="es-ES"/>
            </w:rPr>
            <w:t>xx</w:t>
          </w:r>
          <w:proofErr w:type="spellEnd"/>
          <w:r w:rsidR="00A52C84" w:rsidRPr="00877BF2">
            <w:rPr>
              <w:bCs/>
              <w:lang w:val="es-ES"/>
            </w:rPr>
            <w:t>-E</w:t>
          </w:r>
          <w:r w:rsidRPr="00877BF2">
            <w:rPr>
              <w:bCs/>
              <w:lang w:val="es-ES"/>
            </w:rPr>
            <w:tab/>
          </w:r>
          <w:r>
            <w:fldChar w:fldCharType="begin"/>
          </w:r>
          <w:r w:rsidRPr="00877BF2">
            <w:rPr>
              <w:lang w:val="es-ES"/>
            </w:rPr>
            <w:instrText>PAGE</w:instrText>
          </w:r>
          <w:r>
            <w:fldChar w:fldCharType="separate"/>
          </w:r>
          <w:r w:rsidRPr="00877BF2">
            <w:rPr>
              <w:lang w:val="es-ES"/>
            </w:rPr>
            <w:t>1</w:t>
          </w:r>
          <w:r>
            <w:rPr>
              <w:noProof/>
            </w:rPr>
            <w:fldChar w:fldCharType="end"/>
          </w:r>
        </w:p>
      </w:tc>
    </w:tr>
  </w:tbl>
  <w:p w14:paraId="17E743D3" w14:textId="77777777" w:rsidR="00EE49E8" w:rsidRPr="00877BF2" w:rsidRDefault="00EE49E8" w:rsidP="00EE49E8">
    <w:pPr>
      <w:pStyle w:val="Header"/>
      <w:tabs>
        <w:tab w:val="left" w:pos="8080"/>
        <w:tab w:val="right" w:pos="9072"/>
      </w:tabs>
      <w:jc w:val="left"/>
      <w:rPr>
        <w:bCs/>
        <w:lang w:val="es-E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326"/>
      <w:gridCol w:w="2738"/>
    </w:tblGrid>
    <w:tr w:rsidR="00EE49E8" w:rsidRPr="00870C17" w14:paraId="5BA76277" w14:textId="77777777" w:rsidTr="005241E0">
      <w:trPr>
        <w:jc w:val="center"/>
      </w:trPr>
      <w:tc>
        <w:tcPr>
          <w:tcW w:w="7326" w:type="dxa"/>
          <w:vAlign w:val="center"/>
        </w:tcPr>
        <w:p w14:paraId="632A53C7" w14:textId="5677D1A7" w:rsidR="00EE49E8" w:rsidRPr="00D74BFC" w:rsidRDefault="005241E0" w:rsidP="00EE49E8">
          <w:pPr>
            <w:pStyle w:val="Header"/>
            <w:jc w:val="left"/>
            <w:rPr>
              <w:noProof/>
            </w:rPr>
          </w:pPr>
          <w:hyperlink r:id="rId1" w:history="1">
            <w:r w:rsidRPr="00252211">
              <w:rPr>
                <w:rStyle w:val="Hyperlink"/>
              </w:rPr>
              <w:t>https://www.itu.int/en/general-secretariat/Pages/ISCG/</w:t>
            </w:r>
          </w:hyperlink>
          <w:r>
            <w:t xml:space="preserve"> </w:t>
          </w:r>
        </w:p>
      </w:tc>
      <w:tc>
        <w:tcPr>
          <w:tcW w:w="2738" w:type="dxa"/>
        </w:tcPr>
        <w:p w14:paraId="69DCEE1B" w14:textId="77777777" w:rsidR="00EE49E8" w:rsidRPr="000F6AB8" w:rsidRDefault="00EE49E8" w:rsidP="005241E0">
          <w:pPr>
            <w:pStyle w:val="Header"/>
            <w:tabs>
              <w:tab w:val="left" w:pos="5150"/>
              <w:tab w:val="right" w:pos="8505"/>
              <w:tab w:val="right" w:pos="9639"/>
            </w:tabs>
            <w:jc w:val="right"/>
            <w:rPr>
              <w:rFonts w:ascii="Arial" w:hAnsi="Arial" w:cs="Arial"/>
              <w:b/>
              <w:bCs/>
              <w:szCs w:val="18"/>
              <w:lang w:val="es-ES"/>
            </w:rPr>
          </w:pPr>
          <w:r>
            <w:fldChar w:fldCharType="begin"/>
          </w:r>
          <w:r w:rsidRPr="000F6AB8">
            <w:rPr>
              <w:lang w:val="es-ES"/>
            </w:rPr>
            <w:instrText>PAGE</w:instrText>
          </w:r>
          <w:r>
            <w:fldChar w:fldCharType="separate"/>
          </w:r>
          <w:r w:rsidRPr="000F6AB8">
            <w:rPr>
              <w:lang w:val="es-ES"/>
            </w:rPr>
            <w:t>1</w:t>
          </w:r>
          <w:r>
            <w:rPr>
              <w:noProof/>
            </w:rPr>
            <w:fldChar w:fldCharType="end"/>
          </w:r>
        </w:p>
      </w:tc>
    </w:tr>
  </w:tbl>
  <w:p w14:paraId="3F795535" w14:textId="77777777" w:rsidR="00A514A4" w:rsidRPr="000F6AB8" w:rsidRDefault="00A514A4" w:rsidP="00EE49E8">
    <w:pPr>
      <w:pStyle w:val="Header"/>
      <w:tabs>
        <w:tab w:val="left" w:pos="8080"/>
        <w:tab w:val="right" w:pos="9072"/>
      </w:tabs>
      <w:jc w:val="right"/>
      <w:rPr>
        <w:bCs/>
        <w:lang w:val="es-E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9DC0EC" w14:textId="77777777" w:rsidR="00E83CF8" w:rsidRDefault="00E83CF8">
      <w:r>
        <w:t>____________________</w:t>
      </w:r>
    </w:p>
  </w:footnote>
  <w:footnote w:type="continuationSeparator" w:id="0">
    <w:p w14:paraId="27786A94" w14:textId="77777777" w:rsidR="00E83CF8" w:rsidRDefault="00E83C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20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546"/>
      <w:gridCol w:w="3474"/>
    </w:tblGrid>
    <w:tr w:rsidR="00AD3606" w:rsidRPr="00784011" w14:paraId="6B3043BD" w14:textId="77777777" w:rsidTr="00F74694">
      <w:trPr>
        <w:trHeight w:val="1304"/>
        <w:jc w:val="center"/>
      </w:trPr>
      <w:tc>
        <w:tcPr>
          <w:tcW w:w="6546" w:type="dxa"/>
        </w:tcPr>
        <w:bookmarkStart w:id="11" w:name="_Hlk133422111"/>
        <w:p w14:paraId="0FD780D5" w14:textId="77777777" w:rsidR="00AD3606" w:rsidRPr="009621F8" w:rsidRDefault="00533E0D" w:rsidP="00130599">
          <w:pPr>
            <w:pStyle w:val="Header"/>
            <w:jc w:val="left"/>
            <w:rPr>
              <w:rFonts w:ascii="Arial" w:hAnsi="Arial" w:cs="Arial"/>
              <w:b/>
              <w:bCs/>
              <w:color w:val="009CD6"/>
              <w:sz w:val="36"/>
              <w:szCs w:val="36"/>
            </w:rPr>
          </w:pPr>
          <w:r w:rsidRPr="00130599">
            <w:rPr>
              <w:rFonts w:ascii="Arial" w:hAnsi="Arial" w:cs="Arial"/>
              <w:b/>
              <w:bCs/>
              <w:noProof/>
              <w:color w:val="009CD6"/>
              <w:szCs w:val="18"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1" allowOverlap="1" wp14:anchorId="7CC279CC" wp14:editId="4BC77E2C">
                    <wp:simplePos x="0" y="0"/>
                    <wp:positionH relativeFrom="column">
                      <wp:posOffset>1438380</wp:posOffset>
                    </wp:positionH>
                    <wp:positionV relativeFrom="paragraph">
                      <wp:posOffset>7620</wp:posOffset>
                    </wp:positionV>
                    <wp:extent cx="3999230" cy="471170"/>
                    <wp:effectExtent l="0" t="0" r="1270" b="1270"/>
                    <wp:wrapNone/>
                    <wp:docPr id="217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3999230" cy="47117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AB7EED9" w14:textId="2A6D99FD" w:rsidR="00130599" w:rsidRDefault="006C2E4B" w:rsidP="00533E0D">
                                <w:pPr>
                                  <w:spacing w:before="0"/>
                                  <w:ind w:left="-57"/>
                                </w:pPr>
                                <w:r>
                                  <w:rPr>
                                    <w:b/>
                                    <w:bCs/>
                                    <w:szCs w:val="24"/>
                                  </w:rPr>
                                  <w:t xml:space="preserve">Inter-Sector Coordination Group (ISCG) </w:t>
                                </w:r>
                                <w:r w:rsidR="00B82C1B" w:rsidRPr="00F74694">
                                  <w:rPr>
                                    <w:b/>
                                    <w:bCs/>
                                    <w:szCs w:val="24"/>
                                  </w:rPr>
                                  <w:t xml:space="preserve"> </w:t>
                                </w:r>
                                <w:r w:rsidR="00B82C1B" w:rsidRPr="00F74694">
                                  <w:rPr>
                                    <w:b/>
                                    <w:bCs/>
                                    <w:szCs w:val="24"/>
                                  </w:rPr>
                                  <w:br/>
                                </w:r>
                                <w:r>
                                  <w:rPr>
                                    <w:b/>
                                    <w:bCs/>
                                    <w:szCs w:val="24"/>
                                  </w:rPr>
                                  <w:t xml:space="preserve">on issues </w:t>
                                </w:r>
                                <w:r w:rsidR="005241E0">
                                  <w:rPr>
                                    <w:b/>
                                    <w:bCs/>
                                    <w:szCs w:val="24"/>
                                  </w:rPr>
                                  <w:t>of mutual interest</w:t>
                                </w:r>
                                <w:r w:rsidR="00B82C1B">
                                  <w:br/>
                                </w:r>
                                <w:r w:rsidR="005241E0">
                                  <w:rPr>
                                    <w:sz w:val="20"/>
                                  </w:rPr>
                                  <w:t xml:space="preserve">Geneva, </w:t>
                                </w:r>
                                <w:r w:rsidR="00F70249">
                                  <w:rPr>
                                    <w:sz w:val="20"/>
                                  </w:rPr>
                                  <w:t>28 May</w:t>
                                </w:r>
                                <w:r w:rsidR="00727C44">
                                  <w:rPr>
                                    <w:sz w:val="20"/>
                                  </w:rPr>
                                  <w:t xml:space="preserve"> 2025</w:t>
                                </w:r>
                              </w:p>
                            </w:txbxContent>
                          </wps:txbx>
                          <wps:bodyPr rot="0" vert="horz" wrap="square" lIns="36000" tIns="45720" rIns="91440" bIns="45720" anchor="t" anchorCtr="0"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7CC279CC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" o:spid="_x0000_s1026" type="#_x0000_t202" style="position:absolute;margin-left:113.25pt;margin-top:.6pt;width:314.9pt;height:37.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" fillcolor="white [3212]" stroked="f">
                    <v:textbox style="mso-fit-shape-to-text:t" inset="1mm">
                      <w:txbxContent>
                        <w:p w14:paraId="5AB7EED9" w14:textId="2A6D99FD" w:rsidR="00130599" w:rsidRDefault="006C2E4B" w:rsidP="00533E0D">
                          <w:pPr>
                            <w:spacing w:before="0"/>
                            <w:ind w:left="-57"/>
                          </w:pPr>
                          <w:r>
                            <w:rPr>
                              <w:b/>
                              <w:bCs/>
                              <w:szCs w:val="24"/>
                            </w:rPr>
                            <w:t xml:space="preserve">Inter-Sector Coordination Group (ISCG) </w:t>
                          </w:r>
                          <w:r w:rsidR="00B82C1B" w:rsidRPr="00F74694">
                            <w:rPr>
                              <w:b/>
                              <w:bCs/>
                              <w:szCs w:val="24"/>
                            </w:rPr>
                            <w:t xml:space="preserve"> </w:t>
                          </w:r>
                          <w:r w:rsidR="00B82C1B" w:rsidRPr="00F74694">
                            <w:rPr>
                              <w:b/>
                              <w:bCs/>
                              <w:szCs w:val="24"/>
                            </w:rPr>
                            <w:br/>
                          </w:r>
                          <w:r>
                            <w:rPr>
                              <w:b/>
                              <w:bCs/>
                              <w:szCs w:val="24"/>
                            </w:rPr>
                            <w:t xml:space="preserve">on issues </w:t>
                          </w:r>
                          <w:r w:rsidR="005241E0">
                            <w:rPr>
                              <w:b/>
                              <w:bCs/>
                              <w:szCs w:val="24"/>
                            </w:rPr>
                            <w:t>of mutual interest</w:t>
                          </w:r>
                          <w:r w:rsidR="00B82C1B">
                            <w:br/>
                          </w:r>
                          <w:r w:rsidR="005241E0">
                            <w:rPr>
                              <w:sz w:val="20"/>
                            </w:rPr>
                            <w:t xml:space="preserve">Geneva, </w:t>
                          </w:r>
                          <w:r w:rsidR="00F70249">
                            <w:rPr>
                              <w:sz w:val="20"/>
                            </w:rPr>
                            <w:t>28 May</w:t>
                          </w:r>
                          <w:r w:rsidR="00727C44">
                            <w:rPr>
                              <w:sz w:val="20"/>
                            </w:rPr>
                            <w:t xml:space="preserve"> 2025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>
            <w:rPr>
              <w:rFonts w:ascii="Arial" w:hAnsi="Arial" w:cs="Arial"/>
              <w:b/>
              <w:bCs/>
              <w:noProof/>
              <w:color w:val="009CD6"/>
              <w:sz w:val="36"/>
              <w:szCs w:val="36"/>
            </w:rPr>
            <w:drawing>
              <wp:inline distT="0" distB="0" distL="0" distR="0" wp14:anchorId="3F402996" wp14:editId="1B8843E6">
                <wp:extent cx="3671597" cy="612000"/>
                <wp:effectExtent l="0" t="0" r="0" b="0"/>
                <wp:docPr id="1218191505" name="Picture 2" descr="A black background with blue text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18191505" name="Picture 2" descr="A black background with blue text&#10;&#10;Description automatically generated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71597" cy="61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74" w:type="dxa"/>
        </w:tcPr>
        <w:p w14:paraId="59761B1B" w14:textId="77777777" w:rsidR="00AD3606" w:rsidRDefault="00AD3606" w:rsidP="00AD3606">
          <w:pPr>
            <w:pStyle w:val="Header"/>
            <w:jc w:val="right"/>
            <w:rPr>
              <w:rFonts w:ascii="Arial" w:hAnsi="Arial" w:cs="Arial"/>
              <w:b/>
              <w:bCs/>
              <w:color w:val="009CD6"/>
              <w:szCs w:val="18"/>
            </w:rPr>
          </w:pPr>
        </w:p>
        <w:p w14:paraId="22FACFB3" w14:textId="77777777" w:rsidR="00AD3606" w:rsidRDefault="00AD3606" w:rsidP="00AD3606">
          <w:pPr>
            <w:pStyle w:val="Header"/>
            <w:jc w:val="right"/>
            <w:rPr>
              <w:rFonts w:ascii="Arial" w:hAnsi="Arial" w:cs="Arial"/>
              <w:b/>
              <w:bCs/>
              <w:color w:val="009CD6"/>
              <w:szCs w:val="18"/>
            </w:rPr>
          </w:pPr>
        </w:p>
        <w:p w14:paraId="0AFEC74B" w14:textId="77777777" w:rsidR="00AD3606" w:rsidRPr="00784011" w:rsidRDefault="00AD3606" w:rsidP="00AD3606">
          <w:pPr>
            <w:pStyle w:val="Header"/>
            <w:jc w:val="right"/>
            <w:rPr>
              <w:rFonts w:ascii="Arial" w:hAnsi="Arial" w:cs="Arial"/>
              <w:color w:val="009CD6"/>
              <w:szCs w:val="18"/>
            </w:rPr>
          </w:pPr>
          <w:r w:rsidRPr="00BC6276">
            <w:rPr>
              <w:rFonts w:ascii="Arial" w:hAnsi="Arial" w:cs="Arial"/>
              <w:b/>
              <w:bCs/>
              <w:color w:val="009CD6"/>
              <w:szCs w:val="18"/>
            </w:rPr>
            <w:t xml:space="preserve"> </w:t>
          </w:r>
        </w:p>
      </w:tc>
    </w:tr>
  </w:tbl>
  <w:bookmarkEnd w:id="11"/>
  <w:p w14:paraId="35A38C0B" w14:textId="77777777" w:rsidR="00AD3606" w:rsidRDefault="00DB00D5">
    <w:pPr>
      <w:pStyle w:val="Header"/>
    </w:pPr>
    <w:r w:rsidRPr="00802C2C">
      <w:rPr>
        <w:rFonts w:ascii="Avenir Nxt2 W1G Medium" w:eastAsia="Avenir Nxt2 W1G Medium" w:hAnsi="Avenir Nxt2 W1G Medium" w:cs="Avenir Nxt2 W1G Medium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5A19151" wp14:editId="3250A432">
              <wp:simplePos x="0" y="0"/>
              <wp:positionH relativeFrom="page">
                <wp:posOffset>14605</wp:posOffset>
              </wp:positionH>
              <wp:positionV relativeFrom="topMargin">
                <wp:posOffset>555625</wp:posOffset>
              </wp:positionV>
              <wp:extent cx="93345" cy="431800"/>
              <wp:effectExtent l="0" t="0" r="1905" b="6350"/>
              <wp:wrapNone/>
              <wp:docPr id="5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3345" cy="431800"/>
                      </a:xfrm>
                      <a:prstGeom prst="rect">
                        <a:avLst/>
                      </a:prstGeom>
                      <a:solidFill>
                        <a:srgbClr val="009CD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4543BFA" id="Rectangle 5" o:spid="_x0000_s1026" style="position:absolute;margin-left:1.15pt;margin-top:43.75pt;width:7.35pt;height:34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" fillcolor="#009cd5" stroked="f">
              <w10:wrap anchorx="page" anchory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13FAD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6A6463A"/>
    <w:multiLevelType w:val="hybridMultilevel"/>
    <w:tmpl w:val="A1D018B0"/>
    <w:lvl w:ilvl="0" w:tplc="5D86641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980B26C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50263B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AD60F0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95E61A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D4AE67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2AA41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92E884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47A01A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5647F1"/>
    <w:multiLevelType w:val="hybridMultilevel"/>
    <w:tmpl w:val="639CE84E"/>
    <w:lvl w:ilvl="0" w:tplc="6B365E8A">
      <w:start w:val="1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C72414"/>
    <w:multiLevelType w:val="hybridMultilevel"/>
    <w:tmpl w:val="17DCC608"/>
    <w:lvl w:ilvl="0" w:tplc="ACB8948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9D5EDF"/>
    <w:multiLevelType w:val="hybridMultilevel"/>
    <w:tmpl w:val="AD16AD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0C5B5A"/>
    <w:multiLevelType w:val="hybridMultilevel"/>
    <w:tmpl w:val="91A04E62"/>
    <w:lvl w:ilvl="0" w:tplc="080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B2E79CC"/>
    <w:multiLevelType w:val="hybridMultilevel"/>
    <w:tmpl w:val="95AA302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7415024">
    <w:abstractNumId w:val="0"/>
  </w:num>
  <w:num w:numId="2" w16cid:durableId="593821699">
    <w:abstractNumId w:val="4"/>
  </w:num>
  <w:num w:numId="3" w16cid:durableId="475337662">
    <w:abstractNumId w:val="5"/>
  </w:num>
  <w:num w:numId="4" w16cid:durableId="832379418">
    <w:abstractNumId w:val="6"/>
  </w:num>
  <w:num w:numId="5" w16cid:durableId="77482380">
    <w:abstractNumId w:val="2"/>
  </w:num>
  <w:num w:numId="6" w16cid:durableId="1704407101">
    <w:abstractNumId w:val="1"/>
  </w:num>
  <w:num w:numId="7" w16cid:durableId="168571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C01" w:allStyles="1" w:customStyles="0" w:latentStyles="0" w:stylesInUse="0" w:headingStyles="0" w:numberingStyles="0" w:tableStyles="0" w:directFormattingOnRuns="0" w:directFormattingOnParagraphs="0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5D86"/>
    <w:rsid w:val="00003A6D"/>
    <w:rsid w:val="000041A9"/>
    <w:rsid w:val="00004C8C"/>
    <w:rsid w:val="00006DB2"/>
    <w:rsid w:val="000120E4"/>
    <w:rsid w:val="000210D4"/>
    <w:rsid w:val="000525A1"/>
    <w:rsid w:val="00063016"/>
    <w:rsid w:val="00066795"/>
    <w:rsid w:val="00070B66"/>
    <w:rsid w:val="00076AF6"/>
    <w:rsid w:val="00085CF2"/>
    <w:rsid w:val="000A1525"/>
    <w:rsid w:val="000B1705"/>
    <w:rsid w:val="000D75B2"/>
    <w:rsid w:val="000F6AB8"/>
    <w:rsid w:val="00104E86"/>
    <w:rsid w:val="001121F5"/>
    <w:rsid w:val="00130599"/>
    <w:rsid w:val="00131E18"/>
    <w:rsid w:val="001400DC"/>
    <w:rsid w:val="00140CE1"/>
    <w:rsid w:val="0014622E"/>
    <w:rsid w:val="00147C54"/>
    <w:rsid w:val="00156EED"/>
    <w:rsid w:val="0016259B"/>
    <w:rsid w:val="0017539C"/>
    <w:rsid w:val="00175AC2"/>
    <w:rsid w:val="0017609F"/>
    <w:rsid w:val="001A4BC3"/>
    <w:rsid w:val="001A7D1D"/>
    <w:rsid w:val="001B0595"/>
    <w:rsid w:val="001B51DD"/>
    <w:rsid w:val="001C628E"/>
    <w:rsid w:val="001D62DF"/>
    <w:rsid w:val="001E0F7B"/>
    <w:rsid w:val="001E0FBE"/>
    <w:rsid w:val="001E5FE7"/>
    <w:rsid w:val="00205D4E"/>
    <w:rsid w:val="002119FD"/>
    <w:rsid w:val="002130E0"/>
    <w:rsid w:val="00227AAB"/>
    <w:rsid w:val="00244F7F"/>
    <w:rsid w:val="0025570E"/>
    <w:rsid w:val="002608B7"/>
    <w:rsid w:val="002620E8"/>
    <w:rsid w:val="00264425"/>
    <w:rsid w:val="00265875"/>
    <w:rsid w:val="0027303B"/>
    <w:rsid w:val="0028109B"/>
    <w:rsid w:val="002A2188"/>
    <w:rsid w:val="002B1F58"/>
    <w:rsid w:val="002C1C7A"/>
    <w:rsid w:val="002C54E2"/>
    <w:rsid w:val="002E0AC3"/>
    <w:rsid w:val="002F2D06"/>
    <w:rsid w:val="002F3E82"/>
    <w:rsid w:val="002F4A1E"/>
    <w:rsid w:val="00300BCB"/>
    <w:rsid w:val="0030160F"/>
    <w:rsid w:val="00301AEE"/>
    <w:rsid w:val="00302B0C"/>
    <w:rsid w:val="003145DF"/>
    <w:rsid w:val="00320223"/>
    <w:rsid w:val="00322D0D"/>
    <w:rsid w:val="00356734"/>
    <w:rsid w:val="00361465"/>
    <w:rsid w:val="00365D86"/>
    <w:rsid w:val="0038688D"/>
    <w:rsid w:val="003877F5"/>
    <w:rsid w:val="003942D4"/>
    <w:rsid w:val="0039514F"/>
    <w:rsid w:val="003958A8"/>
    <w:rsid w:val="003B29C2"/>
    <w:rsid w:val="003C20CA"/>
    <w:rsid w:val="003C2533"/>
    <w:rsid w:val="003C4995"/>
    <w:rsid w:val="003D1C0A"/>
    <w:rsid w:val="003D2E43"/>
    <w:rsid w:val="003D5A7F"/>
    <w:rsid w:val="003D635C"/>
    <w:rsid w:val="003D71D8"/>
    <w:rsid w:val="003F432C"/>
    <w:rsid w:val="004016E2"/>
    <w:rsid w:val="0040435A"/>
    <w:rsid w:val="00416A24"/>
    <w:rsid w:val="00416A30"/>
    <w:rsid w:val="0042059E"/>
    <w:rsid w:val="004264B5"/>
    <w:rsid w:val="00431D9E"/>
    <w:rsid w:val="00433CE8"/>
    <w:rsid w:val="00434A5C"/>
    <w:rsid w:val="004544D9"/>
    <w:rsid w:val="00472BAD"/>
    <w:rsid w:val="004773BC"/>
    <w:rsid w:val="00484009"/>
    <w:rsid w:val="00490E72"/>
    <w:rsid w:val="00491157"/>
    <w:rsid w:val="004921C8"/>
    <w:rsid w:val="00495B0B"/>
    <w:rsid w:val="004A1B8B"/>
    <w:rsid w:val="004B3FFC"/>
    <w:rsid w:val="004B51C8"/>
    <w:rsid w:val="004D1851"/>
    <w:rsid w:val="004D599D"/>
    <w:rsid w:val="004E06D1"/>
    <w:rsid w:val="004E2359"/>
    <w:rsid w:val="004E2EA5"/>
    <w:rsid w:val="004E3AEB"/>
    <w:rsid w:val="00500CA4"/>
    <w:rsid w:val="0050223C"/>
    <w:rsid w:val="005115F0"/>
    <w:rsid w:val="005170FD"/>
    <w:rsid w:val="005241E0"/>
    <w:rsid w:val="005243FF"/>
    <w:rsid w:val="005247C4"/>
    <w:rsid w:val="00524E9C"/>
    <w:rsid w:val="005311D6"/>
    <w:rsid w:val="00533E0D"/>
    <w:rsid w:val="00536422"/>
    <w:rsid w:val="0054136C"/>
    <w:rsid w:val="0054526E"/>
    <w:rsid w:val="005536C2"/>
    <w:rsid w:val="00564FBC"/>
    <w:rsid w:val="005800BC"/>
    <w:rsid w:val="00582442"/>
    <w:rsid w:val="00586F01"/>
    <w:rsid w:val="005A335D"/>
    <w:rsid w:val="005B0869"/>
    <w:rsid w:val="005C13D4"/>
    <w:rsid w:val="005E2BD5"/>
    <w:rsid w:val="005E4F47"/>
    <w:rsid w:val="005F3269"/>
    <w:rsid w:val="005F410C"/>
    <w:rsid w:val="005F7BEB"/>
    <w:rsid w:val="00610CE7"/>
    <w:rsid w:val="00612123"/>
    <w:rsid w:val="00615961"/>
    <w:rsid w:val="0062280B"/>
    <w:rsid w:val="00623AE3"/>
    <w:rsid w:val="006261F4"/>
    <w:rsid w:val="0064656D"/>
    <w:rsid w:val="0064737F"/>
    <w:rsid w:val="00647966"/>
    <w:rsid w:val="006535F1"/>
    <w:rsid w:val="0065557D"/>
    <w:rsid w:val="00660D50"/>
    <w:rsid w:val="00662984"/>
    <w:rsid w:val="00663050"/>
    <w:rsid w:val="006716BB"/>
    <w:rsid w:val="00676C21"/>
    <w:rsid w:val="006973C8"/>
    <w:rsid w:val="006A4862"/>
    <w:rsid w:val="006B1859"/>
    <w:rsid w:val="006B6680"/>
    <w:rsid w:val="006B6DCC"/>
    <w:rsid w:val="006C2E4B"/>
    <w:rsid w:val="006F3317"/>
    <w:rsid w:val="006F4612"/>
    <w:rsid w:val="00701C70"/>
    <w:rsid w:val="00702DEF"/>
    <w:rsid w:val="00706861"/>
    <w:rsid w:val="007247CF"/>
    <w:rsid w:val="00726B8C"/>
    <w:rsid w:val="00727C44"/>
    <w:rsid w:val="007307F0"/>
    <w:rsid w:val="0075051B"/>
    <w:rsid w:val="0077110E"/>
    <w:rsid w:val="00775655"/>
    <w:rsid w:val="007849D5"/>
    <w:rsid w:val="00793188"/>
    <w:rsid w:val="00794D34"/>
    <w:rsid w:val="007C57BB"/>
    <w:rsid w:val="00806E3C"/>
    <w:rsid w:val="008123AE"/>
    <w:rsid w:val="00813E5E"/>
    <w:rsid w:val="00816C2C"/>
    <w:rsid w:val="0083581B"/>
    <w:rsid w:val="00845534"/>
    <w:rsid w:val="00860EED"/>
    <w:rsid w:val="00863874"/>
    <w:rsid w:val="00864AFF"/>
    <w:rsid w:val="00865925"/>
    <w:rsid w:val="00870C17"/>
    <w:rsid w:val="00872B5C"/>
    <w:rsid w:val="00875FD1"/>
    <w:rsid w:val="00877BF2"/>
    <w:rsid w:val="00884F3A"/>
    <w:rsid w:val="00891503"/>
    <w:rsid w:val="008A2F06"/>
    <w:rsid w:val="008B3BA5"/>
    <w:rsid w:val="008B4A6A"/>
    <w:rsid w:val="008C7E27"/>
    <w:rsid w:val="008F3822"/>
    <w:rsid w:val="008F54F9"/>
    <w:rsid w:val="008F7448"/>
    <w:rsid w:val="0090147A"/>
    <w:rsid w:val="0090389B"/>
    <w:rsid w:val="009173EF"/>
    <w:rsid w:val="00932906"/>
    <w:rsid w:val="00934C53"/>
    <w:rsid w:val="00952ECD"/>
    <w:rsid w:val="00961860"/>
    <w:rsid w:val="00961B0B"/>
    <w:rsid w:val="00962D33"/>
    <w:rsid w:val="009B38C3"/>
    <w:rsid w:val="009B44BD"/>
    <w:rsid w:val="009E17BD"/>
    <w:rsid w:val="009E485A"/>
    <w:rsid w:val="00A04CEC"/>
    <w:rsid w:val="00A27F92"/>
    <w:rsid w:val="00A32257"/>
    <w:rsid w:val="00A36D20"/>
    <w:rsid w:val="00A43C03"/>
    <w:rsid w:val="00A46CD0"/>
    <w:rsid w:val="00A514A4"/>
    <w:rsid w:val="00A52C84"/>
    <w:rsid w:val="00A55622"/>
    <w:rsid w:val="00A83502"/>
    <w:rsid w:val="00A93DAF"/>
    <w:rsid w:val="00A954CC"/>
    <w:rsid w:val="00AB56AF"/>
    <w:rsid w:val="00AC6BFA"/>
    <w:rsid w:val="00AD0C2E"/>
    <w:rsid w:val="00AD15B3"/>
    <w:rsid w:val="00AD3606"/>
    <w:rsid w:val="00AD4A3D"/>
    <w:rsid w:val="00AF6E49"/>
    <w:rsid w:val="00B04A67"/>
    <w:rsid w:val="00B0583C"/>
    <w:rsid w:val="00B248BC"/>
    <w:rsid w:val="00B358B2"/>
    <w:rsid w:val="00B40A81"/>
    <w:rsid w:val="00B44910"/>
    <w:rsid w:val="00B66D92"/>
    <w:rsid w:val="00B72267"/>
    <w:rsid w:val="00B73DD1"/>
    <w:rsid w:val="00B76EB6"/>
    <w:rsid w:val="00B7737B"/>
    <w:rsid w:val="00B80372"/>
    <w:rsid w:val="00B824C8"/>
    <w:rsid w:val="00B82C1B"/>
    <w:rsid w:val="00B849D3"/>
    <w:rsid w:val="00B84B9D"/>
    <w:rsid w:val="00BA3A51"/>
    <w:rsid w:val="00BC2031"/>
    <w:rsid w:val="00BC251A"/>
    <w:rsid w:val="00BD032B"/>
    <w:rsid w:val="00BD0614"/>
    <w:rsid w:val="00BD094B"/>
    <w:rsid w:val="00BE14A1"/>
    <w:rsid w:val="00BE2640"/>
    <w:rsid w:val="00BF465E"/>
    <w:rsid w:val="00C01189"/>
    <w:rsid w:val="00C20944"/>
    <w:rsid w:val="00C27DB8"/>
    <w:rsid w:val="00C34975"/>
    <w:rsid w:val="00C3671C"/>
    <w:rsid w:val="00C374DE"/>
    <w:rsid w:val="00C47AD4"/>
    <w:rsid w:val="00C52D81"/>
    <w:rsid w:val="00C55198"/>
    <w:rsid w:val="00C661D0"/>
    <w:rsid w:val="00C725C6"/>
    <w:rsid w:val="00C922C7"/>
    <w:rsid w:val="00C951B1"/>
    <w:rsid w:val="00CA6393"/>
    <w:rsid w:val="00CB18FF"/>
    <w:rsid w:val="00CB24AA"/>
    <w:rsid w:val="00CD0C08"/>
    <w:rsid w:val="00CD3C91"/>
    <w:rsid w:val="00CE03FB"/>
    <w:rsid w:val="00CE433C"/>
    <w:rsid w:val="00CF0161"/>
    <w:rsid w:val="00CF33F3"/>
    <w:rsid w:val="00D06183"/>
    <w:rsid w:val="00D143DF"/>
    <w:rsid w:val="00D22C42"/>
    <w:rsid w:val="00D45669"/>
    <w:rsid w:val="00D464CC"/>
    <w:rsid w:val="00D522F6"/>
    <w:rsid w:val="00D65041"/>
    <w:rsid w:val="00D65F6A"/>
    <w:rsid w:val="00D67039"/>
    <w:rsid w:val="00D74BFC"/>
    <w:rsid w:val="00D86E6C"/>
    <w:rsid w:val="00DB00D5"/>
    <w:rsid w:val="00DB1936"/>
    <w:rsid w:val="00DB384B"/>
    <w:rsid w:val="00DF0189"/>
    <w:rsid w:val="00DF0C0D"/>
    <w:rsid w:val="00DF6FCC"/>
    <w:rsid w:val="00E06FD5"/>
    <w:rsid w:val="00E10E80"/>
    <w:rsid w:val="00E124F0"/>
    <w:rsid w:val="00E227F3"/>
    <w:rsid w:val="00E228CA"/>
    <w:rsid w:val="00E4728B"/>
    <w:rsid w:val="00E545C6"/>
    <w:rsid w:val="00E60F04"/>
    <w:rsid w:val="00E63EFF"/>
    <w:rsid w:val="00E65B24"/>
    <w:rsid w:val="00E83CF8"/>
    <w:rsid w:val="00E854E4"/>
    <w:rsid w:val="00E85B67"/>
    <w:rsid w:val="00E86DBF"/>
    <w:rsid w:val="00EA1733"/>
    <w:rsid w:val="00EA3BE4"/>
    <w:rsid w:val="00EB0D6F"/>
    <w:rsid w:val="00EB2232"/>
    <w:rsid w:val="00EC5337"/>
    <w:rsid w:val="00EC7C07"/>
    <w:rsid w:val="00EE49E8"/>
    <w:rsid w:val="00F10B59"/>
    <w:rsid w:val="00F119DF"/>
    <w:rsid w:val="00F16BAB"/>
    <w:rsid w:val="00F2150A"/>
    <w:rsid w:val="00F231D8"/>
    <w:rsid w:val="00F37FD8"/>
    <w:rsid w:val="00F41CC5"/>
    <w:rsid w:val="00F44C00"/>
    <w:rsid w:val="00F45D2C"/>
    <w:rsid w:val="00F46C5F"/>
    <w:rsid w:val="00F632C0"/>
    <w:rsid w:val="00F66A26"/>
    <w:rsid w:val="00F70249"/>
    <w:rsid w:val="00F73B2C"/>
    <w:rsid w:val="00F74694"/>
    <w:rsid w:val="00F82EA2"/>
    <w:rsid w:val="00F86596"/>
    <w:rsid w:val="00F93FD4"/>
    <w:rsid w:val="00F94A63"/>
    <w:rsid w:val="00FA1C28"/>
    <w:rsid w:val="00FA5795"/>
    <w:rsid w:val="00FB1279"/>
    <w:rsid w:val="00FB4CC8"/>
    <w:rsid w:val="00FB6B76"/>
    <w:rsid w:val="00FB7596"/>
    <w:rsid w:val="00FC3D81"/>
    <w:rsid w:val="00FC4D7E"/>
    <w:rsid w:val="00FE4077"/>
    <w:rsid w:val="00FE500D"/>
    <w:rsid w:val="00FE7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4F05A89"/>
  <w15:docId w15:val="{F141BE44-78FE-4214-AD71-7FB663B85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C54E2"/>
    <w:pPr>
      <w:tabs>
        <w:tab w:val="left" w:pos="567"/>
        <w:tab w:val="left" w:pos="1134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alibri" w:hAnsi="Calibri"/>
      <w:sz w:val="24"/>
      <w:lang w:val="en-GB" w:eastAsia="en-US"/>
    </w:rPr>
  </w:style>
  <w:style w:type="paragraph" w:styleId="Heading1">
    <w:name w:val="heading 1"/>
    <w:basedOn w:val="Normal"/>
    <w:next w:val="Normal"/>
    <w:qFormat/>
    <w:rsid w:val="00813E5E"/>
    <w:pPr>
      <w:keepNext/>
      <w:keepLines/>
      <w:spacing w:before="480"/>
      <w:ind w:left="567" w:hanging="567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rsid w:val="00813E5E"/>
    <w:pPr>
      <w:spacing w:before="32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813E5E"/>
    <w:pPr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813E5E"/>
    <w:pPr>
      <w:ind w:left="1134" w:hanging="1134"/>
      <w:outlineLvl w:val="3"/>
    </w:pPr>
  </w:style>
  <w:style w:type="paragraph" w:styleId="Heading5">
    <w:name w:val="heading 5"/>
    <w:basedOn w:val="Heading4"/>
    <w:next w:val="Normal"/>
    <w:qFormat/>
    <w:rsid w:val="00813E5E"/>
    <w:pPr>
      <w:outlineLvl w:val="4"/>
    </w:pPr>
  </w:style>
  <w:style w:type="paragraph" w:styleId="Heading6">
    <w:name w:val="heading 6"/>
    <w:basedOn w:val="Heading4"/>
    <w:next w:val="Normal"/>
    <w:qFormat/>
    <w:rsid w:val="00813E5E"/>
    <w:pPr>
      <w:outlineLvl w:val="5"/>
    </w:pPr>
  </w:style>
  <w:style w:type="paragraph" w:styleId="Heading7">
    <w:name w:val="heading 7"/>
    <w:basedOn w:val="Heading4"/>
    <w:next w:val="Normal"/>
    <w:qFormat/>
    <w:rsid w:val="00813E5E"/>
    <w:pPr>
      <w:ind w:left="1701" w:hanging="1701"/>
      <w:outlineLvl w:val="6"/>
    </w:pPr>
  </w:style>
  <w:style w:type="paragraph" w:styleId="Heading8">
    <w:name w:val="heading 8"/>
    <w:basedOn w:val="Heading4"/>
    <w:next w:val="Normal"/>
    <w:qFormat/>
    <w:rsid w:val="00813E5E"/>
    <w:pPr>
      <w:ind w:left="1701" w:hanging="1701"/>
      <w:outlineLvl w:val="7"/>
    </w:pPr>
  </w:style>
  <w:style w:type="paragraph" w:styleId="Heading9">
    <w:name w:val="heading 9"/>
    <w:basedOn w:val="Heading4"/>
    <w:next w:val="Normal"/>
    <w:qFormat/>
    <w:rsid w:val="00813E5E"/>
    <w:pPr>
      <w:ind w:left="1701" w:hanging="1701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4">
    <w:name w:val="toc 4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pos="8789"/>
        <w:tab w:val="right" w:pos="9639"/>
      </w:tabs>
      <w:ind w:left="964" w:hanging="964"/>
    </w:pPr>
  </w:style>
  <w:style w:type="paragraph" w:styleId="TOC3">
    <w:name w:val="toc 3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2">
    <w:name w:val="toc 2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1">
    <w:name w:val="toc 1"/>
    <w:basedOn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spacing w:before="240"/>
      <w:ind w:left="964" w:hanging="964"/>
    </w:pPr>
  </w:style>
  <w:style w:type="paragraph" w:styleId="TOC7">
    <w:name w:val="toc 7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6">
    <w:name w:val="toc 6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5">
    <w:name w:val="toc 5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Index7">
    <w:name w:val="index 7"/>
    <w:basedOn w:val="Normal"/>
    <w:next w:val="Normal"/>
    <w:rsid w:val="004D1851"/>
    <w:pPr>
      <w:ind w:left="1698"/>
    </w:pPr>
  </w:style>
  <w:style w:type="paragraph" w:styleId="Index6">
    <w:name w:val="index 6"/>
    <w:basedOn w:val="Normal"/>
    <w:next w:val="Normal"/>
    <w:rsid w:val="004D1851"/>
    <w:pPr>
      <w:ind w:left="1415"/>
    </w:pPr>
  </w:style>
  <w:style w:type="paragraph" w:styleId="Index5">
    <w:name w:val="index 5"/>
    <w:basedOn w:val="Normal"/>
    <w:next w:val="Normal"/>
    <w:rsid w:val="004D1851"/>
    <w:pPr>
      <w:ind w:left="1132"/>
    </w:pPr>
  </w:style>
  <w:style w:type="paragraph" w:styleId="Index4">
    <w:name w:val="index 4"/>
    <w:basedOn w:val="Normal"/>
    <w:next w:val="Normal"/>
    <w:rsid w:val="004D1851"/>
    <w:pPr>
      <w:ind w:left="849"/>
    </w:pPr>
  </w:style>
  <w:style w:type="paragraph" w:styleId="Index3">
    <w:name w:val="index 3"/>
    <w:basedOn w:val="Normal"/>
    <w:next w:val="Normal"/>
    <w:rsid w:val="004D1851"/>
    <w:pPr>
      <w:ind w:left="566"/>
    </w:pPr>
  </w:style>
  <w:style w:type="paragraph" w:styleId="Index2">
    <w:name w:val="index 2"/>
    <w:basedOn w:val="Normal"/>
    <w:next w:val="Normal"/>
    <w:rsid w:val="004D1851"/>
    <w:pPr>
      <w:ind w:left="283"/>
    </w:pPr>
  </w:style>
  <w:style w:type="paragraph" w:styleId="Index1">
    <w:name w:val="index 1"/>
    <w:basedOn w:val="Normal"/>
    <w:next w:val="Normal"/>
    <w:rsid w:val="004D1851"/>
  </w:style>
  <w:style w:type="character" w:styleId="LineNumber">
    <w:name w:val="line number"/>
    <w:basedOn w:val="DefaultParagraphFont"/>
    <w:rsid w:val="004D1851"/>
  </w:style>
  <w:style w:type="paragraph" w:styleId="IndexHeading">
    <w:name w:val="index heading"/>
    <w:basedOn w:val="Normal"/>
    <w:next w:val="Index1"/>
    <w:rsid w:val="004D1851"/>
  </w:style>
  <w:style w:type="paragraph" w:styleId="Footer">
    <w:name w:val="footer"/>
    <w:basedOn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styleId="Header">
    <w:name w:val="header"/>
    <w:basedOn w:val="Normal"/>
    <w:link w:val="HeaderChar"/>
    <w:uiPriority w:val="99"/>
    <w:rsid w:val="005800BC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0"/>
      <w:jc w:val="center"/>
    </w:pPr>
    <w:rPr>
      <w:color w:val="7F7F7F" w:themeColor="text1" w:themeTint="80"/>
      <w:sz w:val="18"/>
    </w:rPr>
  </w:style>
  <w:style w:type="character" w:styleId="FootnoteReference">
    <w:name w:val="footnote reference"/>
    <w:basedOn w:val="DefaultParagraphFont"/>
    <w:rsid w:val="00813E5E"/>
    <w:rPr>
      <w:rFonts w:ascii="Calibri" w:hAnsi="Calibri"/>
      <w:position w:val="6"/>
      <w:sz w:val="16"/>
    </w:rPr>
  </w:style>
  <w:style w:type="paragraph" w:styleId="FootnoteText">
    <w:name w:val="footnote text"/>
    <w:basedOn w:val="Normal"/>
    <w:rsid w:val="00813E5E"/>
    <w:pPr>
      <w:keepLines/>
      <w:tabs>
        <w:tab w:val="left" w:pos="256"/>
      </w:tabs>
      <w:ind w:left="256" w:hanging="256"/>
    </w:pPr>
  </w:style>
  <w:style w:type="paragraph" w:styleId="NormalIndent">
    <w:name w:val="Normal Indent"/>
    <w:basedOn w:val="Normal"/>
    <w:rsid w:val="00813E5E"/>
    <w:pPr>
      <w:ind w:left="567"/>
    </w:pPr>
  </w:style>
  <w:style w:type="paragraph" w:customStyle="1" w:styleId="enumlev1">
    <w:name w:val="enumlev1"/>
    <w:basedOn w:val="Normal"/>
    <w:rsid w:val="00813E5E"/>
    <w:pPr>
      <w:spacing w:before="86"/>
      <w:ind w:left="567" w:hanging="567"/>
    </w:pPr>
  </w:style>
  <w:style w:type="paragraph" w:customStyle="1" w:styleId="enumlev2">
    <w:name w:val="enumlev2"/>
    <w:basedOn w:val="enumlev1"/>
    <w:rsid w:val="00813E5E"/>
    <w:pPr>
      <w:ind w:left="1134"/>
    </w:pPr>
  </w:style>
  <w:style w:type="paragraph" w:customStyle="1" w:styleId="enumlev3">
    <w:name w:val="enumlev3"/>
    <w:basedOn w:val="enumlev2"/>
    <w:rsid w:val="00813E5E"/>
    <w:pPr>
      <w:ind w:left="1701"/>
    </w:pPr>
  </w:style>
  <w:style w:type="paragraph" w:customStyle="1" w:styleId="Normalaftertitle">
    <w:name w:val="Normal after title"/>
    <w:basedOn w:val="Normal"/>
    <w:next w:val="Normal"/>
    <w:rsid w:val="00813E5E"/>
    <w:pPr>
      <w:spacing w:before="240"/>
    </w:pPr>
  </w:style>
  <w:style w:type="character" w:customStyle="1" w:styleId="HeaderChar">
    <w:name w:val="Header Char"/>
    <w:basedOn w:val="DefaultParagraphFont"/>
    <w:link w:val="Header"/>
    <w:uiPriority w:val="99"/>
    <w:rsid w:val="005800BC"/>
    <w:rPr>
      <w:rFonts w:ascii="Calibri" w:hAnsi="Calibri"/>
      <w:color w:val="7F7F7F" w:themeColor="text1" w:themeTint="80"/>
      <w:sz w:val="18"/>
      <w:lang w:val="en-GB" w:eastAsia="en-US"/>
    </w:rPr>
  </w:style>
  <w:style w:type="paragraph" w:customStyle="1" w:styleId="Head">
    <w:name w:val="Head"/>
    <w:basedOn w:val="Normal"/>
    <w:rsid w:val="004D1851"/>
    <w:pPr>
      <w:tabs>
        <w:tab w:val="left" w:pos="6663"/>
      </w:tabs>
      <w:overflowPunct/>
      <w:autoSpaceDE/>
      <w:autoSpaceDN/>
      <w:adjustRightInd/>
      <w:spacing w:before="0"/>
      <w:textAlignment w:val="auto"/>
    </w:pPr>
  </w:style>
  <w:style w:type="paragraph" w:customStyle="1" w:styleId="toc0">
    <w:name w:val="toc 0"/>
    <w:basedOn w:val="Normal"/>
    <w:next w:val="TOC1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right" w:pos="9781"/>
      </w:tabs>
    </w:pPr>
    <w:rPr>
      <w:b/>
    </w:rPr>
  </w:style>
  <w:style w:type="paragraph" w:styleId="List">
    <w:name w:val="List"/>
    <w:basedOn w:val="Normal"/>
    <w:rsid w:val="004D1851"/>
    <w:pPr>
      <w:tabs>
        <w:tab w:val="left" w:pos="2127"/>
      </w:tabs>
      <w:ind w:left="2127" w:hanging="2127"/>
    </w:pPr>
  </w:style>
  <w:style w:type="paragraph" w:customStyle="1" w:styleId="Part">
    <w:name w:val="Part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0"/>
      <w:jc w:val="center"/>
    </w:pPr>
    <w:rPr>
      <w:caps/>
      <w:sz w:val="28"/>
    </w:rPr>
  </w:style>
  <w:style w:type="paragraph" w:customStyle="1" w:styleId="Source">
    <w:name w:val="Source"/>
    <w:basedOn w:val="Normal"/>
    <w:next w:val="Title1"/>
    <w:autoRedefine/>
    <w:rsid w:val="00E4728B"/>
    <w:pPr>
      <w:framePr w:hSpace="180" w:wrap="around" w:vAnchor="page" w:hAnchor="page" w:x="1821" w:y="2317"/>
      <w:spacing w:before="840"/>
    </w:pPr>
    <w:rPr>
      <w:b/>
      <w:sz w:val="32"/>
      <w:szCs w:val="32"/>
    </w:rPr>
  </w:style>
  <w:style w:type="paragraph" w:customStyle="1" w:styleId="meeting">
    <w:name w:val="meeting"/>
    <w:basedOn w:val="Head"/>
    <w:next w:val="Head"/>
    <w:rsid w:val="004D1851"/>
    <w:pPr>
      <w:tabs>
        <w:tab w:val="left" w:pos="7371"/>
      </w:tabs>
      <w:spacing w:after="567"/>
    </w:pPr>
  </w:style>
  <w:style w:type="paragraph" w:customStyle="1" w:styleId="Subject">
    <w:name w:val="Subject"/>
    <w:basedOn w:val="Normal"/>
    <w:next w:val="Source"/>
    <w:rsid w:val="004D1851"/>
    <w:pPr>
      <w:spacing w:before="0"/>
      <w:ind w:left="1134" w:hanging="1134"/>
    </w:pPr>
  </w:style>
  <w:style w:type="paragraph" w:customStyle="1" w:styleId="Object">
    <w:name w:val="Object"/>
    <w:basedOn w:val="Subject"/>
    <w:next w:val="Subject"/>
    <w:rsid w:val="004D1851"/>
  </w:style>
  <w:style w:type="paragraph" w:customStyle="1" w:styleId="Data">
    <w:name w:val="Data"/>
    <w:basedOn w:val="Subject"/>
    <w:next w:val="Subject"/>
    <w:rsid w:val="004D1851"/>
  </w:style>
  <w:style w:type="table" w:styleId="TableGrid">
    <w:name w:val="Table Grid"/>
    <w:basedOn w:val="TableNormal"/>
    <w:uiPriority w:val="39"/>
    <w:rsid w:val="00AD3606"/>
    <w:rPr>
      <w:rFonts w:asciiTheme="minorHAnsi" w:eastAsiaTheme="minorHAnsi" w:hAnsiTheme="minorHAnsi" w:cstheme="minorBidi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484009"/>
    <w:rPr>
      <w:color w:val="0563C1"/>
      <w:u w:val="single"/>
    </w:rPr>
  </w:style>
  <w:style w:type="paragraph" w:customStyle="1" w:styleId="FirstFooter">
    <w:name w:val="FirstFooter"/>
    <w:basedOn w:val="Footer"/>
    <w:rsid w:val="00813E5E"/>
    <w:rPr>
      <w:caps w:val="0"/>
    </w:rPr>
  </w:style>
  <w:style w:type="paragraph" w:customStyle="1" w:styleId="Note">
    <w:name w:val="Note"/>
    <w:basedOn w:val="Normal"/>
    <w:rsid w:val="00813E5E"/>
    <w:pPr>
      <w:tabs>
        <w:tab w:val="clear" w:pos="567"/>
        <w:tab w:val="left" w:pos="851"/>
      </w:tabs>
    </w:pPr>
  </w:style>
  <w:style w:type="paragraph" w:styleId="TOC9">
    <w:name w:val="toc 9"/>
    <w:basedOn w:val="TOC4"/>
    <w:rsid w:val="004D1851"/>
  </w:style>
  <w:style w:type="paragraph" w:customStyle="1" w:styleId="Headingb">
    <w:name w:val="Heading_b"/>
    <w:basedOn w:val="Heading3"/>
    <w:next w:val="Normal"/>
    <w:rsid w:val="00813E5E"/>
    <w:pPr>
      <w:spacing w:before="160"/>
      <w:outlineLvl w:val="0"/>
    </w:pPr>
  </w:style>
  <w:style w:type="character" w:styleId="FollowedHyperlink">
    <w:name w:val="FollowedHyperlink"/>
    <w:basedOn w:val="DefaultParagraphFont"/>
    <w:rsid w:val="00813E5E"/>
    <w:rPr>
      <w:color w:val="800080"/>
      <w:u w:val="single"/>
    </w:rPr>
  </w:style>
  <w:style w:type="paragraph" w:customStyle="1" w:styleId="Title1">
    <w:name w:val="Title 1"/>
    <w:basedOn w:val="Source"/>
    <w:next w:val="Title2"/>
    <w:rsid w:val="002C54E2"/>
    <w:pPr>
      <w:framePr w:wrap="around"/>
      <w:spacing w:before="240"/>
    </w:pPr>
    <w:rPr>
      <w:b w:val="0"/>
    </w:rPr>
  </w:style>
  <w:style w:type="paragraph" w:customStyle="1" w:styleId="Title2">
    <w:name w:val="Title 2"/>
    <w:basedOn w:val="Source"/>
    <w:next w:val="Title3"/>
    <w:rsid w:val="00813E5E"/>
    <w:pPr>
      <w:framePr w:wrap="around"/>
      <w:spacing w:before="240"/>
    </w:pPr>
    <w:rPr>
      <w:b w:val="0"/>
      <w:caps/>
    </w:rPr>
  </w:style>
  <w:style w:type="paragraph" w:customStyle="1" w:styleId="Title3">
    <w:name w:val="Title 3"/>
    <w:basedOn w:val="Title2"/>
    <w:next w:val="Normalaftertitle"/>
    <w:rsid w:val="00813E5E"/>
    <w:pPr>
      <w:framePr w:wrap="around"/>
    </w:pPr>
    <w:rPr>
      <w:caps w:val="0"/>
    </w:rPr>
  </w:style>
  <w:style w:type="paragraph" w:customStyle="1" w:styleId="Title4">
    <w:name w:val="Title 4"/>
    <w:basedOn w:val="Title3"/>
    <w:next w:val="Heading1"/>
    <w:rsid w:val="004D1851"/>
    <w:pPr>
      <w:framePr w:wrap="around"/>
    </w:pPr>
    <w:rPr>
      <w:b/>
    </w:rPr>
  </w:style>
  <w:style w:type="paragraph" w:customStyle="1" w:styleId="dnum">
    <w:name w:val="dnum"/>
    <w:basedOn w:val="Normal"/>
    <w:rsid w:val="004D1851"/>
    <w:pPr>
      <w:framePr w:hSpace="181" w:wrap="around" w:vAnchor="page" w:hAnchor="margin" w:y="852"/>
      <w:shd w:val="solid" w:color="FFFFFF" w:fill="FFFFFF"/>
      <w:tabs>
        <w:tab w:val="left" w:pos="1871"/>
      </w:tabs>
    </w:pPr>
    <w:rPr>
      <w:b/>
      <w:bCs/>
    </w:rPr>
  </w:style>
  <w:style w:type="paragraph" w:customStyle="1" w:styleId="ddate">
    <w:name w:val="ddate"/>
    <w:basedOn w:val="Normal"/>
    <w:rsid w:val="004D1851"/>
    <w:pPr>
      <w:framePr w:hSpace="181" w:wrap="around" w:vAnchor="page" w:hAnchor="margin" w:y="852"/>
      <w:shd w:val="solid" w:color="FFFFFF" w:fill="FFFFFF"/>
      <w:tabs>
        <w:tab w:val="left" w:pos="1871"/>
      </w:tabs>
      <w:spacing w:before="0"/>
    </w:pPr>
    <w:rPr>
      <w:b/>
      <w:bCs/>
    </w:rPr>
  </w:style>
  <w:style w:type="paragraph" w:customStyle="1" w:styleId="dorlang">
    <w:name w:val="dorlang"/>
    <w:basedOn w:val="Normal"/>
    <w:rsid w:val="004D1851"/>
    <w:pPr>
      <w:framePr w:hSpace="181" w:wrap="around" w:vAnchor="page" w:hAnchor="margin" w:y="852"/>
      <w:shd w:val="solid" w:color="FFFFFF" w:fill="FFFFFF"/>
      <w:tabs>
        <w:tab w:val="left" w:pos="1871"/>
      </w:tabs>
      <w:spacing w:before="0"/>
    </w:pPr>
    <w:rPr>
      <w:b/>
      <w:bCs/>
    </w:rPr>
  </w:style>
  <w:style w:type="paragraph" w:customStyle="1" w:styleId="AnnexNo">
    <w:name w:val="Annex_No"/>
    <w:basedOn w:val="Normal"/>
    <w:next w:val="Annexref"/>
    <w:rsid w:val="00813E5E"/>
    <w:pPr>
      <w:spacing w:before="720"/>
      <w:jc w:val="center"/>
    </w:pPr>
    <w:rPr>
      <w:caps/>
      <w:sz w:val="28"/>
    </w:rPr>
  </w:style>
  <w:style w:type="paragraph" w:customStyle="1" w:styleId="Annextitle">
    <w:name w:val="Annex_title"/>
    <w:basedOn w:val="Normal"/>
    <w:next w:val="Normal"/>
    <w:rsid w:val="00813E5E"/>
    <w:pPr>
      <w:spacing w:before="240" w:after="240"/>
      <w:jc w:val="center"/>
    </w:pPr>
    <w:rPr>
      <w:b/>
      <w:sz w:val="28"/>
    </w:rPr>
  </w:style>
  <w:style w:type="paragraph" w:customStyle="1" w:styleId="Annexref">
    <w:name w:val="Annex_ref"/>
    <w:basedOn w:val="Normal"/>
    <w:next w:val="Annextitle"/>
    <w:rsid w:val="00813E5E"/>
    <w:pPr>
      <w:jc w:val="center"/>
    </w:pPr>
  </w:style>
  <w:style w:type="paragraph" w:customStyle="1" w:styleId="AppendixNo">
    <w:name w:val="Appendix_No"/>
    <w:basedOn w:val="AnnexNo"/>
    <w:next w:val="Appendixref"/>
    <w:rsid w:val="00813E5E"/>
  </w:style>
  <w:style w:type="paragraph" w:customStyle="1" w:styleId="Appendixtitle">
    <w:name w:val="Appendix_title"/>
    <w:basedOn w:val="Annextitle"/>
    <w:next w:val="Normal"/>
    <w:rsid w:val="00813E5E"/>
  </w:style>
  <w:style w:type="paragraph" w:customStyle="1" w:styleId="Appendixref">
    <w:name w:val="Appendix_ref"/>
    <w:basedOn w:val="Annexref"/>
    <w:next w:val="Appendixtitle"/>
    <w:rsid w:val="00813E5E"/>
  </w:style>
  <w:style w:type="paragraph" w:customStyle="1" w:styleId="Call">
    <w:name w:val="Call"/>
    <w:basedOn w:val="Normal"/>
    <w:next w:val="Normal"/>
    <w:rsid w:val="00813E5E"/>
    <w:pPr>
      <w:keepNext/>
      <w:keepLines/>
      <w:tabs>
        <w:tab w:val="clear" w:pos="1134"/>
        <w:tab w:val="clear" w:pos="1701"/>
        <w:tab w:val="clear" w:pos="2268"/>
        <w:tab w:val="clear" w:pos="2835"/>
      </w:tabs>
      <w:spacing w:before="160"/>
      <w:ind w:left="567"/>
    </w:pPr>
    <w:rPr>
      <w:i/>
    </w:rPr>
  </w:style>
  <w:style w:type="paragraph" w:customStyle="1" w:styleId="Subtitle">
    <w:name w:val="Sub_title"/>
    <w:basedOn w:val="Title1"/>
    <w:qFormat/>
    <w:rsid w:val="00DF0189"/>
    <w:pPr>
      <w:framePr w:wrap="around" w:vAnchor="margin" w:hAnchor="text"/>
      <w:spacing w:before="120" w:after="160"/>
    </w:pPr>
  </w:style>
  <w:style w:type="paragraph" w:customStyle="1" w:styleId="Figure">
    <w:name w:val="Figure"/>
    <w:basedOn w:val="Normal"/>
    <w:next w:val="Figuretitle"/>
    <w:rsid w:val="00C922C7"/>
    <w:pPr>
      <w:spacing w:after="240"/>
      <w:jc w:val="center"/>
    </w:pPr>
  </w:style>
  <w:style w:type="paragraph" w:customStyle="1" w:styleId="Figuretitle">
    <w:name w:val="Figure_title"/>
    <w:basedOn w:val="Tabletitle"/>
    <w:next w:val="Normalaftertitle"/>
    <w:rsid w:val="00C922C7"/>
  </w:style>
  <w:style w:type="paragraph" w:customStyle="1" w:styleId="Tabletitle">
    <w:name w:val="Table_title"/>
    <w:basedOn w:val="TableNo"/>
    <w:next w:val="Tabletext"/>
    <w:rsid w:val="00961860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2948"/>
        <w:tab w:val="left" w:pos="4082"/>
      </w:tabs>
      <w:spacing w:before="120" w:after="120"/>
    </w:pPr>
    <w:rPr>
      <w:b/>
      <w:caps w:val="0"/>
    </w:rPr>
  </w:style>
  <w:style w:type="paragraph" w:customStyle="1" w:styleId="TableNo">
    <w:name w:val="Table_No"/>
    <w:basedOn w:val="Normal"/>
    <w:next w:val="Tabletitle"/>
    <w:rsid w:val="00C922C7"/>
    <w:pPr>
      <w:keepNext/>
      <w:keepLines/>
      <w:spacing w:before="480"/>
      <w:jc w:val="center"/>
    </w:pPr>
    <w:rPr>
      <w:caps/>
    </w:rPr>
  </w:style>
  <w:style w:type="paragraph" w:customStyle="1" w:styleId="Tabletext">
    <w:name w:val="Table_text"/>
    <w:basedOn w:val="Normal"/>
    <w:rsid w:val="00961860"/>
    <w:pPr>
      <w:tabs>
        <w:tab w:val="clear" w:pos="1134"/>
        <w:tab w:val="clear" w:pos="1701"/>
        <w:tab w:val="clear" w:pos="2268"/>
        <w:tab w:val="clear" w:pos="2835"/>
        <w:tab w:val="left" w:pos="284"/>
        <w:tab w:val="left" w:pos="851"/>
      </w:tabs>
      <w:spacing w:before="40" w:after="40"/>
    </w:pPr>
    <w:rPr>
      <w:sz w:val="22"/>
    </w:rPr>
  </w:style>
  <w:style w:type="paragraph" w:customStyle="1" w:styleId="Figurelegend">
    <w:name w:val="Figure_legend"/>
    <w:basedOn w:val="Normal"/>
    <w:rsid w:val="004D1851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Figuretitle"/>
    <w:rsid w:val="00C922C7"/>
    <w:pPr>
      <w:keepNext/>
      <w:keepLines/>
      <w:spacing w:before="480"/>
      <w:jc w:val="center"/>
    </w:pPr>
    <w:rPr>
      <w:caps/>
    </w:rPr>
  </w:style>
  <w:style w:type="paragraph" w:customStyle="1" w:styleId="Figurewithouttitle">
    <w:name w:val="Figure_without_title"/>
    <w:basedOn w:val="Figure"/>
    <w:next w:val="Normalaftertitle"/>
    <w:rsid w:val="004D1851"/>
  </w:style>
  <w:style w:type="paragraph" w:customStyle="1" w:styleId="Headingi">
    <w:name w:val="Heading_i"/>
    <w:basedOn w:val="Heading3"/>
    <w:next w:val="Normal"/>
    <w:rsid w:val="00813E5E"/>
    <w:pPr>
      <w:spacing w:before="160"/>
      <w:outlineLvl w:val="0"/>
    </w:pPr>
    <w:rPr>
      <w:rFonts w:asciiTheme="minorHAnsi" w:hAnsiTheme="minorHAnsi"/>
      <w:b w:val="0"/>
      <w:i/>
    </w:rPr>
  </w:style>
  <w:style w:type="character" w:styleId="PageNumber">
    <w:name w:val="page number"/>
    <w:basedOn w:val="DefaultParagraphFont"/>
    <w:rsid w:val="00813E5E"/>
    <w:rPr>
      <w:rFonts w:ascii="Calibri" w:hAnsi="Calibri"/>
    </w:rPr>
  </w:style>
  <w:style w:type="paragraph" w:customStyle="1" w:styleId="PartNo">
    <w:name w:val="Part_No"/>
    <w:basedOn w:val="AnnexNo"/>
    <w:next w:val="Parttitle"/>
    <w:rsid w:val="004D1851"/>
  </w:style>
  <w:style w:type="paragraph" w:customStyle="1" w:styleId="Parttitle">
    <w:name w:val="Part_title"/>
    <w:basedOn w:val="Annextitle"/>
    <w:next w:val="Partref"/>
    <w:rsid w:val="004D1851"/>
  </w:style>
  <w:style w:type="paragraph" w:customStyle="1" w:styleId="Partref">
    <w:name w:val="Part_ref"/>
    <w:basedOn w:val="Annexref"/>
    <w:next w:val="Normalaftertitle"/>
    <w:rsid w:val="004D1851"/>
  </w:style>
  <w:style w:type="paragraph" w:customStyle="1" w:styleId="RecNo">
    <w:name w:val="Rec_No"/>
    <w:basedOn w:val="Normal"/>
    <w:next w:val="Rectitle"/>
    <w:rsid w:val="00813E5E"/>
    <w:pPr>
      <w:spacing w:before="720"/>
      <w:jc w:val="center"/>
    </w:pPr>
    <w:rPr>
      <w:caps/>
      <w:sz w:val="28"/>
    </w:rPr>
  </w:style>
  <w:style w:type="paragraph" w:customStyle="1" w:styleId="Rectitle">
    <w:name w:val="Rec_title"/>
    <w:basedOn w:val="Normal"/>
    <w:next w:val="Heading1"/>
    <w:rsid w:val="00813E5E"/>
    <w:pPr>
      <w:spacing w:before="240"/>
      <w:jc w:val="center"/>
    </w:pPr>
    <w:rPr>
      <w:b/>
      <w:sz w:val="28"/>
    </w:rPr>
  </w:style>
  <w:style w:type="paragraph" w:customStyle="1" w:styleId="Recref">
    <w:name w:val="Rec_ref"/>
    <w:basedOn w:val="Rectitle"/>
    <w:next w:val="Recdate"/>
    <w:rsid w:val="004D1851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4D1851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4D1851"/>
  </w:style>
  <w:style w:type="paragraph" w:customStyle="1" w:styleId="QuestionNo">
    <w:name w:val="Question_No"/>
    <w:basedOn w:val="RecNo"/>
    <w:next w:val="Questiontitle"/>
    <w:rsid w:val="004D1851"/>
  </w:style>
  <w:style w:type="paragraph" w:customStyle="1" w:styleId="Questionref">
    <w:name w:val="Question_ref"/>
    <w:basedOn w:val="Recref"/>
    <w:next w:val="Questiondate"/>
    <w:rsid w:val="004D1851"/>
  </w:style>
  <w:style w:type="paragraph" w:customStyle="1" w:styleId="Questiontitle">
    <w:name w:val="Question_title"/>
    <w:basedOn w:val="Rectitle"/>
    <w:next w:val="Questionref"/>
    <w:rsid w:val="004D1851"/>
  </w:style>
  <w:style w:type="paragraph" w:customStyle="1" w:styleId="Reftext">
    <w:name w:val="Ref_text"/>
    <w:basedOn w:val="Normal"/>
    <w:rsid w:val="00813E5E"/>
    <w:pPr>
      <w:ind w:left="567" w:hanging="567"/>
    </w:pPr>
  </w:style>
  <w:style w:type="paragraph" w:customStyle="1" w:styleId="Reftitle">
    <w:name w:val="Ref_title"/>
    <w:basedOn w:val="Normal"/>
    <w:next w:val="Reftext"/>
    <w:rsid w:val="00813E5E"/>
    <w:pPr>
      <w:spacing w:before="480"/>
      <w:jc w:val="center"/>
    </w:pPr>
    <w:rPr>
      <w:caps/>
      <w:sz w:val="28"/>
    </w:rPr>
  </w:style>
  <w:style w:type="paragraph" w:customStyle="1" w:styleId="Resdate">
    <w:name w:val="Res_date"/>
    <w:basedOn w:val="Recdate"/>
    <w:next w:val="Normalaftertitle"/>
    <w:rsid w:val="004D1851"/>
  </w:style>
  <w:style w:type="paragraph" w:customStyle="1" w:styleId="ResNo">
    <w:name w:val="Res_No"/>
    <w:basedOn w:val="AnnexNo"/>
    <w:next w:val="Restitle"/>
    <w:rsid w:val="00813E5E"/>
  </w:style>
  <w:style w:type="paragraph" w:customStyle="1" w:styleId="Restitle">
    <w:name w:val="Res_title"/>
    <w:basedOn w:val="Annextitle"/>
    <w:next w:val="Normal"/>
    <w:rsid w:val="00813E5E"/>
  </w:style>
  <w:style w:type="paragraph" w:customStyle="1" w:styleId="Resref">
    <w:name w:val="Res_ref"/>
    <w:basedOn w:val="Recref"/>
    <w:next w:val="Resdate"/>
    <w:rsid w:val="004D1851"/>
  </w:style>
  <w:style w:type="paragraph" w:customStyle="1" w:styleId="SectionNo">
    <w:name w:val="Section_No"/>
    <w:basedOn w:val="AnnexNo"/>
    <w:next w:val="Sectiontitle"/>
    <w:rsid w:val="004D1851"/>
  </w:style>
  <w:style w:type="paragraph" w:customStyle="1" w:styleId="Sectiontitle">
    <w:name w:val="Section_title"/>
    <w:basedOn w:val="Normal"/>
    <w:next w:val="Normalaftertitle"/>
    <w:rsid w:val="004D1851"/>
    <w:rPr>
      <w:sz w:val="28"/>
    </w:rPr>
  </w:style>
  <w:style w:type="paragraph" w:customStyle="1" w:styleId="Tablehead">
    <w:name w:val="Table_head"/>
    <w:basedOn w:val="Tabletext"/>
    <w:rsid w:val="00961860"/>
    <w:pPr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961860"/>
    <w:rPr>
      <w:sz w:val="20"/>
    </w:rPr>
  </w:style>
  <w:style w:type="paragraph" w:customStyle="1" w:styleId="Tableref">
    <w:name w:val="Table_ref"/>
    <w:basedOn w:val="Normal"/>
    <w:next w:val="Tabletitle"/>
    <w:rsid w:val="004D1851"/>
    <w:pPr>
      <w:keepNext/>
      <w:spacing w:before="567"/>
      <w:jc w:val="center"/>
    </w:pPr>
  </w:style>
  <w:style w:type="paragraph" w:customStyle="1" w:styleId="Artheading">
    <w:name w:val="Art_heading"/>
    <w:basedOn w:val="Normal"/>
    <w:next w:val="Normalaftertitle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480"/>
      <w:jc w:val="center"/>
    </w:pPr>
    <w:rPr>
      <w:b/>
    </w:rPr>
  </w:style>
  <w:style w:type="paragraph" w:customStyle="1" w:styleId="ArtNo">
    <w:name w:val="Art_No"/>
    <w:basedOn w:val="Normal"/>
    <w:next w:val="Arttitle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240" w:after="240"/>
      <w:jc w:val="center"/>
    </w:pPr>
    <w:rPr>
      <w:b/>
      <w:sz w:val="28"/>
    </w:rPr>
  </w:style>
  <w:style w:type="paragraph" w:customStyle="1" w:styleId="ChapNo">
    <w:name w:val="Chap_No"/>
    <w:basedOn w:val="ArtNo"/>
    <w:next w:val="Chaptitle"/>
    <w:rsid w:val="00813E5E"/>
  </w:style>
  <w:style w:type="paragraph" w:customStyle="1" w:styleId="Chaptitle">
    <w:name w:val="Chap_title"/>
    <w:basedOn w:val="Arttitle"/>
    <w:next w:val="Normal"/>
    <w:rsid w:val="00813E5E"/>
  </w:style>
  <w:style w:type="character" w:styleId="UnresolvedMention">
    <w:name w:val="Unresolved Mention"/>
    <w:basedOn w:val="DefaultParagraphFont"/>
    <w:uiPriority w:val="99"/>
    <w:semiHidden/>
    <w:unhideWhenUsed/>
    <w:rsid w:val="00806E3C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875FD1"/>
    <w:rPr>
      <w:color w:val="666666"/>
    </w:rPr>
  </w:style>
  <w:style w:type="paragraph" w:styleId="ListParagraph">
    <w:name w:val="List Paragraph"/>
    <w:basedOn w:val="Normal"/>
    <w:uiPriority w:val="34"/>
    <w:qFormat/>
    <w:rsid w:val="00AD0C2E"/>
    <w:pPr>
      <w:ind w:left="720"/>
      <w:contextualSpacing/>
    </w:pPr>
  </w:style>
  <w:style w:type="paragraph" w:styleId="Revision">
    <w:name w:val="Revision"/>
    <w:hidden/>
    <w:uiPriority w:val="99"/>
    <w:semiHidden/>
    <w:rsid w:val="00EA3BE4"/>
    <w:rPr>
      <w:rFonts w:ascii="Calibri" w:hAnsi="Calibri"/>
      <w:sz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230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9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269557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605733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986871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535692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771119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portal.etsi.org/webapp/WorkProgram/Report_WorkItem.asp?WKI_ID=68724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mailto:jean-manuel.canet@orange.com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s://youtu.be/_ZMTn_KsfvI" TargetMode="Externa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aolo.gemma@huawei.com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greendigitalcoalition.eu/" TargetMode="Externa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portal.etsi.org/webapp/WorkProgram/Report_WorkItem.asp?WKI_ID=73730" TargetMode="External"/><Relationship Id="rId22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itu.int/en/general-secretariat/Pages/ISCG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ukenik\OneDrive%20-%20ITU\ISCG\1st%20Meeting%202025\ISCG-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62E360EB612A45AC10C33F275DB288" ma:contentTypeVersion="1" ma:contentTypeDescription="Create a new document." ma:contentTypeScope="" ma:versionID="74ff6eb72c0eb09fa07ceededf461d4c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37a7266940aab2202ac67b957d0a61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602B4DE-FC73-46C6-BFF6-6457901D364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804E00A-A34D-42B5-9E24-01D2C0655EC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1D3F12F1-1F94-470B-9445-F840C53E68A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B29322D-0C56-4378-8426-7F53C7BFCE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07222825-62ea-40f3-96b5-5375c07996e2}" enabled="1" method="Privileged" siteId="{90c7a20a-f34b-40bf-bc48-b9253b6f5d20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ISCG-TEMPLATE.dotx</Template>
  <TotalTime>0</TotalTime>
  <Pages>3</Pages>
  <Words>752</Words>
  <Characters>4747</Characters>
  <Application>Microsoft Office Word</Application>
  <DocSecurity>4</DocSecurity>
  <Lines>39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5489</CharactersWithSpaces>
  <SharedDoc>false</SharedDoc>
  <HLinks>
    <vt:vector size="6" baseType="variant">
      <vt:variant>
        <vt:i4>3342371</vt:i4>
      </vt:variant>
      <vt:variant>
        <vt:i4>12</vt:i4>
      </vt:variant>
      <vt:variant>
        <vt:i4>0</vt:i4>
      </vt:variant>
      <vt:variant>
        <vt:i4>5</vt:i4>
      </vt:variant>
      <vt:variant>
        <vt:lpwstr>http://www.itu.int/council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ITU Council Working Group for strategic and financial plans 2028-2031</dc:subject>
  <dc:creator>Sukenik, Maria Victoria</dc:creator>
  <cp:keywords>CWG-SFP</cp:keywords>
  <dc:description/>
  <cp:lastModifiedBy>Sukenik, Maria Victoria</cp:lastModifiedBy>
  <cp:revision>2</cp:revision>
  <dcterms:created xsi:type="dcterms:W3CDTF">2025-05-27T09:45:00Z</dcterms:created>
  <dcterms:modified xsi:type="dcterms:W3CDTF">2025-05-27T09:45:00Z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0x010100B862E360EB612A45AC10C33F275DB288</vt:lpwstr>
  </property>
  <property fmtid="{D5CDD505-2E9C-101B-9397-08002B2CF9AE}" pid="3" name="_readonly">
    <vt:lpwstr/>
  </property>
  <property fmtid="{D5CDD505-2E9C-101B-9397-08002B2CF9AE}" pid="4" name="_change">
    <vt:lpwstr/>
  </property>
  <property fmtid="{D5CDD505-2E9C-101B-9397-08002B2CF9AE}" pid="5" name="_full-control">
    <vt:lpwstr/>
  </property>
  <property fmtid="{D5CDD505-2E9C-101B-9397-08002B2CF9AE}" pid="6" name="sflag">
    <vt:lpwstr>1747814687</vt:lpwstr>
  </property>
</Properties>
</file>