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072" w:type="dxa"/>
        <w:tblLayout w:type="fixed"/>
        <w:tblLook w:val="0000" w:firstRow="0" w:lastRow="0" w:firstColumn="0" w:lastColumn="0" w:noHBand="0" w:noVBand="0"/>
      </w:tblPr>
      <w:tblGrid>
        <w:gridCol w:w="3969"/>
        <w:gridCol w:w="5103"/>
      </w:tblGrid>
      <w:tr w:rsidR="00AD3606" w:rsidRPr="004B51C8" w14:paraId="75738ABB" w14:textId="77777777" w:rsidTr="007D6AD0">
        <w:trPr>
          <w:cantSplit/>
          <w:trHeight w:val="23"/>
        </w:trPr>
        <w:tc>
          <w:tcPr>
            <w:tcW w:w="3969" w:type="dxa"/>
            <w:vMerge w:val="restart"/>
            <w:tcMar>
              <w:left w:w="0" w:type="dxa"/>
            </w:tcMar>
          </w:tcPr>
          <w:p w14:paraId="333D3DB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103" w:type="dxa"/>
          </w:tcPr>
          <w:p w14:paraId="4F75CE2E" w14:textId="46A43AFD"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5241E0">
              <w:rPr>
                <w:b/>
                <w:lang w:val="fr-CH"/>
              </w:rPr>
              <w:t>ISCG/25</w:t>
            </w:r>
            <w:r w:rsidR="00524E9C">
              <w:rPr>
                <w:b/>
                <w:lang w:val="fr-CH"/>
              </w:rPr>
              <w:t>-</w:t>
            </w:r>
            <w:r w:rsidR="00F70249">
              <w:rPr>
                <w:b/>
                <w:lang w:val="fr-CH"/>
              </w:rPr>
              <w:t>2</w:t>
            </w:r>
            <w:r w:rsidR="00F66A26">
              <w:rPr>
                <w:b/>
                <w:lang w:val="fr-FR"/>
              </w:rPr>
              <w:t>/</w:t>
            </w:r>
            <w:r w:rsidR="00B309EB">
              <w:rPr>
                <w:b/>
                <w:lang w:val="fr-FR"/>
              </w:rPr>
              <w:t>06</w:t>
            </w:r>
            <w:r w:rsidR="005241E0">
              <w:rPr>
                <w:b/>
                <w:lang w:val="fr-FR"/>
              </w:rPr>
              <w:t>-E</w:t>
            </w:r>
          </w:p>
        </w:tc>
      </w:tr>
      <w:tr w:rsidR="00AD3606" w:rsidRPr="00147C54" w14:paraId="49AA1FBD" w14:textId="77777777" w:rsidTr="007D6AD0">
        <w:trPr>
          <w:cantSplit/>
        </w:trPr>
        <w:tc>
          <w:tcPr>
            <w:tcW w:w="3969" w:type="dxa"/>
            <w:vMerge/>
          </w:tcPr>
          <w:p w14:paraId="6C9E27D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103" w:type="dxa"/>
          </w:tcPr>
          <w:p w14:paraId="0A6B18FC" w14:textId="611853C0" w:rsidR="00AD3606" w:rsidRPr="00147C54" w:rsidRDefault="008327DA" w:rsidP="00AD3606">
            <w:pPr>
              <w:tabs>
                <w:tab w:val="left" w:pos="851"/>
              </w:tabs>
              <w:spacing w:before="0"/>
              <w:jc w:val="right"/>
              <w:rPr>
                <w:b/>
              </w:rPr>
            </w:pPr>
            <w:r>
              <w:rPr>
                <w:b/>
              </w:rPr>
              <w:t>21 May 2025</w:t>
            </w:r>
          </w:p>
        </w:tc>
      </w:tr>
      <w:tr w:rsidR="00AD3606" w:rsidRPr="00147C54" w14:paraId="245EED5B" w14:textId="77777777" w:rsidTr="007D6AD0">
        <w:trPr>
          <w:cantSplit/>
          <w:trHeight w:val="23"/>
        </w:trPr>
        <w:tc>
          <w:tcPr>
            <w:tcW w:w="3969" w:type="dxa"/>
            <w:vMerge/>
          </w:tcPr>
          <w:p w14:paraId="1E90653D" w14:textId="77777777" w:rsidR="00AD3606" w:rsidRPr="00147C54" w:rsidRDefault="00AD3606" w:rsidP="00AD3606">
            <w:pPr>
              <w:tabs>
                <w:tab w:val="left" w:pos="851"/>
              </w:tabs>
              <w:spacing w:line="240" w:lineRule="atLeast"/>
              <w:rPr>
                <w:b/>
              </w:rPr>
            </w:pPr>
            <w:bookmarkStart w:id="7" w:name="dorlang" w:colFirst="1" w:colLast="1"/>
            <w:bookmarkEnd w:id="6"/>
          </w:p>
        </w:tc>
        <w:tc>
          <w:tcPr>
            <w:tcW w:w="5103" w:type="dxa"/>
          </w:tcPr>
          <w:p w14:paraId="248884E4"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53B6052" w14:textId="77777777" w:rsidTr="007D6AD0">
        <w:trPr>
          <w:cantSplit/>
          <w:trHeight w:val="23"/>
        </w:trPr>
        <w:tc>
          <w:tcPr>
            <w:tcW w:w="3969" w:type="dxa"/>
          </w:tcPr>
          <w:p w14:paraId="68C47D52" w14:textId="77777777" w:rsidR="00472BAD" w:rsidRPr="00147C54" w:rsidRDefault="00472BAD" w:rsidP="00AD3606">
            <w:pPr>
              <w:tabs>
                <w:tab w:val="left" w:pos="851"/>
              </w:tabs>
              <w:spacing w:line="240" w:lineRule="atLeast"/>
              <w:rPr>
                <w:b/>
              </w:rPr>
            </w:pPr>
          </w:p>
        </w:tc>
        <w:tc>
          <w:tcPr>
            <w:tcW w:w="5103" w:type="dxa"/>
          </w:tcPr>
          <w:p w14:paraId="550894A5" w14:textId="77777777" w:rsidR="00472BAD" w:rsidRPr="00147C54" w:rsidRDefault="00472BAD" w:rsidP="00AD3606">
            <w:pPr>
              <w:tabs>
                <w:tab w:val="left" w:pos="851"/>
              </w:tabs>
              <w:spacing w:before="0" w:line="240" w:lineRule="atLeast"/>
              <w:jc w:val="right"/>
              <w:rPr>
                <w:b/>
              </w:rPr>
            </w:pPr>
          </w:p>
        </w:tc>
      </w:tr>
      <w:tr w:rsidR="00AD3606" w:rsidRPr="00147C54" w14:paraId="02CE4872" w14:textId="77777777" w:rsidTr="007D6AD0">
        <w:trPr>
          <w:cantSplit/>
        </w:trPr>
        <w:tc>
          <w:tcPr>
            <w:tcW w:w="9072" w:type="dxa"/>
            <w:gridSpan w:val="2"/>
            <w:tcMar>
              <w:left w:w="0" w:type="dxa"/>
            </w:tcMar>
          </w:tcPr>
          <w:p w14:paraId="11EB1697" w14:textId="5DC09CF1" w:rsidR="00AD3606" w:rsidRPr="00147C54" w:rsidRDefault="00006DB2" w:rsidP="00E4728B">
            <w:pPr>
              <w:pStyle w:val="Source"/>
              <w:framePr w:hSpace="0" w:wrap="auto" w:vAnchor="margin" w:hAnchor="text" w:xAlign="left" w:yAlign="inline"/>
            </w:pPr>
            <w:bookmarkStart w:id="8" w:name="dsource" w:colFirst="0" w:colLast="0"/>
            <w:bookmarkEnd w:id="7"/>
            <w:r w:rsidRPr="005E413D">
              <w:t xml:space="preserve">Contribution </w:t>
            </w:r>
            <w:r>
              <w:t>by</w:t>
            </w:r>
            <w:r w:rsidR="006D2D3A">
              <w:t xml:space="preserve"> Coordinator on Industry Engagement</w:t>
            </w:r>
          </w:p>
        </w:tc>
      </w:tr>
      <w:tr w:rsidR="00AD3606" w:rsidRPr="00147C54" w14:paraId="16B8590D" w14:textId="77777777" w:rsidTr="007D6AD0">
        <w:trPr>
          <w:cantSplit/>
        </w:trPr>
        <w:tc>
          <w:tcPr>
            <w:tcW w:w="9072" w:type="dxa"/>
            <w:gridSpan w:val="2"/>
            <w:tcMar>
              <w:left w:w="0" w:type="dxa"/>
            </w:tcMar>
          </w:tcPr>
          <w:p w14:paraId="3EBDE99F" w14:textId="721A52DC" w:rsidR="00AD3606" w:rsidRPr="007D6AD0" w:rsidRDefault="008327DA" w:rsidP="00E4728B">
            <w:pPr>
              <w:pStyle w:val="Subtitle"/>
              <w:framePr w:hSpace="0" w:wrap="auto" w:xAlign="left" w:yAlign="inline"/>
              <w:rPr>
                <w:caps/>
              </w:rPr>
            </w:pPr>
            <w:bookmarkStart w:id="9" w:name="dtitle1" w:colFirst="0" w:colLast="0"/>
            <w:bookmarkEnd w:id="8"/>
            <w:r w:rsidRPr="007D6AD0">
              <w:rPr>
                <w:caps/>
              </w:rPr>
              <w:t xml:space="preserve">On </w:t>
            </w:r>
            <w:r w:rsidR="00484274" w:rsidRPr="007D6AD0">
              <w:rPr>
                <w:caps/>
              </w:rPr>
              <w:t xml:space="preserve">Industry Engagement in </w:t>
            </w:r>
            <w:r w:rsidRPr="007D6AD0">
              <w:rPr>
                <w:caps/>
              </w:rPr>
              <w:t xml:space="preserve">ITU </w:t>
            </w:r>
            <w:r w:rsidR="00484274" w:rsidRPr="007D6AD0">
              <w:rPr>
                <w:caps/>
              </w:rPr>
              <w:t>Development Sector</w:t>
            </w:r>
          </w:p>
        </w:tc>
      </w:tr>
      <w:tr w:rsidR="00AD3606" w:rsidRPr="00147C54" w14:paraId="738924AE" w14:textId="77777777" w:rsidTr="007D6AD0">
        <w:trPr>
          <w:cantSplit/>
        </w:trPr>
        <w:tc>
          <w:tcPr>
            <w:tcW w:w="9072" w:type="dxa"/>
            <w:gridSpan w:val="2"/>
            <w:tcBorders>
              <w:top w:val="single" w:sz="4" w:space="0" w:color="auto"/>
              <w:bottom w:val="single" w:sz="4" w:space="0" w:color="auto"/>
            </w:tcBorders>
            <w:tcMar>
              <w:left w:w="0" w:type="dxa"/>
            </w:tcMar>
          </w:tcPr>
          <w:p w14:paraId="393CFB80" w14:textId="48063935" w:rsidR="005241E0" w:rsidRPr="005241E0" w:rsidRDefault="00F16BAB" w:rsidP="005241E0">
            <w:pPr>
              <w:spacing w:before="160" w:after="120"/>
              <w:rPr>
                <w:sz w:val="26"/>
                <w:szCs w:val="26"/>
              </w:rPr>
            </w:pPr>
            <w:r w:rsidRPr="00147C54">
              <w:rPr>
                <w:b/>
                <w:bCs/>
                <w:sz w:val="26"/>
                <w:szCs w:val="26"/>
              </w:rPr>
              <w:t>Purpose</w:t>
            </w:r>
            <w:r w:rsidR="005241E0">
              <w:rPr>
                <w:b/>
                <w:bCs/>
                <w:sz w:val="26"/>
                <w:szCs w:val="26"/>
              </w:rPr>
              <w:t>:</w:t>
            </w:r>
            <w:r w:rsidR="00862968">
              <w:rPr>
                <w:b/>
                <w:bCs/>
                <w:sz w:val="26"/>
                <w:szCs w:val="26"/>
              </w:rPr>
              <w:t xml:space="preserve"> </w:t>
            </w:r>
            <w:r w:rsidR="00862968" w:rsidRPr="00862968">
              <w:rPr>
                <w:sz w:val="26"/>
                <w:szCs w:val="26"/>
              </w:rPr>
              <w:t>For</w:t>
            </w:r>
            <w:r w:rsidR="005241E0" w:rsidRPr="005241E0">
              <w:rPr>
                <w:sz w:val="26"/>
                <w:szCs w:val="26"/>
              </w:rPr>
              <w:t xml:space="preserve"> Information</w:t>
            </w:r>
          </w:p>
        </w:tc>
      </w:tr>
      <w:tr w:rsidR="005241E0" w:rsidRPr="00862968" w14:paraId="14D83C7C" w14:textId="77777777" w:rsidTr="007D6AD0">
        <w:trPr>
          <w:cantSplit/>
        </w:trPr>
        <w:tc>
          <w:tcPr>
            <w:tcW w:w="9072" w:type="dxa"/>
            <w:gridSpan w:val="2"/>
            <w:tcBorders>
              <w:top w:val="single" w:sz="4" w:space="0" w:color="auto"/>
              <w:bottom w:val="single" w:sz="4" w:space="0" w:color="auto"/>
            </w:tcBorders>
            <w:tcMar>
              <w:left w:w="0" w:type="dxa"/>
            </w:tcMar>
          </w:tcPr>
          <w:p w14:paraId="006FC283" w14:textId="625C7B6B" w:rsidR="00B309EB" w:rsidRDefault="005241E0" w:rsidP="00B309EB">
            <w:pPr>
              <w:spacing w:before="0"/>
              <w:rPr>
                <w:sz w:val="26"/>
                <w:szCs w:val="26"/>
                <w:lang w:val="lt-LT"/>
              </w:rPr>
            </w:pPr>
            <w:r w:rsidRPr="00407AB7">
              <w:rPr>
                <w:b/>
                <w:bCs/>
                <w:sz w:val="26"/>
                <w:szCs w:val="26"/>
                <w:lang w:val="it-IT"/>
              </w:rPr>
              <w:t xml:space="preserve">Contact: </w:t>
            </w:r>
            <w:r w:rsidR="008073F5" w:rsidRPr="00407AB7">
              <w:rPr>
                <w:sz w:val="26"/>
                <w:szCs w:val="26"/>
                <w:lang w:val="it-IT"/>
              </w:rPr>
              <w:t>Inga Rimkevi</w:t>
            </w:r>
            <w:r w:rsidR="008073F5">
              <w:rPr>
                <w:sz w:val="26"/>
                <w:szCs w:val="26"/>
                <w:lang w:val="lt-LT"/>
              </w:rPr>
              <w:t>čienė</w:t>
            </w:r>
            <w:r w:rsidR="008327DA">
              <w:rPr>
                <w:sz w:val="26"/>
                <w:szCs w:val="26"/>
                <w:lang w:val="lt-LT"/>
              </w:rPr>
              <w:t xml:space="preserve"> (L</w:t>
            </w:r>
            <w:r w:rsidR="00407AB7">
              <w:rPr>
                <w:sz w:val="26"/>
                <w:szCs w:val="26"/>
                <w:lang w:val="lt-LT"/>
              </w:rPr>
              <w:t>ithuania</w:t>
            </w:r>
            <w:r w:rsidR="008327DA">
              <w:rPr>
                <w:sz w:val="26"/>
                <w:szCs w:val="26"/>
                <w:lang w:val="lt-LT"/>
              </w:rPr>
              <w:t>)</w:t>
            </w:r>
            <w:r w:rsidR="008073F5">
              <w:rPr>
                <w:sz w:val="26"/>
                <w:szCs w:val="26"/>
                <w:lang w:val="lt-LT"/>
              </w:rPr>
              <w:t xml:space="preserve"> </w:t>
            </w:r>
            <w:r w:rsidR="00B309EB" w:rsidRPr="00407AB7">
              <w:rPr>
                <w:b/>
                <w:bCs/>
                <w:sz w:val="26"/>
                <w:szCs w:val="26"/>
                <w:lang w:val="it-IT"/>
              </w:rPr>
              <w:t xml:space="preserve">                        E-mail: </w:t>
            </w:r>
            <w:r w:rsidR="00B309EB" w:rsidRPr="00407AB7">
              <w:rPr>
                <w:sz w:val="26"/>
                <w:szCs w:val="26"/>
                <w:lang w:val="it-IT"/>
              </w:rPr>
              <w:t>inga.rimkeviciene@rrt.lt</w:t>
            </w:r>
          </w:p>
          <w:p w14:paraId="6F51167A" w14:textId="66DB3748" w:rsidR="005241E0" w:rsidRPr="00407AB7" w:rsidRDefault="00B309EB" w:rsidP="00B309EB">
            <w:pPr>
              <w:spacing w:before="0"/>
              <w:rPr>
                <w:b/>
                <w:bCs/>
                <w:sz w:val="26"/>
                <w:szCs w:val="26"/>
              </w:rPr>
            </w:pPr>
            <w:r>
              <w:rPr>
                <w:sz w:val="26"/>
                <w:szCs w:val="26"/>
                <w:lang w:val="lt-LT"/>
              </w:rPr>
              <w:t xml:space="preserve">                </w:t>
            </w:r>
            <w:r w:rsidR="008327DA">
              <w:rPr>
                <w:sz w:val="26"/>
                <w:szCs w:val="26"/>
                <w:lang w:val="lt-LT"/>
              </w:rPr>
              <w:t xml:space="preserve">TDAG </w:t>
            </w:r>
            <w:r w:rsidR="008327DA" w:rsidRPr="00407AB7">
              <w:rPr>
                <w:sz w:val="26"/>
                <w:szCs w:val="26"/>
              </w:rPr>
              <w:t>Vice-Chair</w:t>
            </w:r>
            <w:r w:rsidR="005241E0" w:rsidRPr="00407AB7">
              <w:rPr>
                <w:sz w:val="26"/>
                <w:szCs w:val="26"/>
              </w:rPr>
              <w:t xml:space="preserve">       </w:t>
            </w:r>
          </w:p>
        </w:tc>
      </w:tr>
      <w:bookmarkEnd w:id="2"/>
      <w:bookmarkEnd w:id="3"/>
      <w:bookmarkEnd w:id="4"/>
      <w:bookmarkEnd w:id="5"/>
      <w:bookmarkEnd w:id="9"/>
    </w:tbl>
    <w:p w14:paraId="0569D43D" w14:textId="1DBAA3D8" w:rsidR="00DD6D1E" w:rsidRPr="00407AB7" w:rsidRDefault="00DD6D1E" w:rsidP="00DD6D1E">
      <w:pPr>
        <w:spacing w:after="120"/>
        <w:jc w:val="both"/>
      </w:pPr>
    </w:p>
    <w:p w14:paraId="59913A1C" w14:textId="2C24144E" w:rsidR="00DD6D1E" w:rsidRPr="008327DA" w:rsidRDefault="00DD6D1E" w:rsidP="008327DA">
      <w:pPr>
        <w:spacing w:after="120"/>
        <w:ind w:left="284"/>
        <w:jc w:val="both"/>
        <w:rPr>
          <w:rFonts w:eastAsia="SimSun"/>
          <w:b/>
          <w:bCs/>
          <w:sz w:val="28"/>
          <w:szCs w:val="28"/>
          <w:lang w:val="en-US"/>
        </w:rPr>
      </w:pPr>
      <w:r w:rsidRPr="008327DA">
        <w:rPr>
          <w:b/>
          <w:bCs/>
          <w:sz w:val="28"/>
          <w:szCs w:val="28"/>
          <w:lang w:val="it-IT"/>
        </w:rPr>
        <w:t>Introduction</w:t>
      </w:r>
    </w:p>
    <w:p w14:paraId="47FFE108" w14:textId="6E19E2DF" w:rsidR="00DD6D1E" w:rsidRDefault="00DD6D1E" w:rsidP="008327DA">
      <w:pPr>
        <w:spacing w:after="120"/>
        <w:ind w:left="284"/>
        <w:jc w:val="both"/>
        <w:rPr>
          <w:rFonts w:eastAsia="SimSun"/>
          <w:szCs w:val="24"/>
          <w:lang w:val="en-US"/>
        </w:rPr>
      </w:pPr>
      <w:r w:rsidRPr="008327DA">
        <w:rPr>
          <w:rFonts w:eastAsia="SimSun"/>
          <w:szCs w:val="24"/>
          <w:lang w:val="en-US"/>
        </w:rPr>
        <w:t xml:space="preserve">The </w:t>
      </w:r>
      <w:r w:rsidRPr="008327DA">
        <w:rPr>
          <w:rFonts w:eastAsia="SimSun"/>
          <w:szCs w:val="24"/>
        </w:rPr>
        <w:t>World Telecommunication Development Conference of 2022 (</w:t>
      </w:r>
      <w:r w:rsidRPr="008327DA">
        <w:rPr>
          <w:rFonts w:eastAsia="SimSun"/>
          <w:szCs w:val="24"/>
          <w:lang w:val="en-US"/>
        </w:rPr>
        <w:t xml:space="preserve">WTDC-22) revised and adopted </w:t>
      </w:r>
      <w:r w:rsidRPr="008327DA">
        <w:rPr>
          <w:rFonts w:eastAsia="SimSun"/>
          <w:szCs w:val="24"/>
        </w:rPr>
        <w:t xml:space="preserve">Resolution 71 (Rev. Kigali, 2022), “Strengthening cooperation between Member States, Sector Members, Associates and Academia of the ITU Telecommunication Development Sector and the evolving role of the private sector in the ITU Telecommunication Development Sector”. This was done to bring focus to and promote active involvement of ITU-D Sector Members, Associates, and Academia in all ITU-D activities. This includes participation in the work of ITU-D Study Groups and participation in the implementation of the Kigali Action Plan. </w:t>
      </w:r>
      <w:r w:rsidRPr="008327DA">
        <w:rPr>
          <w:rFonts w:eastAsia="SimSun"/>
          <w:szCs w:val="24"/>
          <w:lang w:val="en-US"/>
        </w:rPr>
        <w:t xml:space="preserve">This has set the scene for the subsequent work in continuing collaboration with the ITU-D membership, strengthening efforts to recruit and retain members. </w:t>
      </w:r>
    </w:p>
    <w:p w14:paraId="6F5823DA" w14:textId="77777777" w:rsidR="008327DA" w:rsidRPr="008327DA" w:rsidRDefault="008327DA" w:rsidP="008327DA">
      <w:pPr>
        <w:spacing w:after="120"/>
        <w:ind w:left="284"/>
        <w:jc w:val="both"/>
        <w:rPr>
          <w:rFonts w:eastAsia="SimSun"/>
          <w:szCs w:val="24"/>
          <w:lang w:val="en-US"/>
        </w:rPr>
      </w:pPr>
    </w:p>
    <w:p w14:paraId="3E68C493" w14:textId="77777777" w:rsidR="00DD6D1E" w:rsidRPr="008327DA" w:rsidRDefault="00DD6D1E" w:rsidP="008327DA">
      <w:pPr>
        <w:spacing w:after="120"/>
        <w:ind w:left="284"/>
        <w:jc w:val="both"/>
        <w:rPr>
          <w:rFonts w:eastAsia="SimSun"/>
          <w:b/>
          <w:bCs/>
          <w:sz w:val="28"/>
          <w:szCs w:val="28"/>
          <w:lang w:val="en-US"/>
        </w:rPr>
      </w:pPr>
      <w:r w:rsidRPr="008327DA">
        <w:rPr>
          <w:rFonts w:eastAsia="SimSun"/>
          <w:b/>
          <w:bCs/>
          <w:sz w:val="28"/>
          <w:szCs w:val="28"/>
          <w:lang w:val="en-US"/>
        </w:rPr>
        <w:t xml:space="preserve">Evolution of membership in recent years: growth </w:t>
      </w:r>
    </w:p>
    <w:p w14:paraId="544A1EFB" w14:textId="77777777" w:rsidR="00DD6D1E" w:rsidRPr="008327DA" w:rsidRDefault="00DD6D1E" w:rsidP="008327DA">
      <w:pPr>
        <w:spacing w:after="120"/>
        <w:ind w:left="284"/>
        <w:jc w:val="both"/>
        <w:rPr>
          <w:rFonts w:eastAsia="SimSun"/>
          <w:szCs w:val="24"/>
          <w:lang w:val="en-US"/>
        </w:rPr>
      </w:pPr>
      <w:r w:rsidRPr="008327DA">
        <w:rPr>
          <w:rFonts w:eastAsia="SimSun"/>
          <w:szCs w:val="24"/>
          <w:lang w:val="en-US"/>
        </w:rPr>
        <w:t>In 2024,</w:t>
      </w:r>
      <w:r w:rsidRPr="008327DA">
        <w:rPr>
          <w:rFonts w:eastAsia="SimSun" w:cs="Arial"/>
          <w:szCs w:val="24"/>
          <w:lang w:val="en-US" w:eastAsia="zh-CN"/>
        </w:rPr>
        <w:t xml:space="preserve"> ITU-D attracted a total of 28 new</w:t>
      </w:r>
      <w:r w:rsidRPr="008327DA">
        <w:rPr>
          <w:rFonts w:eastAsia="SimSun"/>
          <w:szCs w:val="24"/>
        </w:rPr>
        <w:t xml:space="preserve"> Sector Members and Associates, </w:t>
      </w:r>
      <w:r w:rsidRPr="008327DA">
        <w:rPr>
          <w:rFonts w:eastAsia="SimSun" w:cs="Arial"/>
          <w:szCs w:val="24"/>
          <w:lang w:val="en-US" w:eastAsia="zh-CN"/>
        </w:rPr>
        <w:t>reaching the highest total number of Sector Members and Associates in the last 10 years and the highest net positive income change across the ITU in 2024 with CHF 111’300 in net income gains. Additionally, the total of denunciations and exclusions was reduced to 8 members compared to 14 in 2023. This growth has been continued and expected to follow this trend throughout 2025. ITU-D is expecting to have 20 new members by the end of June 2025. Academia has also been growing, with 15 new members in and a net positive income change of 3 975 CHF in 2024. Academia is a cross-sectoral membership, signifying they can participate in the work of all sectors including study groups of all sectors.</w:t>
      </w:r>
    </w:p>
    <w:p w14:paraId="3A936C62" w14:textId="77777777" w:rsidR="00DD6D1E" w:rsidRPr="008327DA" w:rsidRDefault="00DD6D1E" w:rsidP="008327DA">
      <w:pPr>
        <w:spacing w:after="120"/>
        <w:ind w:left="284"/>
        <w:jc w:val="both"/>
        <w:rPr>
          <w:rFonts w:eastAsia="SimSun" w:cs="Arial"/>
          <w:szCs w:val="24"/>
          <w:lang w:val="en-US" w:eastAsia="zh-CN"/>
        </w:rPr>
      </w:pPr>
      <w:r w:rsidRPr="008327DA">
        <w:rPr>
          <w:rFonts w:eastAsia="SimSun" w:cs="Arial"/>
          <w:szCs w:val="24"/>
          <w:lang w:val="en-US" w:eastAsia="zh-CN"/>
        </w:rPr>
        <w:t>This growth has stemmed from strengthening outreach effort through several streams of actions as per resolution 71. This has been achieved through activities such as:</w:t>
      </w:r>
    </w:p>
    <w:p w14:paraId="44B1C657" w14:textId="77777777" w:rsidR="00DD6D1E" w:rsidRPr="008327DA" w:rsidRDefault="00DD6D1E" w:rsidP="008327DA">
      <w:pPr>
        <w:pStyle w:val="ListParagraph"/>
        <w:numPr>
          <w:ilvl w:val="0"/>
          <w:numId w:val="4"/>
        </w:numPr>
        <w:spacing w:after="120"/>
        <w:ind w:left="284" w:firstLine="0"/>
        <w:jc w:val="both"/>
        <w:rPr>
          <w:rFonts w:eastAsia="SimSun"/>
          <w:szCs w:val="24"/>
          <w:lang w:val="en-US"/>
        </w:rPr>
      </w:pPr>
      <w:r w:rsidRPr="008327DA">
        <w:rPr>
          <w:rFonts w:eastAsia="SimSun" w:cs="Arial"/>
          <w:szCs w:val="24"/>
          <w:lang w:val="en-US" w:eastAsia="zh-CN"/>
        </w:rPr>
        <w:lastRenderedPageBreak/>
        <w:t>inviting guests/observers to experience ITU-D members-only events;</w:t>
      </w:r>
    </w:p>
    <w:p w14:paraId="7312D02B" w14:textId="77777777" w:rsidR="00DD6D1E" w:rsidRPr="008327DA" w:rsidRDefault="00DD6D1E" w:rsidP="008327DA">
      <w:pPr>
        <w:pStyle w:val="ListParagraph"/>
        <w:numPr>
          <w:ilvl w:val="0"/>
          <w:numId w:val="4"/>
        </w:numPr>
        <w:spacing w:after="120"/>
        <w:ind w:left="284" w:firstLine="0"/>
        <w:jc w:val="both"/>
        <w:rPr>
          <w:rFonts w:eastAsia="SimSun"/>
          <w:szCs w:val="24"/>
          <w:lang w:val="en-US"/>
        </w:rPr>
      </w:pPr>
      <w:r w:rsidRPr="008327DA">
        <w:rPr>
          <w:rFonts w:eastAsia="SimSun" w:cs="Arial"/>
          <w:szCs w:val="24"/>
          <w:lang w:val="en-US" w:eastAsia="zh-CN"/>
        </w:rPr>
        <w:t xml:space="preserve">internal capacity building efforts with BDT Staff on introducing the ITU-D membership benefits with external stakeholders; </w:t>
      </w:r>
    </w:p>
    <w:p w14:paraId="33C8F649" w14:textId="77777777" w:rsidR="00DD6D1E" w:rsidRPr="008327DA" w:rsidRDefault="00DD6D1E" w:rsidP="008327DA">
      <w:pPr>
        <w:pStyle w:val="ListParagraph"/>
        <w:numPr>
          <w:ilvl w:val="0"/>
          <w:numId w:val="4"/>
        </w:numPr>
        <w:spacing w:after="120"/>
        <w:ind w:left="284" w:firstLine="0"/>
        <w:jc w:val="both"/>
        <w:rPr>
          <w:rFonts w:eastAsia="SimSun"/>
          <w:szCs w:val="24"/>
          <w:lang w:val="en-US"/>
        </w:rPr>
      </w:pPr>
      <w:r w:rsidRPr="008327DA">
        <w:rPr>
          <w:rFonts w:eastAsia="SimSun" w:cs="Arial"/>
          <w:szCs w:val="24"/>
          <w:lang w:val="en-US" w:eastAsia="zh-CN"/>
        </w:rPr>
        <w:t>outreach missions to global external events; leveraging the partnership value proposition into a membership and partnership single benefit package</w:t>
      </w:r>
    </w:p>
    <w:p w14:paraId="3F9D2151" w14:textId="77777777" w:rsidR="00DD6D1E" w:rsidRPr="008327DA" w:rsidRDefault="00DD6D1E" w:rsidP="008327DA">
      <w:pPr>
        <w:pStyle w:val="ListParagraph"/>
        <w:numPr>
          <w:ilvl w:val="0"/>
          <w:numId w:val="4"/>
        </w:numPr>
        <w:spacing w:after="120"/>
        <w:ind w:left="284" w:firstLine="0"/>
        <w:jc w:val="both"/>
        <w:rPr>
          <w:rFonts w:eastAsia="SimSun"/>
          <w:szCs w:val="24"/>
          <w:lang w:val="en-US"/>
        </w:rPr>
      </w:pPr>
      <w:r w:rsidRPr="008327DA">
        <w:rPr>
          <w:rFonts w:eastAsia="SimSun" w:cs="Arial"/>
          <w:szCs w:val="24"/>
          <w:lang w:val="en-US" w:eastAsia="zh-CN"/>
        </w:rPr>
        <w:t>intensified use of data-driven tools and dashboards enabling targeted actions towards membership accounts at risk and facilitating their re-engagement resulting in increased retention of members and net membership growth.</w:t>
      </w:r>
    </w:p>
    <w:p w14:paraId="0A13EF41" w14:textId="77777777" w:rsidR="00DD6D1E" w:rsidRPr="008327DA" w:rsidRDefault="00DD6D1E" w:rsidP="008327DA">
      <w:pPr>
        <w:pStyle w:val="ListParagraph"/>
        <w:numPr>
          <w:ilvl w:val="0"/>
          <w:numId w:val="4"/>
        </w:numPr>
        <w:spacing w:after="120"/>
        <w:ind w:left="284" w:firstLine="0"/>
        <w:jc w:val="both"/>
        <w:rPr>
          <w:rFonts w:eastAsia="SimSun"/>
          <w:szCs w:val="24"/>
          <w:lang w:val="en-US"/>
        </w:rPr>
      </w:pPr>
      <w:r w:rsidRPr="008327DA">
        <w:rPr>
          <w:szCs w:val="24"/>
          <w:lang w:val="en-US"/>
        </w:rPr>
        <w:t>organize virtual briefings and ITU HQ visits with several ITU-D Sector Members, Associates, Academia, and prospects, to introduce the membership benefits and opportunities for engagement with ITU-D</w:t>
      </w:r>
    </w:p>
    <w:p w14:paraId="39CE4763" w14:textId="10BEE112" w:rsidR="00DD6D1E" w:rsidRDefault="00DD6D1E" w:rsidP="008327DA">
      <w:pPr>
        <w:spacing w:after="120"/>
        <w:ind w:left="284"/>
        <w:jc w:val="both"/>
        <w:rPr>
          <w:szCs w:val="24"/>
        </w:rPr>
      </w:pPr>
      <w:r w:rsidRPr="008327DA">
        <w:rPr>
          <w:rFonts w:eastAsia="SimSun" w:cs="Arial"/>
          <w:szCs w:val="24"/>
          <w:lang w:val="en-US" w:eastAsia="zh-CN"/>
        </w:rPr>
        <w:t xml:space="preserve">Specifically for academia, </w:t>
      </w:r>
      <w:r w:rsidRPr="008327DA">
        <w:rPr>
          <w:szCs w:val="24"/>
        </w:rPr>
        <w:t>s</w:t>
      </w:r>
      <w:r w:rsidRPr="008327DA">
        <w:rPr>
          <w:szCs w:val="24"/>
          <w:lang w:val="en-US"/>
        </w:rPr>
        <w:t>trong outreach efforts are continuously being made, including organizing visits and briefings with prospects and those ITU Members States interested in promoting and supporting academia membership.</w:t>
      </w:r>
      <w:r w:rsidRPr="008327DA">
        <w:rPr>
          <w:rFonts w:eastAsia="SimSun"/>
          <w:szCs w:val="24"/>
          <w:lang w:val="en-US"/>
        </w:rPr>
        <w:t xml:space="preserve"> </w:t>
      </w:r>
      <w:r w:rsidRPr="008327DA">
        <w:rPr>
          <w:szCs w:val="24"/>
          <w:lang w:val="en-US"/>
        </w:rPr>
        <w:t xml:space="preserve">More details on opportunities and current engagement for replication with ITU Academia members and non-Academia members can be found in </w:t>
      </w:r>
      <w:hyperlink r:id="rId11" w:history="1">
        <w:r w:rsidRPr="008327DA">
          <w:rPr>
            <w:rStyle w:val="Hyperlink"/>
            <w:szCs w:val="24"/>
            <w:lang w:val="en-US"/>
          </w:rPr>
          <w:t>TDAG-25/INF/2</w:t>
        </w:r>
      </w:hyperlink>
      <w:r w:rsidRPr="008327DA">
        <w:rPr>
          <w:szCs w:val="24"/>
        </w:rPr>
        <w:t xml:space="preserve">. </w:t>
      </w:r>
    </w:p>
    <w:p w14:paraId="59C71B57" w14:textId="77777777" w:rsidR="008327DA" w:rsidRPr="008327DA" w:rsidRDefault="008327DA" w:rsidP="008327DA">
      <w:pPr>
        <w:spacing w:after="120"/>
        <w:ind w:left="284"/>
        <w:jc w:val="both"/>
        <w:rPr>
          <w:szCs w:val="24"/>
        </w:rPr>
      </w:pPr>
    </w:p>
    <w:p w14:paraId="39957256" w14:textId="77777777" w:rsidR="00DD6D1E" w:rsidRPr="008327DA" w:rsidRDefault="00DD6D1E" w:rsidP="008327DA">
      <w:pPr>
        <w:spacing w:after="120"/>
        <w:ind w:left="284"/>
        <w:jc w:val="both"/>
        <w:rPr>
          <w:rFonts w:eastAsia="SimSun"/>
          <w:b/>
          <w:bCs/>
          <w:sz w:val="28"/>
          <w:szCs w:val="28"/>
          <w:lang w:val="en-US"/>
        </w:rPr>
      </w:pPr>
      <w:r w:rsidRPr="008327DA">
        <w:rPr>
          <w:b/>
          <w:bCs/>
          <w:sz w:val="28"/>
          <w:szCs w:val="28"/>
        </w:rPr>
        <w:t>Convening platforms</w:t>
      </w:r>
    </w:p>
    <w:p w14:paraId="3550311F" w14:textId="7BC8F2E7" w:rsidR="00DD6D1E" w:rsidRPr="008327DA" w:rsidRDefault="00DD6D1E" w:rsidP="008327DA">
      <w:pPr>
        <w:spacing w:after="120"/>
        <w:ind w:left="284"/>
        <w:jc w:val="both"/>
        <w:rPr>
          <w:rFonts w:eastAsia="SimSun"/>
          <w:szCs w:val="24"/>
          <w:lang w:val="en-US"/>
        </w:rPr>
      </w:pPr>
      <w:r w:rsidRPr="008327DA">
        <w:rPr>
          <w:rFonts w:eastAsia="SimSun"/>
          <w:szCs w:val="24"/>
          <w:lang w:val="en-US"/>
        </w:rPr>
        <w:t xml:space="preserve">As part of this increased effort in engagement more </w:t>
      </w:r>
      <w:r w:rsidRPr="008327DA">
        <w:rPr>
          <w:rFonts w:eastAsia="SimSun" w:cs="Calibri"/>
          <w:szCs w:val="24"/>
        </w:rPr>
        <w:t>briefing sessions were held between thematic experts and ITU-D Membership (physically and virtually) throughout 2024, bringing higher awareness on areas for engagement. As an example of this, the</w:t>
      </w:r>
      <w:r w:rsidR="00183949">
        <w:rPr>
          <w:rFonts w:eastAsia="SimSun" w:cs="Calibri"/>
          <w:szCs w:val="24"/>
        </w:rPr>
        <w:t xml:space="preserve"> </w:t>
      </w:r>
      <w:r w:rsidR="00183949" w:rsidRPr="00183949">
        <w:rPr>
          <w:rFonts w:eastAsia="SimSun" w:cs="Calibri"/>
          <w:szCs w:val="24"/>
        </w:rPr>
        <w:t xml:space="preserve">Industry Advisory Group on Development Issues and the Private Sector Chief Regulatory Officers </w:t>
      </w:r>
      <w:r w:rsidRPr="008327DA">
        <w:rPr>
          <w:rFonts w:eastAsia="SimSun" w:cs="Calibri"/>
          <w:szCs w:val="24"/>
        </w:rPr>
        <w:t xml:space="preserve"> </w:t>
      </w:r>
      <w:r w:rsidR="00183949">
        <w:rPr>
          <w:rFonts w:eastAsia="SimSun" w:cs="Calibri"/>
          <w:szCs w:val="24"/>
        </w:rPr>
        <w:t>(</w:t>
      </w:r>
      <w:r w:rsidRPr="008327DA">
        <w:rPr>
          <w:rFonts w:eastAsia="SimSun" w:cs="Calibri"/>
          <w:szCs w:val="24"/>
        </w:rPr>
        <w:t>IAGDI CRO</w:t>
      </w:r>
      <w:r w:rsidR="00183949">
        <w:rPr>
          <w:rFonts w:eastAsia="SimSun" w:cs="Calibri"/>
          <w:szCs w:val="24"/>
        </w:rPr>
        <w:t>)</w:t>
      </w:r>
      <w:r w:rsidRPr="008327DA">
        <w:rPr>
          <w:rFonts w:eastAsia="SimSun" w:cs="Calibri"/>
          <w:szCs w:val="24"/>
        </w:rPr>
        <w:t xml:space="preserve"> organized 2 important meetings in 2024, a virtual spring consultation which encouraged a higher number of contributions from ITU-D Sector Members to the Global Symposium for Regulators (GSR-24) Best Practices Guidelines consultation process, and the</w:t>
      </w:r>
      <w:r w:rsidRPr="008327DA">
        <w:rPr>
          <w:rFonts w:eastAsia="SimSun"/>
          <w:szCs w:val="24"/>
          <w:lang w:val="en-US"/>
        </w:rPr>
        <w:t xml:space="preserve"> </w:t>
      </w:r>
      <w:r w:rsidRPr="008327DA">
        <w:rPr>
          <w:rFonts w:eastAsia="SimSun" w:cs="Calibri"/>
          <w:szCs w:val="24"/>
        </w:rPr>
        <w:t xml:space="preserve">IAGDI-CRO physical meeting during the GSR-24 in Kampala, Uganda. The interest and commitment of ITU-D Sector Members was shown by their contributions and a record number of participants. </w:t>
      </w:r>
      <w:r w:rsidRPr="008327DA">
        <w:rPr>
          <w:rFonts w:cs="Calibri"/>
          <w:szCs w:val="24"/>
        </w:rPr>
        <w:t>The meeting’s</w:t>
      </w:r>
      <w:r w:rsidRPr="008327DA">
        <w:rPr>
          <w:rFonts w:eastAsia="SimSun" w:cs="Calibri"/>
          <w:szCs w:val="24"/>
        </w:rPr>
        <w:t xml:space="preserve"> </w:t>
      </w:r>
      <w:hyperlink r:id="rId12" w:history="1">
        <w:r w:rsidRPr="008327DA">
          <w:rPr>
            <w:rStyle w:val="Hyperlink"/>
            <w:rFonts w:eastAsia="SimSun" w:cs="Calibri"/>
            <w:szCs w:val="24"/>
          </w:rPr>
          <w:t>Outcome Statement</w:t>
        </w:r>
      </w:hyperlink>
      <w:r w:rsidRPr="008327DA">
        <w:rPr>
          <w:rFonts w:eastAsia="SimSun" w:cs="Calibri"/>
          <w:szCs w:val="24"/>
        </w:rPr>
        <w:t xml:space="preserve"> and the Chair’s Report can be found </w:t>
      </w:r>
      <w:hyperlink r:id="rId13" w:history="1">
        <w:r w:rsidRPr="008327DA">
          <w:rPr>
            <w:rStyle w:val="Hyperlink"/>
            <w:rFonts w:eastAsia="SimSun" w:cs="Calibri"/>
            <w:szCs w:val="24"/>
          </w:rPr>
          <w:t>here</w:t>
        </w:r>
      </w:hyperlink>
      <w:r w:rsidRPr="008327DA">
        <w:rPr>
          <w:rFonts w:eastAsia="SimSun" w:cs="Calibri"/>
          <w:szCs w:val="24"/>
        </w:rPr>
        <w:t xml:space="preserve">. </w:t>
      </w:r>
    </w:p>
    <w:p w14:paraId="607950F8" w14:textId="77777777" w:rsidR="00DD6D1E" w:rsidRPr="008327DA" w:rsidRDefault="00DD6D1E" w:rsidP="008327DA">
      <w:pPr>
        <w:spacing w:after="120"/>
        <w:ind w:left="284"/>
        <w:jc w:val="both"/>
        <w:rPr>
          <w:rFonts w:eastAsia="SimSun" w:cs="Calibri"/>
          <w:szCs w:val="24"/>
        </w:rPr>
      </w:pPr>
      <w:r w:rsidRPr="008327DA">
        <w:rPr>
          <w:rFonts w:eastAsia="SimSun"/>
          <w:szCs w:val="24"/>
          <w:lang w:val="en-US"/>
        </w:rPr>
        <w:t>Moreover, f</w:t>
      </w:r>
      <w:r w:rsidRPr="008327DA">
        <w:rPr>
          <w:rFonts w:eastAsia="SimSun" w:cs="Calibri"/>
          <w:szCs w:val="24"/>
        </w:rPr>
        <w:t>or the first time, the IAGDI-CRO organised two TECH TALKS in February 2025, each aligned with the themes of ITU-D Study Groups 1 and 2 respectively. It fostered stronger collaboration between ITU-D Sector Members and ITU-D Study Group management and ITU-D membership and inspired forward-thinking discussions on cutting-edge digital trends and technologies that could shape future ITU-D work, including the development of new Study Group Questions to be adopted at WTDC-25.</w:t>
      </w:r>
      <w:r w:rsidRPr="008327DA">
        <w:rPr>
          <w:rFonts w:eastAsia="SimSun"/>
          <w:szCs w:val="24"/>
          <w:lang w:val="en-US"/>
        </w:rPr>
        <w:t xml:space="preserve"> </w:t>
      </w:r>
      <w:r w:rsidRPr="008327DA">
        <w:rPr>
          <w:rFonts w:eastAsia="SimSun" w:cs="Calibri"/>
          <w:szCs w:val="24"/>
        </w:rPr>
        <w:t xml:space="preserve">The reports of the TECH TALK on Enabling Environment for Meaningful Connectivity and the TECH TALK on Digital Transformation were presented to the TDAG-WG-future SG Questions and noted with appreciation. The reports of each TECH TALKS can be found </w:t>
      </w:r>
      <w:hyperlink r:id="rId14" w:history="1">
        <w:r w:rsidRPr="008327DA">
          <w:rPr>
            <w:rStyle w:val="Hyperlink"/>
            <w:rFonts w:eastAsia="SimSun" w:cs="Calibri"/>
            <w:szCs w:val="24"/>
          </w:rPr>
          <w:t>here</w:t>
        </w:r>
      </w:hyperlink>
      <w:r w:rsidRPr="008327DA">
        <w:rPr>
          <w:rFonts w:eastAsia="SimSun" w:cs="Calibri"/>
          <w:szCs w:val="24"/>
        </w:rPr>
        <w:t>.</w:t>
      </w:r>
    </w:p>
    <w:p w14:paraId="29242AB6" w14:textId="77777777" w:rsidR="00DD6D1E" w:rsidRDefault="00DD6D1E" w:rsidP="008327DA">
      <w:pPr>
        <w:spacing w:after="120"/>
        <w:ind w:left="284"/>
        <w:jc w:val="both"/>
        <w:rPr>
          <w:rFonts w:cs="Calibri"/>
          <w:szCs w:val="24"/>
        </w:rPr>
      </w:pPr>
      <w:r w:rsidRPr="008327DA">
        <w:rPr>
          <w:rFonts w:eastAsia="SimSun" w:cs="Calibri"/>
          <w:szCs w:val="24"/>
        </w:rPr>
        <w:t xml:space="preserve">In 2024, BDT recognized ITU-D membership through a special session during TDAG-24 meeting which acknowledged and celebrated the significant contributions of ITU-D members and partners in the work of the ITU-D. Additionally, BDT continues to promote new members on social media, including video testimonials </w:t>
      </w:r>
      <w:r w:rsidRPr="008327DA">
        <w:rPr>
          <w:rFonts w:cs="Calibri"/>
          <w:szCs w:val="24"/>
        </w:rPr>
        <w:t xml:space="preserve">serving both as recognition to our members and attracting new prospects. </w:t>
      </w:r>
    </w:p>
    <w:p w14:paraId="6D85E50E" w14:textId="77777777" w:rsidR="008327DA" w:rsidRDefault="008327DA" w:rsidP="008327DA">
      <w:pPr>
        <w:spacing w:after="120"/>
        <w:ind w:left="284"/>
        <w:jc w:val="both"/>
        <w:rPr>
          <w:rFonts w:cs="Calibri"/>
          <w:szCs w:val="24"/>
        </w:rPr>
      </w:pPr>
    </w:p>
    <w:p w14:paraId="6B87622E" w14:textId="77777777" w:rsidR="00DD6D1E" w:rsidRPr="008327DA" w:rsidRDefault="00DD6D1E" w:rsidP="008327DA">
      <w:pPr>
        <w:spacing w:after="120"/>
        <w:ind w:left="284"/>
        <w:jc w:val="both"/>
        <w:rPr>
          <w:rFonts w:eastAsia="SimSun"/>
          <w:b/>
          <w:bCs/>
          <w:sz w:val="28"/>
          <w:szCs w:val="28"/>
          <w:lang w:val="en-US"/>
        </w:rPr>
      </w:pPr>
      <w:r w:rsidRPr="008327DA">
        <w:rPr>
          <w:rFonts w:cs="Calibri"/>
          <w:b/>
          <w:bCs/>
          <w:sz w:val="28"/>
          <w:szCs w:val="28"/>
        </w:rPr>
        <w:lastRenderedPageBreak/>
        <w:t>The way forward</w:t>
      </w:r>
    </w:p>
    <w:p w14:paraId="43CE654A" w14:textId="77777777" w:rsidR="00DD6D1E" w:rsidRPr="008327DA" w:rsidRDefault="00DD6D1E" w:rsidP="008327DA">
      <w:pPr>
        <w:spacing w:after="120"/>
        <w:ind w:left="284"/>
        <w:jc w:val="both"/>
        <w:rPr>
          <w:rFonts w:eastAsia="SimSun" w:cs="Arial"/>
          <w:szCs w:val="24"/>
          <w:lang w:val="en-US" w:eastAsia="zh-CN"/>
        </w:rPr>
      </w:pPr>
      <w:r w:rsidRPr="008327DA">
        <w:rPr>
          <w:rFonts w:eastAsia="SimSun" w:cs="Arial"/>
          <w:szCs w:val="24"/>
          <w:lang w:val="en-US" w:eastAsia="zh-CN"/>
        </w:rPr>
        <w:t>In order to ensure continuous success and improvement, the BDT is coordinating internally with the other Sectors and the General Secretariat (SPM) for enhancements to improve the membership outreach and retention through:</w:t>
      </w:r>
    </w:p>
    <w:p w14:paraId="601094FB" w14:textId="05E4447A" w:rsidR="00DD6D1E" w:rsidRPr="008327DA" w:rsidRDefault="00DD6D1E" w:rsidP="007C373A">
      <w:pPr>
        <w:pStyle w:val="ListParagraph"/>
        <w:numPr>
          <w:ilvl w:val="0"/>
          <w:numId w:val="2"/>
        </w:numPr>
        <w:spacing w:after="120"/>
        <w:ind w:left="284" w:firstLine="0"/>
        <w:jc w:val="both"/>
        <w:rPr>
          <w:rFonts w:eastAsia="SimSun"/>
          <w:szCs w:val="24"/>
          <w:lang w:val="en-US"/>
        </w:rPr>
      </w:pPr>
      <w:r w:rsidRPr="008327DA">
        <w:rPr>
          <w:rFonts w:eastAsia="SimSun"/>
          <w:szCs w:val="24"/>
          <w:lang w:val="en-US"/>
        </w:rPr>
        <w:t xml:space="preserve">Stronger cross-sectoral pitch to new and current members. Some entities join one or two </w:t>
      </w:r>
      <w:r w:rsidR="007C373A">
        <w:rPr>
          <w:rFonts w:eastAsia="SimSun"/>
          <w:szCs w:val="24"/>
          <w:lang w:val="en-US"/>
        </w:rPr>
        <w:t>S</w:t>
      </w:r>
      <w:r w:rsidRPr="008327DA">
        <w:rPr>
          <w:rFonts w:eastAsia="SimSun"/>
          <w:szCs w:val="24"/>
          <w:lang w:val="en-US"/>
        </w:rPr>
        <w:t>ectors and SPM (General Secretariat) in coordination with the sectoral membership teams to propose to ‘get to know the other sector(s)’.</w:t>
      </w:r>
    </w:p>
    <w:p w14:paraId="77305DDC" w14:textId="77777777" w:rsidR="00DD6D1E" w:rsidRPr="008327DA" w:rsidRDefault="00DD6D1E" w:rsidP="007C373A">
      <w:pPr>
        <w:pStyle w:val="ListParagraph"/>
        <w:numPr>
          <w:ilvl w:val="0"/>
          <w:numId w:val="2"/>
        </w:numPr>
        <w:ind w:left="284" w:firstLine="0"/>
        <w:jc w:val="both"/>
        <w:rPr>
          <w:rFonts w:eastAsia="SimSun"/>
          <w:szCs w:val="24"/>
          <w:lang w:val="en-US"/>
        </w:rPr>
      </w:pPr>
      <w:r w:rsidRPr="008327DA">
        <w:rPr>
          <w:rFonts w:eastAsia="SimSun"/>
          <w:szCs w:val="24"/>
          <w:lang w:val="en-US"/>
        </w:rPr>
        <w:t>Coordinating with other Sectors and General Secretariat on ways to strengthen Sector Memberships’ engagement and revenues, in line with the resource mobilization strategy endorsed by Council 2024.</w:t>
      </w:r>
    </w:p>
    <w:p w14:paraId="158DCAB8" w14:textId="77777777" w:rsidR="00DD6D1E" w:rsidRPr="008327DA" w:rsidRDefault="00DD6D1E" w:rsidP="007C373A">
      <w:pPr>
        <w:pStyle w:val="ListParagraph"/>
        <w:numPr>
          <w:ilvl w:val="0"/>
          <w:numId w:val="2"/>
        </w:numPr>
        <w:spacing w:after="120"/>
        <w:ind w:left="284" w:firstLine="0"/>
        <w:jc w:val="both"/>
        <w:rPr>
          <w:rFonts w:eastAsia="SimSun"/>
          <w:szCs w:val="24"/>
          <w:lang w:val="en-US"/>
        </w:rPr>
      </w:pPr>
      <w:r w:rsidRPr="008327DA">
        <w:rPr>
          <w:rFonts w:eastAsia="SimSun" w:cs="Arial"/>
          <w:szCs w:val="24"/>
          <w:lang w:val="en-US" w:eastAsia="zh-CN"/>
        </w:rPr>
        <w:t>Increasing efforts on a more effective onboarding experience for new members and engaging the expert teams in securing engagement with the ITU-D’s products and services.</w:t>
      </w:r>
    </w:p>
    <w:p w14:paraId="47956DC4" w14:textId="6C65A267" w:rsidR="00DD6D1E" w:rsidRPr="008327DA" w:rsidRDefault="00DD6D1E" w:rsidP="007C373A">
      <w:pPr>
        <w:pStyle w:val="ListParagraph"/>
        <w:numPr>
          <w:ilvl w:val="0"/>
          <w:numId w:val="2"/>
        </w:numPr>
        <w:spacing w:after="120"/>
        <w:ind w:left="284" w:firstLine="0"/>
        <w:jc w:val="both"/>
        <w:rPr>
          <w:rFonts w:eastAsia="SimSun"/>
          <w:szCs w:val="24"/>
          <w:lang w:val="en-US"/>
        </w:rPr>
      </w:pPr>
      <w:r w:rsidRPr="008327DA">
        <w:rPr>
          <w:rFonts w:eastAsia="SimSun"/>
          <w:szCs w:val="24"/>
          <w:lang w:val="en-US"/>
        </w:rPr>
        <w:t xml:space="preserve">Increasing ITU Academia’s engagement across ITU,  </w:t>
      </w:r>
      <w:r w:rsidRPr="007C373A">
        <w:rPr>
          <w:rFonts w:eastAsia="SimSun"/>
          <w:i/>
          <w:iCs/>
          <w:szCs w:val="24"/>
          <w:lang w:val="en-US"/>
        </w:rPr>
        <w:t>e.g.</w:t>
      </w:r>
      <w:r w:rsidRPr="008327DA">
        <w:rPr>
          <w:rFonts w:eastAsia="SimSun"/>
          <w:szCs w:val="24"/>
          <w:lang w:val="en-US"/>
        </w:rPr>
        <w:t xml:space="preserve"> some members are not aware of the ITU Journal</w:t>
      </w:r>
      <w:r w:rsidR="00EC258E" w:rsidRPr="008327DA">
        <w:rPr>
          <w:rFonts w:eastAsia="SimSun"/>
          <w:szCs w:val="24"/>
          <w:lang w:val="en-US"/>
        </w:rPr>
        <w:t xml:space="preserve">. </w:t>
      </w:r>
    </w:p>
    <w:p w14:paraId="13DB7178" w14:textId="77777777" w:rsidR="00DD6D1E" w:rsidRPr="008327DA" w:rsidRDefault="00DD6D1E" w:rsidP="007C373A">
      <w:pPr>
        <w:pStyle w:val="ListParagraph"/>
        <w:numPr>
          <w:ilvl w:val="0"/>
          <w:numId w:val="2"/>
        </w:numPr>
        <w:spacing w:after="120"/>
        <w:ind w:left="284" w:firstLine="0"/>
        <w:jc w:val="both"/>
        <w:rPr>
          <w:rFonts w:eastAsia="SimSun"/>
          <w:szCs w:val="24"/>
          <w:lang w:val="en-US"/>
        </w:rPr>
      </w:pPr>
      <w:r w:rsidRPr="008327DA">
        <w:rPr>
          <w:rFonts w:eastAsia="SimSun"/>
          <w:szCs w:val="24"/>
        </w:rPr>
        <w:t>Promote greater involvement and engagement from non-active members in ITU-D’s products and services, including events and platforms such as ITU-D Study Groups, the Global Symposium for Regulators (GSR), Regional Development Forums (RDFs), Regional Preparatory Meeting (RPMs), and the World Telecommunication Development Conference 2025 (WTDC-25).</w:t>
      </w:r>
      <w:r w:rsidRPr="008327DA">
        <w:rPr>
          <w:rFonts w:eastAsia="SimSun"/>
          <w:szCs w:val="24"/>
          <w:lang w:val="en-US"/>
        </w:rPr>
        <w:t xml:space="preserve"> </w:t>
      </w:r>
    </w:p>
    <w:p w14:paraId="5245BAF0" w14:textId="3AEB0829" w:rsidR="00A514A4" w:rsidRPr="008327DA" w:rsidRDefault="00DD6D1E" w:rsidP="007C373A">
      <w:pPr>
        <w:pStyle w:val="ListParagraph"/>
        <w:numPr>
          <w:ilvl w:val="0"/>
          <w:numId w:val="2"/>
        </w:numPr>
        <w:overflowPunct/>
        <w:autoSpaceDE/>
        <w:autoSpaceDN/>
        <w:adjustRightInd/>
        <w:spacing w:before="0" w:after="120"/>
        <w:ind w:left="284" w:firstLine="0"/>
        <w:jc w:val="both"/>
        <w:textAlignment w:val="auto"/>
        <w:rPr>
          <w:b/>
          <w:szCs w:val="24"/>
          <w:lang w:val="en-US"/>
        </w:rPr>
      </w:pPr>
      <w:r w:rsidRPr="008327DA">
        <w:rPr>
          <w:rFonts w:eastAsia="SimSun"/>
          <w:szCs w:val="24"/>
        </w:rPr>
        <w:t>Gather insights and</w:t>
      </w:r>
      <w:r w:rsidRPr="008327DA">
        <w:rPr>
          <w:rFonts w:eastAsia="SimSun"/>
          <w:b/>
          <w:bCs/>
          <w:szCs w:val="24"/>
        </w:rPr>
        <w:t xml:space="preserve"> </w:t>
      </w:r>
      <w:r w:rsidRPr="008327DA">
        <w:rPr>
          <w:rFonts w:eastAsia="SimSun"/>
          <w:szCs w:val="24"/>
        </w:rPr>
        <w:t>feedback from ITU-D members on refining tools, processes, and other services</w:t>
      </w:r>
      <w:r w:rsidRPr="008327DA">
        <w:rPr>
          <w:rFonts w:eastAsia="SimSun"/>
          <w:szCs w:val="24"/>
          <w:lang w:val="en-US"/>
        </w:rPr>
        <w:t xml:space="preserve">. There is a continued </w:t>
      </w:r>
      <w:r w:rsidRPr="008327DA">
        <w:rPr>
          <w:rFonts w:eastAsia="SimSun" w:cs="Arial"/>
          <w:szCs w:val="24"/>
          <w:lang w:val="en-US" w:eastAsia="zh-CN"/>
        </w:rPr>
        <w:t xml:space="preserve">call for support </w:t>
      </w:r>
      <w:r w:rsidRPr="008327DA">
        <w:rPr>
          <w:rFonts w:eastAsia="SimSun"/>
          <w:szCs w:val="24"/>
        </w:rPr>
        <w:t xml:space="preserve">ITU-D memberships are invited to engage and promote the benefits of joining the work of ITU-D, and advocate participation and engagement of public and private sectors, industry, and universities in the WTDC-25. </w:t>
      </w:r>
    </w:p>
    <w:p w14:paraId="582160DA" w14:textId="77777777" w:rsidR="005241E0" w:rsidRPr="008327DA" w:rsidRDefault="005241E0" w:rsidP="008327DA">
      <w:pPr>
        <w:ind w:left="284"/>
        <w:rPr>
          <w:szCs w:val="24"/>
        </w:rPr>
      </w:pPr>
    </w:p>
    <w:p w14:paraId="138D78F8" w14:textId="77777777" w:rsidR="005241E0" w:rsidRPr="008327DA" w:rsidRDefault="005241E0" w:rsidP="005241E0">
      <w:pPr>
        <w:rPr>
          <w:szCs w:val="24"/>
        </w:rPr>
      </w:pPr>
    </w:p>
    <w:p w14:paraId="3566798B" w14:textId="77777777" w:rsidR="005241E0" w:rsidRPr="008327DA" w:rsidRDefault="005241E0" w:rsidP="005241E0">
      <w:pPr>
        <w:rPr>
          <w:szCs w:val="24"/>
        </w:rPr>
      </w:pPr>
    </w:p>
    <w:p w14:paraId="37518CDC" w14:textId="77777777" w:rsidR="005241E0" w:rsidRPr="005241E0" w:rsidRDefault="005241E0" w:rsidP="005241E0"/>
    <w:p w14:paraId="4E9592B6" w14:textId="77777777" w:rsidR="005241E0" w:rsidRPr="005241E0" w:rsidRDefault="005241E0" w:rsidP="005241E0"/>
    <w:p w14:paraId="5B2A3232" w14:textId="77777777" w:rsidR="005241E0" w:rsidRPr="005241E0" w:rsidRDefault="005241E0" w:rsidP="005241E0"/>
    <w:p w14:paraId="7CD49F72" w14:textId="77777777" w:rsidR="005241E0" w:rsidRPr="005241E0" w:rsidRDefault="005241E0" w:rsidP="005241E0"/>
    <w:p w14:paraId="03F5DF37" w14:textId="77777777" w:rsidR="005241E0" w:rsidRPr="005241E0" w:rsidRDefault="005241E0" w:rsidP="005241E0"/>
    <w:p w14:paraId="0A80EBC5" w14:textId="77777777" w:rsidR="005241E0" w:rsidRPr="005241E0" w:rsidRDefault="005241E0" w:rsidP="005241E0"/>
    <w:p w14:paraId="0EE18D2E" w14:textId="77777777" w:rsidR="005241E0" w:rsidRPr="005241E0" w:rsidRDefault="005241E0" w:rsidP="005241E0"/>
    <w:p w14:paraId="7DF1E26B" w14:textId="77777777" w:rsidR="005241E0" w:rsidRPr="005241E0" w:rsidRDefault="005241E0" w:rsidP="005241E0"/>
    <w:p w14:paraId="4388125D" w14:textId="77777777" w:rsidR="005241E0" w:rsidRPr="005241E0" w:rsidRDefault="005241E0" w:rsidP="005241E0"/>
    <w:p w14:paraId="56355E6A" w14:textId="77777777" w:rsidR="005241E0" w:rsidRPr="005241E0" w:rsidRDefault="005241E0" w:rsidP="005241E0"/>
    <w:p w14:paraId="5873E02C" w14:textId="77777777" w:rsidR="005241E0" w:rsidRPr="005241E0" w:rsidRDefault="005241E0" w:rsidP="005241E0"/>
    <w:p w14:paraId="706BE5C0" w14:textId="77777777" w:rsidR="005241E0" w:rsidRPr="005241E0" w:rsidRDefault="005241E0" w:rsidP="005241E0"/>
    <w:sectPr w:rsidR="005241E0" w:rsidRPr="005241E0"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E12A" w14:textId="77777777" w:rsidR="004F1C9E" w:rsidRDefault="004F1C9E">
      <w:r>
        <w:separator/>
      </w:r>
    </w:p>
  </w:endnote>
  <w:endnote w:type="continuationSeparator" w:id="0">
    <w:p w14:paraId="37FA8371" w14:textId="77777777" w:rsidR="004F1C9E" w:rsidRDefault="004F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7CF0CD05"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158E" w14:textId="77777777" w:rsidR="004F1C9E" w:rsidRDefault="004F1C9E">
      <w:r>
        <w:t>____________________</w:t>
      </w:r>
    </w:p>
  </w:footnote>
  <w:footnote w:type="continuationSeparator" w:id="0">
    <w:p w14:paraId="4FB88F83" w14:textId="77777777" w:rsidR="004F1C9E" w:rsidRDefault="004F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B3043BD" w14:textId="77777777" w:rsidTr="00F74694">
      <w:trPr>
        <w:trHeight w:val="1304"/>
        <w:jc w:val="center"/>
      </w:trPr>
      <w:tc>
        <w:tcPr>
          <w:tcW w:w="6546" w:type="dxa"/>
        </w:tcPr>
        <w:bookmarkStart w:id="10" w:name="_Hlk133422111"/>
        <w:p w14:paraId="0FD780D5" w14:textId="77777777" w:rsidR="00AD3606" w:rsidRPr="009621F8" w:rsidRDefault="00533E0D"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CC279CC" wp14:editId="4BC77E2C">
                    <wp:simplePos x="0" y="0"/>
                    <wp:positionH relativeFrom="column">
                      <wp:posOffset>1438380</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AB7EED9" w14:textId="2A6D99FD"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F70249">
                                  <w:rPr>
                                    <w:sz w:val="20"/>
                                  </w:rPr>
                                  <w:t>28 May</w:t>
                                </w:r>
                                <w:r w:rsidR="00727C44">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C279CC" id="_x0000_t202" coordsize="21600,21600" o:spt="202" path="m,l,21600r21600,l21600,xe">
                    <v:stroke joinstyle="miter"/>
                    <v:path gradientshapeok="t" o:connecttype="rect"/>
                  </v:shapetype>
                  <v:shape id="Text Box 2" o:spid="_x0000_s1026" type="#_x0000_t202" style="position:absolute;margin-left:113.25pt;margin-top:.6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" fillcolor="white [3212]" stroked="f">
                    <v:textbox style="mso-fit-shape-to-text:t" inset="1mm">
                      <w:txbxContent>
                        <w:p w14:paraId="5AB7EED9" w14:textId="2A6D99FD"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F70249">
                            <w:rPr>
                              <w:sz w:val="20"/>
                            </w:rPr>
                            <w:t>28 May</w:t>
                          </w:r>
                          <w:r w:rsidR="00727C44">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3F402996" wp14:editId="1B8843E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9761B1B" w14:textId="77777777" w:rsidR="00AD3606" w:rsidRDefault="00AD3606" w:rsidP="00AD3606">
          <w:pPr>
            <w:pStyle w:val="Header"/>
            <w:jc w:val="right"/>
            <w:rPr>
              <w:rFonts w:ascii="Arial" w:hAnsi="Arial" w:cs="Arial"/>
              <w:b/>
              <w:bCs/>
              <w:color w:val="009CD6"/>
              <w:szCs w:val="18"/>
            </w:rPr>
          </w:pPr>
        </w:p>
        <w:p w14:paraId="22FACFB3" w14:textId="77777777" w:rsidR="00AD3606" w:rsidRDefault="00AD3606" w:rsidP="00AD3606">
          <w:pPr>
            <w:pStyle w:val="Header"/>
            <w:jc w:val="right"/>
            <w:rPr>
              <w:rFonts w:ascii="Arial" w:hAnsi="Arial" w:cs="Arial"/>
              <w:b/>
              <w:bCs/>
              <w:color w:val="009CD6"/>
              <w:szCs w:val="18"/>
            </w:rPr>
          </w:pPr>
        </w:p>
        <w:p w14:paraId="0AFEC74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35A38C0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2B0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7D4056"/>
    <w:multiLevelType w:val="hybridMultilevel"/>
    <w:tmpl w:val="C6BE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C6EDC"/>
    <w:multiLevelType w:val="hybridMultilevel"/>
    <w:tmpl w:val="71CA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25C29"/>
    <w:multiLevelType w:val="hybridMultilevel"/>
    <w:tmpl w:val="B2EA59C0"/>
    <w:lvl w:ilvl="0" w:tplc="ABF2CF46">
      <w:start w:val="1"/>
      <w:numFmt w:val="bullet"/>
      <w:lvlText w:val=""/>
      <w:lvlJc w:val="left"/>
      <w:pPr>
        <w:ind w:left="1440" w:hanging="360"/>
      </w:pPr>
      <w:rPr>
        <w:rFonts w:ascii="Symbol" w:hAnsi="Symbol"/>
      </w:rPr>
    </w:lvl>
    <w:lvl w:ilvl="1" w:tplc="5C6E5B4A">
      <w:start w:val="1"/>
      <w:numFmt w:val="bullet"/>
      <w:lvlText w:val=""/>
      <w:lvlJc w:val="left"/>
      <w:pPr>
        <w:ind w:left="1440" w:hanging="360"/>
      </w:pPr>
      <w:rPr>
        <w:rFonts w:ascii="Symbol" w:hAnsi="Symbol"/>
      </w:rPr>
    </w:lvl>
    <w:lvl w:ilvl="2" w:tplc="BB1E14F6">
      <w:start w:val="1"/>
      <w:numFmt w:val="bullet"/>
      <w:lvlText w:val=""/>
      <w:lvlJc w:val="left"/>
      <w:pPr>
        <w:ind w:left="1440" w:hanging="360"/>
      </w:pPr>
      <w:rPr>
        <w:rFonts w:ascii="Symbol" w:hAnsi="Symbol"/>
      </w:rPr>
    </w:lvl>
    <w:lvl w:ilvl="3" w:tplc="745ECA1C">
      <w:start w:val="1"/>
      <w:numFmt w:val="bullet"/>
      <w:lvlText w:val=""/>
      <w:lvlJc w:val="left"/>
      <w:pPr>
        <w:ind w:left="1440" w:hanging="360"/>
      </w:pPr>
      <w:rPr>
        <w:rFonts w:ascii="Symbol" w:hAnsi="Symbol"/>
      </w:rPr>
    </w:lvl>
    <w:lvl w:ilvl="4" w:tplc="47AE3C1A">
      <w:start w:val="1"/>
      <w:numFmt w:val="bullet"/>
      <w:lvlText w:val=""/>
      <w:lvlJc w:val="left"/>
      <w:pPr>
        <w:ind w:left="1440" w:hanging="360"/>
      </w:pPr>
      <w:rPr>
        <w:rFonts w:ascii="Symbol" w:hAnsi="Symbol"/>
      </w:rPr>
    </w:lvl>
    <w:lvl w:ilvl="5" w:tplc="FDDC8976">
      <w:start w:val="1"/>
      <w:numFmt w:val="bullet"/>
      <w:lvlText w:val=""/>
      <w:lvlJc w:val="left"/>
      <w:pPr>
        <w:ind w:left="1440" w:hanging="360"/>
      </w:pPr>
      <w:rPr>
        <w:rFonts w:ascii="Symbol" w:hAnsi="Symbol"/>
      </w:rPr>
    </w:lvl>
    <w:lvl w:ilvl="6" w:tplc="D7ACA40A">
      <w:start w:val="1"/>
      <w:numFmt w:val="bullet"/>
      <w:lvlText w:val=""/>
      <w:lvlJc w:val="left"/>
      <w:pPr>
        <w:ind w:left="1440" w:hanging="360"/>
      </w:pPr>
      <w:rPr>
        <w:rFonts w:ascii="Symbol" w:hAnsi="Symbol"/>
      </w:rPr>
    </w:lvl>
    <w:lvl w:ilvl="7" w:tplc="8D4AE7C8">
      <w:start w:val="1"/>
      <w:numFmt w:val="bullet"/>
      <w:lvlText w:val=""/>
      <w:lvlJc w:val="left"/>
      <w:pPr>
        <w:ind w:left="1440" w:hanging="360"/>
      </w:pPr>
      <w:rPr>
        <w:rFonts w:ascii="Symbol" w:hAnsi="Symbol"/>
      </w:rPr>
    </w:lvl>
    <w:lvl w:ilvl="8" w:tplc="9E92DC52">
      <w:start w:val="1"/>
      <w:numFmt w:val="bullet"/>
      <w:lvlText w:val=""/>
      <w:lvlJc w:val="left"/>
      <w:pPr>
        <w:ind w:left="1440" w:hanging="360"/>
      </w:pPr>
      <w:rPr>
        <w:rFonts w:ascii="Symbol" w:hAnsi="Symbol"/>
      </w:rPr>
    </w:lvl>
  </w:abstractNum>
  <w:num w:numId="1" w16cid:durableId="1374816267">
    <w:abstractNumId w:val="0"/>
  </w:num>
  <w:num w:numId="2" w16cid:durableId="1364861444">
    <w:abstractNumId w:val="1"/>
  </w:num>
  <w:num w:numId="3" w16cid:durableId="1742671962">
    <w:abstractNumId w:val="3"/>
  </w:num>
  <w:num w:numId="4" w16cid:durableId="234903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525A1"/>
    <w:rsid w:val="00063016"/>
    <w:rsid w:val="00066795"/>
    <w:rsid w:val="00076AF6"/>
    <w:rsid w:val="00085CF2"/>
    <w:rsid w:val="000A1525"/>
    <w:rsid w:val="000B1705"/>
    <w:rsid w:val="000D75B2"/>
    <w:rsid w:val="000F6AB8"/>
    <w:rsid w:val="001121F5"/>
    <w:rsid w:val="00126124"/>
    <w:rsid w:val="00130599"/>
    <w:rsid w:val="00131E18"/>
    <w:rsid w:val="001400DC"/>
    <w:rsid w:val="00140CE1"/>
    <w:rsid w:val="00147C54"/>
    <w:rsid w:val="0016259B"/>
    <w:rsid w:val="0017539C"/>
    <w:rsid w:val="00175AC2"/>
    <w:rsid w:val="0017609F"/>
    <w:rsid w:val="00183949"/>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446CB"/>
    <w:rsid w:val="00356734"/>
    <w:rsid w:val="00361465"/>
    <w:rsid w:val="00365D86"/>
    <w:rsid w:val="00384357"/>
    <w:rsid w:val="003877F5"/>
    <w:rsid w:val="003942D4"/>
    <w:rsid w:val="0039514F"/>
    <w:rsid w:val="003958A8"/>
    <w:rsid w:val="003B29C2"/>
    <w:rsid w:val="003C20CA"/>
    <w:rsid w:val="003C2533"/>
    <w:rsid w:val="003D2E43"/>
    <w:rsid w:val="003D5A7F"/>
    <w:rsid w:val="003D635C"/>
    <w:rsid w:val="003D71D8"/>
    <w:rsid w:val="004016E2"/>
    <w:rsid w:val="0040435A"/>
    <w:rsid w:val="00407AB7"/>
    <w:rsid w:val="00416A24"/>
    <w:rsid w:val="00416A30"/>
    <w:rsid w:val="0042059E"/>
    <w:rsid w:val="00431D9E"/>
    <w:rsid w:val="00433CE8"/>
    <w:rsid w:val="00434A5C"/>
    <w:rsid w:val="00445567"/>
    <w:rsid w:val="004544D9"/>
    <w:rsid w:val="00472BAD"/>
    <w:rsid w:val="00484009"/>
    <w:rsid w:val="00484274"/>
    <w:rsid w:val="00490E72"/>
    <w:rsid w:val="00491157"/>
    <w:rsid w:val="004921C8"/>
    <w:rsid w:val="00495B0B"/>
    <w:rsid w:val="004975CD"/>
    <w:rsid w:val="004A1B8B"/>
    <w:rsid w:val="004B51C8"/>
    <w:rsid w:val="004D1851"/>
    <w:rsid w:val="004D599D"/>
    <w:rsid w:val="004E06D1"/>
    <w:rsid w:val="004E2EA5"/>
    <w:rsid w:val="004E3AEB"/>
    <w:rsid w:val="004F1C9E"/>
    <w:rsid w:val="00500CA4"/>
    <w:rsid w:val="0050223C"/>
    <w:rsid w:val="005170FD"/>
    <w:rsid w:val="005241E0"/>
    <w:rsid w:val="005243FF"/>
    <w:rsid w:val="00524E9C"/>
    <w:rsid w:val="005311D6"/>
    <w:rsid w:val="00533E0D"/>
    <w:rsid w:val="00536422"/>
    <w:rsid w:val="0054526E"/>
    <w:rsid w:val="005536C2"/>
    <w:rsid w:val="0056047D"/>
    <w:rsid w:val="00564FBC"/>
    <w:rsid w:val="005800BC"/>
    <w:rsid w:val="00582442"/>
    <w:rsid w:val="00590111"/>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6D2D3A"/>
    <w:rsid w:val="00701C70"/>
    <w:rsid w:val="00702DEF"/>
    <w:rsid w:val="00706861"/>
    <w:rsid w:val="007247CF"/>
    <w:rsid w:val="00726B8C"/>
    <w:rsid w:val="00727C44"/>
    <w:rsid w:val="007307F0"/>
    <w:rsid w:val="0075051B"/>
    <w:rsid w:val="0077110E"/>
    <w:rsid w:val="00775655"/>
    <w:rsid w:val="007826ED"/>
    <w:rsid w:val="007849D5"/>
    <w:rsid w:val="00793188"/>
    <w:rsid w:val="00794D34"/>
    <w:rsid w:val="007C373A"/>
    <w:rsid w:val="007D6AD0"/>
    <w:rsid w:val="00806E3C"/>
    <w:rsid w:val="008073F5"/>
    <w:rsid w:val="00813E5E"/>
    <w:rsid w:val="00816C2C"/>
    <w:rsid w:val="008172C1"/>
    <w:rsid w:val="008327DA"/>
    <w:rsid w:val="0083581B"/>
    <w:rsid w:val="00857580"/>
    <w:rsid w:val="00860EED"/>
    <w:rsid w:val="00862968"/>
    <w:rsid w:val="00863874"/>
    <w:rsid w:val="00864AFF"/>
    <w:rsid w:val="00865925"/>
    <w:rsid w:val="00870C17"/>
    <w:rsid w:val="00872B5C"/>
    <w:rsid w:val="00875FD1"/>
    <w:rsid w:val="00877BF2"/>
    <w:rsid w:val="00884F3A"/>
    <w:rsid w:val="00891503"/>
    <w:rsid w:val="00894486"/>
    <w:rsid w:val="008A2F06"/>
    <w:rsid w:val="008B4A6A"/>
    <w:rsid w:val="008C7E27"/>
    <w:rsid w:val="008F3822"/>
    <w:rsid w:val="008F7448"/>
    <w:rsid w:val="0090147A"/>
    <w:rsid w:val="0090389B"/>
    <w:rsid w:val="009173EF"/>
    <w:rsid w:val="00932906"/>
    <w:rsid w:val="00961860"/>
    <w:rsid w:val="00961B0B"/>
    <w:rsid w:val="00962D33"/>
    <w:rsid w:val="009A346D"/>
    <w:rsid w:val="009B38C3"/>
    <w:rsid w:val="009B44BD"/>
    <w:rsid w:val="009E1472"/>
    <w:rsid w:val="009E17BD"/>
    <w:rsid w:val="009E485A"/>
    <w:rsid w:val="00A04CEC"/>
    <w:rsid w:val="00A27F92"/>
    <w:rsid w:val="00A32257"/>
    <w:rsid w:val="00A36D20"/>
    <w:rsid w:val="00A43C03"/>
    <w:rsid w:val="00A46CD0"/>
    <w:rsid w:val="00A514A4"/>
    <w:rsid w:val="00A52C84"/>
    <w:rsid w:val="00A55622"/>
    <w:rsid w:val="00A83502"/>
    <w:rsid w:val="00AC6BFA"/>
    <w:rsid w:val="00AD15B3"/>
    <w:rsid w:val="00AD3606"/>
    <w:rsid w:val="00AD4A3D"/>
    <w:rsid w:val="00AF6E49"/>
    <w:rsid w:val="00B04A67"/>
    <w:rsid w:val="00B0583C"/>
    <w:rsid w:val="00B248BC"/>
    <w:rsid w:val="00B309EB"/>
    <w:rsid w:val="00B358B2"/>
    <w:rsid w:val="00B40A81"/>
    <w:rsid w:val="00B44910"/>
    <w:rsid w:val="00B72267"/>
    <w:rsid w:val="00B72B48"/>
    <w:rsid w:val="00B73DD1"/>
    <w:rsid w:val="00B76EB6"/>
    <w:rsid w:val="00B7737B"/>
    <w:rsid w:val="00B824C8"/>
    <w:rsid w:val="00B82C1B"/>
    <w:rsid w:val="00B849D3"/>
    <w:rsid w:val="00B84B9D"/>
    <w:rsid w:val="00BA3A51"/>
    <w:rsid w:val="00BC251A"/>
    <w:rsid w:val="00BC7A28"/>
    <w:rsid w:val="00BD032B"/>
    <w:rsid w:val="00BD0614"/>
    <w:rsid w:val="00BD094B"/>
    <w:rsid w:val="00BE2640"/>
    <w:rsid w:val="00C01189"/>
    <w:rsid w:val="00C27DB8"/>
    <w:rsid w:val="00C374DE"/>
    <w:rsid w:val="00C47AD4"/>
    <w:rsid w:val="00C52D81"/>
    <w:rsid w:val="00C55198"/>
    <w:rsid w:val="00C725C6"/>
    <w:rsid w:val="00C7268F"/>
    <w:rsid w:val="00C922C7"/>
    <w:rsid w:val="00C951B1"/>
    <w:rsid w:val="00CA6393"/>
    <w:rsid w:val="00CB18FF"/>
    <w:rsid w:val="00CB24AA"/>
    <w:rsid w:val="00CD0C08"/>
    <w:rsid w:val="00CD3C91"/>
    <w:rsid w:val="00CE03FB"/>
    <w:rsid w:val="00CE433C"/>
    <w:rsid w:val="00CF0161"/>
    <w:rsid w:val="00CF33F3"/>
    <w:rsid w:val="00D06183"/>
    <w:rsid w:val="00D071DF"/>
    <w:rsid w:val="00D143DF"/>
    <w:rsid w:val="00D22C42"/>
    <w:rsid w:val="00D45669"/>
    <w:rsid w:val="00D464CC"/>
    <w:rsid w:val="00D522F6"/>
    <w:rsid w:val="00D65041"/>
    <w:rsid w:val="00D67039"/>
    <w:rsid w:val="00D74BFC"/>
    <w:rsid w:val="00D86E6C"/>
    <w:rsid w:val="00DB00D5"/>
    <w:rsid w:val="00DB1936"/>
    <w:rsid w:val="00DB384B"/>
    <w:rsid w:val="00DD6D1E"/>
    <w:rsid w:val="00DF0189"/>
    <w:rsid w:val="00DF6FCC"/>
    <w:rsid w:val="00E06FD5"/>
    <w:rsid w:val="00E10E80"/>
    <w:rsid w:val="00E124F0"/>
    <w:rsid w:val="00E227F3"/>
    <w:rsid w:val="00E24D07"/>
    <w:rsid w:val="00E4728B"/>
    <w:rsid w:val="00E545C6"/>
    <w:rsid w:val="00E60F04"/>
    <w:rsid w:val="00E63EFF"/>
    <w:rsid w:val="00E65B24"/>
    <w:rsid w:val="00E854E4"/>
    <w:rsid w:val="00E85B67"/>
    <w:rsid w:val="00E86DBF"/>
    <w:rsid w:val="00EA1733"/>
    <w:rsid w:val="00EB0D6F"/>
    <w:rsid w:val="00EB2232"/>
    <w:rsid w:val="00EB2FFF"/>
    <w:rsid w:val="00EC258E"/>
    <w:rsid w:val="00EC5337"/>
    <w:rsid w:val="00EC7C07"/>
    <w:rsid w:val="00EE49E8"/>
    <w:rsid w:val="00F064FF"/>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uiPriority w:val="34"/>
    <w:qFormat/>
    <w:rsid w:val="00DD6D1E"/>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heme="minorHAnsi" w:hAnsiTheme="minorHAnsi"/>
    </w:rPr>
  </w:style>
  <w:style w:type="character" w:styleId="CommentReference">
    <w:name w:val="annotation reference"/>
    <w:basedOn w:val="DefaultParagraphFont"/>
    <w:uiPriority w:val="99"/>
    <w:semiHidden/>
    <w:unhideWhenUsed/>
    <w:rsid w:val="00DD6D1E"/>
    <w:rPr>
      <w:sz w:val="16"/>
      <w:szCs w:val="16"/>
    </w:rPr>
  </w:style>
  <w:style w:type="paragraph" w:styleId="CommentText">
    <w:name w:val="annotation text"/>
    <w:basedOn w:val="Normal"/>
    <w:link w:val="CommentTextChar"/>
    <w:uiPriority w:val="99"/>
    <w:unhideWhenUsed/>
    <w:rsid w:val="00DD6D1E"/>
    <w:pPr>
      <w:tabs>
        <w:tab w:val="clear" w:pos="567"/>
        <w:tab w:val="clear" w:pos="1134"/>
        <w:tab w:val="clear" w:pos="1701"/>
        <w:tab w:val="clear" w:pos="2268"/>
        <w:tab w:val="clear" w:pos="2835"/>
        <w:tab w:val="left" w:pos="794"/>
        <w:tab w:val="left" w:pos="1191"/>
        <w:tab w:val="left" w:pos="1588"/>
        <w:tab w:val="left" w:pos="1985"/>
      </w:tabs>
    </w:pPr>
    <w:rPr>
      <w:rFonts w:asciiTheme="minorHAnsi" w:hAnsiTheme="minorHAnsi"/>
      <w:sz w:val="20"/>
    </w:rPr>
  </w:style>
  <w:style w:type="character" w:customStyle="1" w:styleId="CommentTextChar">
    <w:name w:val="Comment Text Char"/>
    <w:basedOn w:val="DefaultParagraphFont"/>
    <w:link w:val="CommentText"/>
    <w:uiPriority w:val="99"/>
    <w:rsid w:val="00DD6D1E"/>
    <w:rPr>
      <w:rFonts w:ascii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sites/membership/wp-content/uploads/sites/50/2024/07/Chairman-Report_IAGDI-CRO.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tu-d/sites/membership/wp-content/uploads/sites/50/2024/07/IAGDICRO-2024-Outcome-Statement_2-July_202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D22-TDAG32-INF-000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MembersPartners/Pages/tech-talk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ISCG-TEMPLATE.dotx</Template>
  <TotalTime>13</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Sukenik, Maria Victoria</cp:lastModifiedBy>
  <cp:revision>8</cp:revision>
  <dcterms:created xsi:type="dcterms:W3CDTF">2025-05-22T07:57:00Z</dcterms:created>
  <dcterms:modified xsi:type="dcterms:W3CDTF">2025-05-22T13:45:00Z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