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5" w:tblpY="2317"/>
        <w:tblW w:w="9640" w:type="dxa"/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482BC2" w:rsidRPr="004B51C8" w14:paraId="36A44B8E" w14:textId="77777777" w:rsidTr="009E1222">
        <w:trPr>
          <w:cantSplit/>
          <w:trHeight w:val="23"/>
        </w:trPr>
        <w:tc>
          <w:tcPr>
            <w:tcW w:w="4395" w:type="dxa"/>
            <w:vMerge w:val="restart"/>
            <w:tcMar>
              <w:left w:w="0" w:type="dxa"/>
            </w:tcMar>
          </w:tcPr>
          <w:p w14:paraId="674F933B" w14:textId="77777777" w:rsidR="00482BC2" w:rsidRPr="00147C54" w:rsidRDefault="00482BC2" w:rsidP="009E1222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2D0283B" w14:textId="60F3FB93" w:rsidR="00482BC2" w:rsidRPr="00301AEE" w:rsidRDefault="00482BC2" w:rsidP="009E122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>
              <w:rPr>
                <w:b/>
                <w:lang w:val="fr-CH"/>
              </w:rPr>
              <w:t>ISCG/25-2</w:t>
            </w:r>
            <w:r>
              <w:rPr>
                <w:b/>
                <w:lang w:val="fr-FR"/>
              </w:rPr>
              <w:t>/</w:t>
            </w:r>
            <w:r>
              <w:rPr>
                <w:b/>
                <w:lang w:val="fr-FR"/>
              </w:rPr>
              <w:t>04</w:t>
            </w:r>
            <w:r>
              <w:rPr>
                <w:b/>
                <w:lang w:val="fr-FR"/>
              </w:rPr>
              <w:t>-E</w:t>
            </w:r>
          </w:p>
        </w:tc>
      </w:tr>
      <w:tr w:rsidR="00482BC2" w:rsidRPr="00147C54" w14:paraId="43D5E555" w14:textId="77777777" w:rsidTr="009E1222">
        <w:trPr>
          <w:cantSplit/>
        </w:trPr>
        <w:tc>
          <w:tcPr>
            <w:tcW w:w="4395" w:type="dxa"/>
            <w:vMerge/>
          </w:tcPr>
          <w:p w14:paraId="57F3649F" w14:textId="77777777" w:rsidR="00482BC2" w:rsidRPr="00301AEE" w:rsidRDefault="00482BC2" w:rsidP="009E1222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</w:p>
        </w:tc>
        <w:tc>
          <w:tcPr>
            <w:tcW w:w="5245" w:type="dxa"/>
          </w:tcPr>
          <w:p w14:paraId="2F680007" w14:textId="0B3B87FB" w:rsidR="00482BC2" w:rsidRPr="00147C54" w:rsidRDefault="009E1222" w:rsidP="009E1222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21 May 2025</w:t>
            </w:r>
          </w:p>
        </w:tc>
      </w:tr>
      <w:tr w:rsidR="00482BC2" w:rsidRPr="00147C54" w14:paraId="11F0E8C1" w14:textId="77777777" w:rsidTr="009E1222">
        <w:trPr>
          <w:cantSplit/>
          <w:trHeight w:val="23"/>
        </w:trPr>
        <w:tc>
          <w:tcPr>
            <w:tcW w:w="4395" w:type="dxa"/>
            <w:vMerge/>
          </w:tcPr>
          <w:p w14:paraId="7FCBD115" w14:textId="77777777" w:rsidR="00482BC2" w:rsidRPr="00147C54" w:rsidRDefault="00482BC2" w:rsidP="009E1222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920FF5A" w14:textId="77777777" w:rsidR="00482BC2" w:rsidRPr="00147C54" w:rsidRDefault="00482BC2" w:rsidP="009E122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82BC2" w:rsidRPr="00147C54" w14:paraId="27F9F5DC" w14:textId="77777777" w:rsidTr="009E1222">
        <w:trPr>
          <w:cantSplit/>
          <w:trHeight w:val="23"/>
        </w:trPr>
        <w:tc>
          <w:tcPr>
            <w:tcW w:w="4395" w:type="dxa"/>
          </w:tcPr>
          <w:p w14:paraId="621DEB69" w14:textId="77777777" w:rsidR="00482BC2" w:rsidRPr="00147C54" w:rsidRDefault="00482BC2" w:rsidP="009E1222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0DCF6EF" w14:textId="77777777" w:rsidR="00482BC2" w:rsidRPr="00147C54" w:rsidRDefault="00482BC2" w:rsidP="009E1222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482BC2" w:rsidRPr="00147C54" w14:paraId="7B5709CA" w14:textId="77777777" w:rsidTr="009E1222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3B59B3E4" w14:textId="7D4D93F5" w:rsidR="00482BC2" w:rsidRPr="00147C54" w:rsidRDefault="00482BC2" w:rsidP="009E1222">
            <w:pPr>
              <w:pStyle w:val="Source"/>
              <w:framePr w:hSpace="0" w:wrap="auto" w:vAnchor="margin" w:hAnchor="text" w:xAlign="left" w:yAlign="inline"/>
            </w:pPr>
            <w:bookmarkStart w:id="0" w:name="dsource" w:colFirst="0" w:colLast="0"/>
            <w:r w:rsidRPr="005E413D">
              <w:t xml:space="preserve">Contribution </w:t>
            </w:r>
            <w:r>
              <w:t>by</w:t>
            </w:r>
            <w:r w:rsidRPr="005E413D">
              <w:t xml:space="preserve"> </w:t>
            </w:r>
            <w:r>
              <w:t>Russian Federation</w:t>
            </w:r>
          </w:p>
        </w:tc>
      </w:tr>
      <w:bookmarkStart w:id="1" w:name="dtitle1" w:colFirst="0" w:colLast="0"/>
      <w:bookmarkEnd w:id="0"/>
      <w:tr w:rsidR="00482BC2" w:rsidRPr="00147C54" w14:paraId="377E9DF2" w14:textId="77777777" w:rsidTr="009E1222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551F9406" w14:textId="043F0CD9" w:rsidR="00482BC2" w:rsidRPr="00147C54" w:rsidRDefault="009E1222" w:rsidP="009E1222">
            <w:pPr>
              <w:pStyle w:val="Subtitle0"/>
              <w:framePr w:hSpace="0" w:wrap="auto" w:xAlign="left" w:yAlign="inline"/>
            </w:pPr>
            <w:sdt>
              <w:sdtPr>
                <w:rPr>
                  <w:rFonts w:eastAsia="Malgun Gothic"/>
                  <w:caps/>
                  <w:lang w:eastAsia="ko-KR"/>
                </w:rPr>
                <w:alias w:val="Title"/>
                <w:tag w:val="Title"/>
                <w:id w:val="2039152410"/>
                <w:placeholder>
                  <w:docPart w:val="DC5D3835F74C4EC5BB28ACD50DCAD1A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9E1222">
                  <w:rPr>
                    <w:rFonts w:eastAsia="Malgun Gothic"/>
                    <w:caps/>
                    <w:lang w:eastAsia="ko-KR"/>
                  </w:rPr>
                  <w:t>Streamlining PP and Sectoral resolutions</w:t>
                </w:r>
              </w:sdtContent>
            </w:sdt>
          </w:p>
        </w:tc>
      </w:tr>
      <w:tr w:rsidR="00482BC2" w:rsidRPr="00147C54" w14:paraId="738803F7" w14:textId="77777777" w:rsidTr="009E1222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F7E18BF" w14:textId="7F0CBB4C" w:rsidR="00482BC2" w:rsidRPr="005241E0" w:rsidRDefault="00482BC2" w:rsidP="009E1222">
            <w:pPr>
              <w:spacing w:before="160" w:after="120"/>
              <w:rPr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  <w:r>
              <w:rPr>
                <w:b/>
                <w:bCs/>
                <w:sz w:val="26"/>
                <w:szCs w:val="26"/>
              </w:rPr>
              <w:t xml:space="preserve">: </w:t>
            </w:r>
            <w:r>
              <w:t xml:space="preserve"> </w:t>
            </w:r>
            <w:r w:rsidRPr="005241E0">
              <w:rPr>
                <w:sz w:val="26"/>
                <w:szCs w:val="26"/>
              </w:rPr>
              <w:t xml:space="preserve">Admin </w:t>
            </w:r>
            <w:proofErr w:type="gramStart"/>
            <w:r w:rsidRPr="005241E0">
              <w:rPr>
                <w:sz w:val="26"/>
                <w:szCs w:val="26"/>
              </w:rPr>
              <w:t>( )</w:t>
            </w:r>
            <w:proofErr w:type="gramEnd"/>
            <w:r w:rsidRPr="005241E0">
              <w:rPr>
                <w:sz w:val="26"/>
                <w:szCs w:val="26"/>
              </w:rPr>
              <w:t xml:space="preserve"> / Information </w:t>
            </w:r>
            <w:proofErr w:type="gramStart"/>
            <w:r w:rsidRPr="005241E0">
              <w:rPr>
                <w:sz w:val="26"/>
                <w:szCs w:val="26"/>
              </w:rPr>
              <w:t>( )</w:t>
            </w:r>
            <w:proofErr w:type="gramEnd"/>
            <w:r w:rsidRPr="005241E0">
              <w:rPr>
                <w:sz w:val="26"/>
                <w:szCs w:val="26"/>
              </w:rPr>
              <w:t xml:space="preserve"> / Discussion </w:t>
            </w:r>
            <w:proofErr w:type="gramStart"/>
            <w:r w:rsidRPr="005241E0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 </w:t>
            </w:r>
            <w:r w:rsidRPr="005241E0">
              <w:rPr>
                <w:sz w:val="26"/>
                <w:szCs w:val="26"/>
              </w:rPr>
              <w:t>)</w:t>
            </w:r>
            <w:proofErr w:type="gramEnd"/>
            <w:r w:rsidRPr="005241E0">
              <w:rPr>
                <w:sz w:val="26"/>
                <w:szCs w:val="26"/>
              </w:rPr>
              <w:t xml:space="preserve"> / Proposal (</w:t>
            </w:r>
            <w:r w:rsidR="009E1222">
              <w:rPr>
                <w:sz w:val="26"/>
                <w:szCs w:val="26"/>
              </w:rPr>
              <w:t>X</w:t>
            </w:r>
            <w:r w:rsidRPr="005241E0">
              <w:rPr>
                <w:sz w:val="26"/>
                <w:szCs w:val="26"/>
              </w:rPr>
              <w:t>)</w:t>
            </w:r>
          </w:p>
        </w:tc>
      </w:tr>
      <w:tr w:rsidR="00482BC2" w:rsidRPr="009E1222" w14:paraId="463F2F9A" w14:textId="77777777" w:rsidTr="009E1222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40D1DDB" w14:textId="7DC0A59F" w:rsidR="00482BC2" w:rsidRPr="009E1222" w:rsidRDefault="00482BC2" w:rsidP="009E1222">
            <w:pPr>
              <w:spacing w:before="160" w:after="120"/>
              <w:rPr>
                <w:b/>
                <w:bCs/>
                <w:sz w:val="26"/>
                <w:szCs w:val="26"/>
                <w:lang w:val="fr-FR"/>
              </w:rPr>
            </w:pPr>
            <w:proofErr w:type="gramStart"/>
            <w:r w:rsidRPr="009E1222">
              <w:rPr>
                <w:b/>
                <w:bCs/>
                <w:sz w:val="26"/>
                <w:szCs w:val="26"/>
                <w:lang w:val="fr-FR"/>
              </w:rPr>
              <w:t>Contact:</w:t>
            </w:r>
            <w:proofErr w:type="gramEnd"/>
            <w:r w:rsidRPr="009E1222">
              <w:rPr>
                <w:b/>
                <w:bCs/>
                <w:sz w:val="26"/>
                <w:szCs w:val="26"/>
                <w:lang w:val="fr-FR"/>
              </w:rPr>
              <w:t xml:space="preserve">      </w:t>
            </w:r>
            <w:r w:rsidR="009E1222" w:rsidRPr="009E1222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ContactNameOrgCountry"/>
                <w:tag w:val="ContactNameOrgCountry"/>
                <w:id w:val="-1843309957"/>
                <w:placeholder>
                  <w:docPart w:val="DF925B557EF047A2B490251162AF2A03"/>
                </w:placeholder>
                <w:text w:multiLine="1"/>
              </w:sdtPr>
              <w:sdtContent>
                <w:r w:rsidR="009E1222" w:rsidRPr="009E1222">
                  <w:rPr>
                    <w:lang w:val="fr-FR"/>
                  </w:rPr>
                  <w:t xml:space="preserve">Vladimir </w:t>
                </w:r>
                <w:proofErr w:type="spellStart"/>
                <w:r w:rsidR="009E1222" w:rsidRPr="009E1222">
                  <w:rPr>
                    <w:lang w:val="fr-FR"/>
                  </w:rPr>
                  <w:t>Minkin</w:t>
                </w:r>
                <w:proofErr w:type="spellEnd"/>
              </w:sdtContent>
            </w:sdt>
            <w:r w:rsidR="009E1222" w:rsidRPr="009E1222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9E1222">
              <w:rPr>
                <w:b/>
                <w:bCs/>
                <w:sz w:val="26"/>
                <w:szCs w:val="26"/>
                <w:lang w:val="fr-FR"/>
              </w:rPr>
              <w:t xml:space="preserve">                                         </w:t>
            </w:r>
            <w:proofErr w:type="gramStart"/>
            <w:r w:rsidRPr="009E1222">
              <w:rPr>
                <w:b/>
                <w:bCs/>
                <w:sz w:val="26"/>
                <w:szCs w:val="26"/>
                <w:lang w:val="fr-FR"/>
              </w:rPr>
              <w:t>E-mail:</w:t>
            </w:r>
            <w:proofErr w:type="gramEnd"/>
            <w:r w:rsidR="009E1222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hyperlink r:id="rId6" w:history="1">
              <w:r w:rsidR="009E1222" w:rsidRPr="009E1222">
                <w:rPr>
                  <w:rStyle w:val="Hyperlink"/>
                  <w:lang w:val="fr-FR"/>
                </w:rPr>
                <w:t>minkin-itu@mail.ru</w:t>
              </w:r>
            </w:hyperlink>
          </w:p>
        </w:tc>
      </w:tr>
    </w:tbl>
    <w:p w14:paraId="32A8C0EC" w14:textId="77777777" w:rsidR="005F296B" w:rsidRPr="001E064E" w:rsidRDefault="005F296B" w:rsidP="005F296B">
      <w:pPr>
        <w:rPr>
          <w:b/>
          <w:bCs/>
          <w:lang w:val="en-AU"/>
        </w:rPr>
      </w:pPr>
      <w:bookmarkStart w:id="2" w:name="_Hlk198025954"/>
      <w:bookmarkEnd w:id="1"/>
    </w:p>
    <w:p w14:paraId="0EFDE9CA" w14:textId="77777777" w:rsidR="005F296B" w:rsidRDefault="005F296B" w:rsidP="005F296B">
      <w:pPr>
        <w:spacing w:after="120"/>
        <w:ind w:left="53"/>
        <w:rPr>
          <w:b/>
          <w:bCs/>
          <w:lang w:eastAsia="ko-KR"/>
        </w:rPr>
      </w:pPr>
      <w:r>
        <w:rPr>
          <w:b/>
          <w:bCs/>
          <w:lang w:eastAsia="ko-KR"/>
        </w:rPr>
        <w:t>I</w:t>
      </w:r>
      <w:r>
        <w:rPr>
          <w:b/>
          <w:bCs/>
          <w:lang w:eastAsia="ko-KR"/>
        </w:rPr>
        <w:tab/>
      </w:r>
      <w:r w:rsidRPr="0017403A">
        <w:rPr>
          <w:rFonts w:hint="eastAsia"/>
          <w:b/>
          <w:bCs/>
          <w:lang w:eastAsia="ko-KR"/>
        </w:rPr>
        <w:t>I</w:t>
      </w:r>
      <w:r w:rsidRPr="0017403A">
        <w:rPr>
          <w:b/>
          <w:bCs/>
          <w:lang w:eastAsia="ko-KR"/>
        </w:rPr>
        <w:t>ntroduction</w:t>
      </w:r>
    </w:p>
    <w:p w14:paraId="3DFEABDF" w14:textId="05FF2365" w:rsidR="005F296B" w:rsidRPr="00491688" w:rsidRDefault="005F296B" w:rsidP="005F296B">
      <w:pPr>
        <w:spacing w:after="120"/>
        <w:rPr>
          <w:rFonts w:asciiTheme="minorHAnsi" w:hAnsiTheme="minorHAnsi" w:cstheme="minorHAnsi"/>
          <w:lang w:eastAsia="ko-KR"/>
        </w:rPr>
      </w:pPr>
      <w:r w:rsidRPr="00491688">
        <w:rPr>
          <w:rFonts w:asciiTheme="minorHAnsi" w:hAnsiTheme="minorHAnsi" w:cstheme="minorHAnsi"/>
          <w:lang w:eastAsia="ko-KR"/>
        </w:rPr>
        <w:t xml:space="preserve">Plenipotentiary </w:t>
      </w:r>
      <w:r w:rsidR="00B52C08">
        <w:rPr>
          <w:rFonts w:asciiTheme="minorHAnsi" w:hAnsiTheme="minorHAnsi" w:cstheme="minorHAnsi"/>
          <w:lang w:eastAsia="ko-KR"/>
        </w:rPr>
        <w:t>C</w:t>
      </w:r>
      <w:r w:rsidRPr="00491688">
        <w:rPr>
          <w:rFonts w:asciiTheme="minorHAnsi" w:hAnsiTheme="minorHAnsi" w:cstheme="minorHAnsi"/>
          <w:lang w:eastAsia="ko-KR"/>
        </w:rPr>
        <w:t>onference</w:t>
      </w:r>
      <w:r>
        <w:rPr>
          <w:rFonts w:asciiTheme="minorHAnsi" w:hAnsiTheme="minorHAnsi" w:cstheme="minorHAnsi"/>
          <w:lang w:eastAsia="ko-KR"/>
        </w:rPr>
        <w:t xml:space="preserve"> (PP)</w:t>
      </w:r>
      <w:r w:rsidRPr="00491688">
        <w:rPr>
          <w:rFonts w:asciiTheme="minorHAnsi" w:hAnsiTheme="minorHAnsi" w:cstheme="minorHAnsi"/>
          <w:lang w:eastAsia="ko-KR"/>
        </w:rPr>
        <w:t xml:space="preserve"> (Bucharest, 2022) welcomed the work provided in all three Sectors </w:t>
      </w:r>
      <w:r>
        <w:rPr>
          <w:rFonts w:asciiTheme="minorHAnsi" w:hAnsiTheme="minorHAnsi" w:cstheme="minorHAnsi"/>
          <w:lang w:eastAsia="ko-KR"/>
        </w:rPr>
        <w:t xml:space="preserve">by Radiocommunication Assembly (RA), World Telecommunication Standardization Assembly (WTSA) and World Telecommunication Development Conference (WTDC) </w:t>
      </w:r>
      <w:r w:rsidRPr="00491688">
        <w:rPr>
          <w:rFonts w:asciiTheme="minorHAnsi" w:hAnsiTheme="minorHAnsi" w:cstheme="minorHAnsi"/>
          <w:lang w:eastAsia="ko-KR"/>
        </w:rPr>
        <w:t>on streamlining Sectoral resolutions with PP resolutions.</w:t>
      </w:r>
    </w:p>
    <w:p w14:paraId="6E145A68" w14:textId="77777777" w:rsidR="005F296B" w:rsidRPr="00491688" w:rsidRDefault="005F296B" w:rsidP="005F296B">
      <w:pPr>
        <w:jc w:val="both"/>
        <w:rPr>
          <w:rFonts w:asciiTheme="minorHAnsi" w:hAnsiTheme="minorHAnsi" w:cstheme="minorHAnsi"/>
          <w:lang w:val="en-US"/>
        </w:rPr>
      </w:pPr>
      <w:r w:rsidRPr="00491688">
        <w:rPr>
          <w:rFonts w:asciiTheme="minorHAnsi" w:hAnsiTheme="minorHAnsi" w:cstheme="minorHAnsi"/>
          <w:lang w:val="en-US"/>
        </w:rPr>
        <w:t xml:space="preserve">A </w:t>
      </w:r>
      <w:r>
        <w:rPr>
          <w:rFonts w:asciiTheme="minorHAnsi" w:hAnsiTheme="minorHAnsi" w:cstheme="minorHAnsi"/>
          <w:lang w:val="en-US"/>
        </w:rPr>
        <w:t>lot</w:t>
      </w:r>
      <w:r w:rsidRPr="00491688">
        <w:rPr>
          <w:rFonts w:asciiTheme="minorHAnsi" w:hAnsiTheme="minorHAnsi" w:cstheme="minorHAnsi"/>
          <w:lang w:val="en-US"/>
        </w:rPr>
        <w:t xml:space="preserve"> of </w:t>
      </w:r>
      <w:r>
        <w:rPr>
          <w:rFonts w:asciiTheme="minorHAnsi" w:hAnsiTheme="minorHAnsi" w:cstheme="minorHAnsi"/>
          <w:lang w:val="en-US"/>
        </w:rPr>
        <w:t>S</w:t>
      </w:r>
      <w:r w:rsidRPr="00491688">
        <w:rPr>
          <w:rFonts w:asciiTheme="minorHAnsi" w:hAnsiTheme="minorHAnsi" w:cstheme="minorHAnsi"/>
          <w:lang w:val="en-US"/>
        </w:rPr>
        <w:t xml:space="preserve">ectoral resolutions are directly based on relevant PP resolutions. Practically the recitals of the documents are very close and the </w:t>
      </w:r>
      <w:r>
        <w:rPr>
          <w:rFonts w:asciiTheme="minorHAnsi" w:hAnsiTheme="minorHAnsi" w:cstheme="minorHAnsi"/>
          <w:lang w:val="en-US"/>
        </w:rPr>
        <w:t>significant</w:t>
      </w:r>
      <w:r w:rsidRPr="00491688">
        <w:rPr>
          <w:rFonts w:asciiTheme="minorHAnsi" w:hAnsiTheme="minorHAnsi" w:cstheme="minorHAnsi"/>
          <w:lang w:val="en-US"/>
        </w:rPr>
        <w:t xml:space="preserve"> part of the </w:t>
      </w:r>
      <w:r>
        <w:rPr>
          <w:rFonts w:asciiTheme="minorHAnsi" w:hAnsiTheme="minorHAnsi" w:cstheme="minorHAnsi"/>
          <w:lang w:val="en-US"/>
        </w:rPr>
        <w:t xml:space="preserve">certain </w:t>
      </w:r>
      <w:r w:rsidRPr="00491688">
        <w:rPr>
          <w:rFonts w:asciiTheme="minorHAnsi" w:hAnsiTheme="minorHAnsi" w:cstheme="minorHAnsi"/>
          <w:lang w:val="en-US"/>
        </w:rPr>
        <w:t>resolution</w:t>
      </w:r>
      <w:r>
        <w:rPr>
          <w:rFonts w:asciiTheme="minorHAnsi" w:hAnsiTheme="minorHAnsi" w:cstheme="minorHAnsi"/>
          <w:lang w:val="en-US"/>
        </w:rPr>
        <w:t>s</w:t>
      </w:r>
      <w:r w:rsidRPr="00491688">
        <w:rPr>
          <w:rFonts w:asciiTheme="minorHAnsi" w:hAnsiTheme="minorHAnsi" w:cstheme="minorHAnsi"/>
          <w:lang w:val="en-US"/>
        </w:rPr>
        <w:t xml:space="preserve"> is a repetition and/or detail</w:t>
      </w:r>
      <w:r>
        <w:rPr>
          <w:rFonts w:asciiTheme="minorHAnsi" w:hAnsiTheme="minorHAnsi" w:cstheme="minorHAnsi"/>
          <w:lang w:val="en-US"/>
        </w:rPr>
        <w:t>ed</w:t>
      </w:r>
      <w:r w:rsidRPr="00491688">
        <w:rPr>
          <w:rFonts w:asciiTheme="minorHAnsi" w:hAnsiTheme="minorHAnsi" w:cstheme="minorHAnsi"/>
          <w:lang w:val="en-US"/>
        </w:rPr>
        <w:t xml:space="preserve"> operational element(s) of the PP resolution.</w:t>
      </w:r>
    </w:p>
    <w:p w14:paraId="1DDD442A" w14:textId="77777777" w:rsidR="005F296B" w:rsidRPr="00491688" w:rsidRDefault="005F296B" w:rsidP="005F296B">
      <w:pPr>
        <w:jc w:val="both"/>
        <w:rPr>
          <w:rFonts w:asciiTheme="minorHAnsi" w:hAnsiTheme="minorHAnsi" w:cstheme="minorHAnsi"/>
          <w:lang w:val="en-US"/>
        </w:rPr>
      </w:pPr>
      <w:r w:rsidRPr="00491688">
        <w:rPr>
          <w:rFonts w:asciiTheme="minorHAnsi" w:hAnsiTheme="minorHAnsi" w:cstheme="minorHAnsi"/>
          <w:lang w:val="en-US"/>
        </w:rPr>
        <w:t>On the other hand, the PP resolutions do not include a number of provisions that reflect specific details</w:t>
      </w:r>
      <w:r>
        <w:rPr>
          <w:rFonts w:asciiTheme="minorHAnsi" w:hAnsiTheme="minorHAnsi" w:cstheme="minorHAnsi"/>
          <w:lang w:val="en-US"/>
        </w:rPr>
        <w:t xml:space="preserve"> relevant for particular ITU Sectors</w:t>
      </w:r>
      <w:r w:rsidRPr="00491688">
        <w:rPr>
          <w:rFonts w:asciiTheme="minorHAnsi" w:hAnsiTheme="minorHAnsi" w:cstheme="minorHAnsi"/>
          <w:lang w:val="en-US"/>
        </w:rPr>
        <w:t>.</w:t>
      </w:r>
    </w:p>
    <w:p w14:paraId="4C8CC6D0" w14:textId="77777777" w:rsidR="005F296B" w:rsidRPr="00491688" w:rsidRDefault="005F296B" w:rsidP="005F296B">
      <w:pPr>
        <w:jc w:val="both"/>
        <w:rPr>
          <w:rFonts w:asciiTheme="minorHAnsi" w:hAnsiTheme="minorHAnsi" w:cstheme="minorHAnsi"/>
          <w:lang w:val="en-US"/>
        </w:rPr>
      </w:pPr>
      <w:r w:rsidRPr="00491688">
        <w:rPr>
          <w:rFonts w:asciiTheme="minorHAnsi" w:hAnsiTheme="minorHAnsi" w:cstheme="minorHAnsi"/>
          <w:lang w:val="en-US"/>
        </w:rPr>
        <w:t xml:space="preserve">One possible solution could be to modify the relevant PP resolution by </w:t>
      </w:r>
      <w:r>
        <w:rPr>
          <w:rFonts w:asciiTheme="minorHAnsi" w:hAnsiTheme="minorHAnsi" w:cstheme="minorHAnsi"/>
          <w:lang w:val="en-US"/>
        </w:rPr>
        <w:t xml:space="preserve">expansion of instructions for the Sectors/Directors of Bureaus to </w:t>
      </w:r>
      <w:r w:rsidRPr="00491688">
        <w:rPr>
          <w:rFonts w:asciiTheme="minorHAnsi" w:hAnsiTheme="minorHAnsi" w:cstheme="minorHAnsi"/>
          <w:lang w:val="en-US"/>
        </w:rPr>
        <w:t>includ</w:t>
      </w:r>
      <w:r>
        <w:rPr>
          <w:rFonts w:asciiTheme="minorHAnsi" w:hAnsiTheme="minorHAnsi" w:cstheme="minorHAnsi"/>
          <w:lang w:val="en-US"/>
        </w:rPr>
        <w:t>e</w:t>
      </w:r>
      <w:r w:rsidRPr="0049168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S</w:t>
      </w:r>
      <w:r w:rsidRPr="00491688">
        <w:rPr>
          <w:rFonts w:asciiTheme="minorHAnsi" w:hAnsiTheme="minorHAnsi" w:cstheme="minorHAnsi"/>
          <w:lang w:val="en-US"/>
        </w:rPr>
        <w:t xml:space="preserve">ectoral issues </w:t>
      </w:r>
      <w:r>
        <w:rPr>
          <w:rFonts w:asciiTheme="minorHAnsi" w:hAnsiTheme="minorHAnsi" w:cstheme="minorHAnsi"/>
          <w:lang w:val="en-US"/>
        </w:rPr>
        <w:t xml:space="preserve">and features </w:t>
      </w:r>
      <w:r w:rsidRPr="00491688">
        <w:rPr>
          <w:rFonts w:asciiTheme="minorHAnsi" w:hAnsiTheme="minorHAnsi" w:cstheme="minorHAnsi"/>
          <w:lang w:val="en-US"/>
        </w:rPr>
        <w:t>in it</w:t>
      </w:r>
      <w:r>
        <w:rPr>
          <w:rFonts w:asciiTheme="minorHAnsi" w:hAnsiTheme="minorHAnsi" w:cstheme="minorHAnsi"/>
          <w:lang w:val="en-US"/>
        </w:rPr>
        <w:t xml:space="preserve"> with following suppression of certain Sectoral resolutions afterwards (for example, by using the provisions of Article 21 “</w:t>
      </w:r>
      <w:r w:rsidRPr="00F2262D">
        <w:rPr>
          <w:rFonts w:asciiTheme="minorHAnsi" w:hAnsiTheme="minorHAnsi" w:cstheme="minorHAnsi"/>
        </w:rPr>
        <w:t>Recommendations from One Conference to Another</w:t>
      </w:r>
      <w:r>
        <w:rPr>
          <w:rFonts w:asciiTheme="minorHAnsi" w:hAnsiTheme="minorHAnsi" w:cstheme="minorHAnsi"/>
          <w:lang w:val="en-US"/>
        </w:rPr>
        <w:t>”of ITU Convention)</w:t>
      </w:r>
      <w:r w:rsidRPr="00491688">
        <w:rPr>
          <w:rFonts w:asciiTheme="minorHAnsi" w:hAnsiTheme="minorHAnsi" w:cstheme="minorHAnsi"/>
          <w:lang w:val="en-US"/>
        </w:rPr>
        <w:t>.</w:t>
      </w:r>
    </w:p>
    <w:p w14:paraId="4FB4054F" w14:textId="57E643E2" w:rsidR="005F296B" w:rsidRPr="00491688" w:rsidRDefault="005F296B" w:rsidP="005F296B">
      <w:pPr>
        <w:jc w:val="both"/>
        <w:rPr>
          <w:rFonts w:asciiTheme="minorHAnsi" w:hAnsiTheme="minorHAnsi" w:cstheme="minorHAnsi"/>
          <w:lang w:val="en-US"/>
        </w:rPr>
      </w:pPr>
      <w:r w:rsidRPr="00491688">
        <w:rPr>
          <w:rFonts w:asciiTheme="minorHAnsi" w:hAnsiTheme="minorHAnsi" w:cstheme="minorHAnsi"/>
          <w:lang w:val="en-US"/>
        </w:rPr>
        <w:t xml:space="preserve">In this case, it would be reasonable to </w:t>
      </w:r>
      <w:r>
        <w:rPr>
          <w:rFonts w:asciiTheme="minorHAnsi" w:hAnsiTheme="minorHAnsi" w:cstheme="minorHAnsi"/>
          <w:lang w:val="en-US"/>
        </w:rPr>
        <w:t xml:space="preserve">request ISCG to provide through Sector Advisory </w:t>
      </w:r>
      <w:proofErr w:type="gramStart"/>
      <w:r>
        <w:rPr>
          <w:rFonts w:asciiTheme="minorHAnsi" w:hAnsiTheme="minorHAnsi" w:cstheme="minorHAnsi"/>
          <w:lang w:val="en-US"/>
        </w:rPr>
        <w:t>Groups</w:t>
      </w:r>
      <w:proofErr w:type="gramEnd"/>
      <w:r>
        <w:rPr>
          <w:rFonts w:asciiTheme="minorHAnsi" w:hAnsiTheme="minorHAnsi" w:cstheme="minorHAnsi"/>
          <w:lang w:val="en-US"/>
        </w:rPr>
        <w:t xml:space="preserve"> the recommendation</w:t>
      </w:r>
      <w:r w:rsidRPr="0049168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for </w:t>
      </w:r>
      <w:proofErr w:type="gramStart"/>
      <w:r>
        <w:rPr>
          <w:rFonts w:asciiTheme="minorHAnsi" w:hAnsiTheme="minorHAnsi" w:cstheme="minorHAnsi"/>
          <w:lang w:val="en-US"/>
        </w:rPr>
        <w:t>Bureaus’</w:t>
      </w:r>
      <w:proofErr w:type="gramEnd"/>
      <w:r>
        <w:rPr>
          <w:rFonts w:asciiTheme="minorHAnsi" w:hAnsiTheme="minorHAnsi" w:cstheme="minorHAnsi"/>
          <w:lang w:val="en-US"/>
        </w:rPr>
        <w:t xml:space="preserve"> Directors </w:t>
      </w:r>
      <w:r w:rsidRPr="00491688">
        <w:rPr>
          <w:rFonts w:asciiTheme="minorHAnsi" w:hAnsiTheme="minorHAnsi" w:cstheme="minorHAnsi"/>
          <w:lang w:val="en-US"/>
        </w:rPr>
        <w:t xml:space="preserve">to submit a compiled document </w:t>
      </w:r>
      <w:r>
        <w:rPr>
          <w:rFonts w:asciiTheme="minorHAnsi" w:hAnsiTheme="minorHAnsi" w:cstheme="minorHAnsi"/>
          <w:lang w:val="en-US"/>
        </w:rPr>
        <w:t>compiling</w:t>
      </w:r>
      <w:r w:rsidRPr="00491688">
        <w:rPr>
          <w:rFonts w:asciiTheme="minorHAnsi" w:hAnsiTheme="minorHAnsi" w:cstheme="minorHAnsi"/>
          <w:lang w:val="en-US"/>
        </w:rPr>
        <w:t xml:space="preserve"> all instructions to the </w:t>
      </w:r>
      <w:r>
        <w:rPr>
          <w:rFonts w:asciiTheme="minorHAnsi" w:hAnsiTheme="minorHAnsi" w:cstheme="minorHAnsi"/>
          <w:lang w:val="en-US"/>
        </w:rPr>
        <w:t>relevant</w:t>
      </w:r>
      <w:r w:rsidRPr="0049168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ITU S</w:t>
      </w:r>
      <w:r w:rsidRPr="00491688">
        <w:rPr>
          <w:rFonts w:asciiTheme="minorHAnsi" w:hAnsiTheme="minorHAnsi" w:cstheme="minorHAnsi"/>
          <w:lang w:val="en-US"/>
        </w:rPr>
        <w:t xml:space="preserve">ector from the PP </w:t>
      </w:r>
      <w:r>
        <w:rPr>
          <w:rFonts w:asciiTheme="minorHAnsi" w:hAnsiTheme="minorHAnsi" w:cstheme="minorHAnsi"/>
          <w:lang w:val="en-US"/>
        </w:rPr>
        <w:t xml:space="preserve">resolutions </w:t>
      </w:r>
      <w:r w:rsidRPr="00491688">
        <w:rPr>
          <w:rFonts w:asciiTheme="minorHAnsi" w:hAnsiTheme="minorHAnsi" w:cstheme="minorHAnsi"/>
          <w:lang w:val="en-US"/>
        </w:rPr>
        <w:t xml:space="preserve">to the RA/WTSA/WTDC or </w:t>
      </w:r>
      <w:r>
        <w:rPr>
          <w:rFonts w:asciiTheme="minorHAnsi" w:hAnsiTheme="minorHAnsi" w:cstheme="minorHAnsi"/>
          <w:lang w:val="en-US"/>
        </w:rPr>
        <w:t>RAG/TSAG/TDAG</w:t>
      </w:r>
      <w:r w:rsidRPr="00F2262D">
        <w:rPr>
          <w:rFonts w:asciiTheme="minorHAnsi" w:hAnsiTheme="minorHAnsi" w:cstheme="minorHAnsi"/>
          <w:lang w:val="en-US"/>
        </w:rPr>
        <w:t xml:space="preserve"> </w:t>
      </w:r>
      <w:r w:rsidRPr="00491688">
        <w:rPr>
          <w:rFonts w:asciiTheme="minorHAnsi" w:hAnsiTheme="minorHAnsi" w:cstheme="minorHAnsi"/>
          <w:lang w:val="en-US"/>
        </w:rPr>
        <w:t>respectively</w:t>
      </w:r>
      <w:r>
        <w:rPr>
          <w:rFonts w:asciiTheme="minorHAnsi" w:hAnsiTheme="minorHAnsi" w:cstheme="minorHAnsi"/>
          <w:lang w:val="en-US"/>
        </w:rPr>
        <w:t xml:space="preserve"> </w:t>
      </w:r>
      <w:r w:rsidRPr="00491688">
        <w:rPr>
          <w:rFonts w:asciiTheme="minorHAnsi" w:hAnsiTheme="minorHAnsi" w:cstheme="minorHAnsi"/>
          <w:lang w:val="en-US"/>
        </w:rPr>
        <w:t>for adoption as the operational sectoral guidance.</w:t>
      </w:r>
    </w:p>
    <w:p w14:paraId="483C892E" w14:textId="77777777" w:rsidR="005F296B" w:rsidRPr="00491688" w:rsidRDefault="005F296B" w:rsidP="005F296B">
      <w:pPr>
        <w:jc w:val="both"/>
        <w:rPr>
          <w:rFonts w:asciiTheme="minorHAnsi" w:hAnsiTheme="minorHAnsi" w:cstheme="minorHAnsi"/>
          <w:lang w:val="en-US"/>
        </w:rPr>
      </w:pPr>
      <w:r w:rsidRPr="00491688">
        <w:rPr>
          <w:rFonts w:asciiTheme="minorHAnsi" w:hAnsiTheme="minorHAnsi" w:cstheme="minorHAnsi"/>
          <w:lang w:val="en-US"/>
        </w:rPr>
        <w:t>The preliminary consideration and preparation to PP-26 could be provided through an intersectoral correspondence or rapporteur group created by ISCG or Council.</w:t>
      </w:r>
    </w:p>
    <w:p w14:paraId="55678F9D" w14:textId="77777777" w:rsidR="005F296B" w:rsidRDefault="005F296B" w:rsidP="005F296B">
      <w:pPr>
        <w:jc w:val="both"/>
        <w:rPr>
          <w:rFonts w:asciiTheme="minorHAnsi" w:hAnsiTheme="minorHAnsi" w:cstheme="minorHAnsi"/>
          <w:lang w:val="en-US"/>
        </w:rPr>
      </w:pPr>
      <w:r w:rsidRPr="00491688">
        <w:rPr>
          <w:rFonts w:asciiTheme="minorHAnsi" w:hAnsiTheme="minorHAnsi" w:cstheme="minorHAnsi"/>
        </w:rPr>
        <w:t xml:space="preserve">The </w:t>
      </w:r>
      <w:hyperlink r:id="rId7" w:history="1">
        <w:r w:rsidRPr="00491688">
          <w:rPr>
            <w:rStyle w:val="Hyperlink"/>
            <w:rFonts w:asciiTheme="minorHAnsi" w:hAnsiTheme="minorHAnsi" w:cstheme="minorHAnsi"/>
          </w:rPr>
          <w:t>ISCG mapping table of resolutions of PP, RA &amp; WRC, WTSA and WTDC</w:t>
        </w:r>
      </w:hyperlink>
      <w:r>
        <w:rPr>
          <w:rFonts w:asciiTheme="minorHAnsi" w:hAnsiTheme="minorHAnsi" w:cstheme="minorHAnsi"/>
        </w:rPr>
        <w:t xml:space="preserve"> </w:t>
      </w:r>
      <w:r w:rsidRPr="00491688">
        <w:rPr>
          <w:rFonts w:asciiTheme="minorHAnsi" w:hAnsiTheme="minorHAnsi" w:cstheme="minorHAnsi"/>
          <w:lang w:val="en-US"/>
        </w:rPr>
        <w:t xml:space="preserve">gives examples of a number of PP resolutions, having similar sectoral resolutions in all of the three sectors, among </w:t>
      </w:r>
      <w:r w:rsidRPr="00491688">
        <w:rPr>
          <w:rFonts w:asciiTheme="minorHAnsi" w:hAnsiTheme="minorHAnsi" w:cstheme="minorHAnsi"/>
          <w:lang w:val="en-US"/>
        </w:rPr>
        <w:lastRenderedPageBreak/>
        <w:t>them: 25, 58,70, 98, 123, 130, 135, 136,138, 140, 154, 168, 175, 176, 177, 182,, 191, 196, 197, 201, 208, 209.</w:t>
      </w:r>
    </w:p>
    <w:p w14:paraId="00FD5514" w14:textId="61763D8A" w:rsidR="005F296B" w:rsidRPr="00E12903" w:rsidRDefault="005F296B" w:rsidP="005F296B">
      <w:pPr>
        <w:jc w:val="both"/>
        <w:rPr>
          <w:rFonts w:asciiTheme="minorHAnsi" w:hAnsiTheme="minorHAnsi" w:cstheme="minorHAnsi"/>
          <w:lang w:val="en-US"/>
        </w:rPr>
      </w:pPr>
      <w:r w:rsidRPr="00491688">
        <w:rPr>
          <w:rFonts w:asciiTheme="minorHAnsi" w:hAnsiTheme="minorHAnsi" w:cstheme="minorHAnsi"/>
          <w:lang w:val="en-US"/>
        </w:rPr>
        <w:t>It seems appropriate to begin such an approach by testing the ordering of a small number of resolutions, for example, 70, 140, 154, 191</w:t>
      </w:r>
      <w:r>
        <w:rPr>
          <w:rFonts w:asciiTheme="minorHAnsi" w:hAnsiTheme="minorHAnsi" w:cstheme="minorHAnsi"/>
          <w:lang w:val="en-US"/>
        </w:rPr>
        <w:t xml:space="preserve">, </w:t>
      </w:r>
      <w:proofErr w:type="gramStart"/>
      <w:r>
        <w:rPr>
          <w:rFonts w:asciiTheme="minorHAnsi" w:hAnsiTheme="minorHAnsi" w:cstheme="minorHAnsi"/>
          <w:lang w:val="en-US"/>
        </w:rPr>
        <w:t>taking into account</w:t>
      </w:r>
      <w:proofErr w:type="gramEnd"/>
      <w:r>
        <w:rPr>
          <w:rFonts w:asciiTheme="minorHAnsi" w:hAnsiTheme="minorHAnsi" w:cstheme="minorHAnsi"/>
          <w:lang w:val="en-US"/>
        </w:rPr>
        <w:t xml:space="preserve"> the positive experience of streamlining the PP and WTDC resolutions </w:t>
      </w:r>
      <w:r w:rsidR="00E12903">
        <w:rPr>
          <w:rFonts w:asciiTheme="minorHAnsi" w:hAnsiTheme="minorHAnsi" w:cstheme="minorHAnsi"/>
          <w:lang w:val="en-US"/>
        </w:rPr>
        <w:t xml:space="preserve">by including relevant provisions to Resolution 1 WTDC and </w:t>
      </w:r>
      <w:r w:rsidR="00E12903" w:rsidRPr="00E12903">
        <w:rPr>
          <w:rFonts w:asciiTheme="minorHAnsi" w:hAnsiTheme="minorHAnsi" w:cstheme="minorHAnsi"/>
        </w:rPr>
        <w:t>abrogat</w:t>
      </w:r>
      <w:r w:rsidR="00E12903">
        <w:rPr>
          <w:rFonts w:asciiTheme="minorHAnsi" w:hAnsiTheme="minorHAnsi" w:cstheme="minorHAnsi"/>
        </w:rPr>
        <w:t>i</w:t>
      </w:r>
      <w:r w:rsidR="00951B02">
        <w:rPr>
          <w:rFonts w:asciiTheme="minorHAnsi" w:hAnsiTheme="minorHAnsi" w:cstheme="minorHAnsi"/>
        </w:rPr>
        <w:t>ng</w:t>
      </w:r>
      <w:r w:rsidR="00E12903">
        <w:rPr>
          <w:rFonts w:asciiTheme="minorHAnsi" w:hAnsiTheme="minorHAnsi" w:cstheme="minorHAnsi"/>
        </w:rPr>
        <w:t xml:space="preserve"> Resolutions 27, 61, 81 and 86 </w:t>
      </w:r>
      <w:r w:rsidR="00E12903" w:rsidRPr="00E12903">
        <w:rPr>
          <w:rFonts w:asciiTheme="minorHAnsi" w:hAnsiTheme="minorHAnsi" w:cstheme="minorHAnsi"/>
        </w:rPr>
        <w:t>by WTDC-22</w:t>
      </w:r>
      <w:r w:rsidR="00E12903">
        <w:rPr>
          <w:rFonts w:asciiTheme="minorHAnsi" w:hAnsiTheme="minorHAnsi" w:cstheme="minorHAnsi"/>
        </w:rPr>
        <w:t>.</w:t>
      </w:r>
    </w:p>
    <w:p w14:paraId="11B587FB" w14:textId="77777777" w:rsidR="005F296B" w:rsidRDefault="005F296B" w:rsidP="005F29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lang w:val="en-US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268"/>
        <w:gridCol w:w="2551"/>
      </w:tblGrid>
      <w:tr w:rsidR="005F296B" w:rsidRPr="002C4C63" w14:paraId="4EC787A9" w14:textId="77777777" w:rsidTr="002E7AB7">
        <w:trPr>
          <w:tblHeader/>
        </w:trPr>
        <w:tc>
          <w:tcPr>
            <w:tcW w:w="2268" w:type="dxa"/>
          </w:tcPr>
          <w:p w14:paraId="7C2E65FF" w14:textId="77777777" w:rsidR="005F296B" w:rsidRPr="00C56436" w:rsidRDefault="005F296B" w:rsidP="00FF03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PP </w:t>
            </w:r>
            <w:proofErr w:type="spellStart"/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Resolution</w:t>
            </w:r>
            <w:proofErr w:type="spellEnd"/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1B0BEDB9" w14:textId="77777777" w:rsidR="005F296B" w:rsidRPr="00C56436" w:rsidRDefault="005F296B" w:rsidP="00FF03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ITU-R Resolution</w:t>
            </w:r>
          </w:p>
        </w:tc>
        <w:tc>
          <w:tcPr>
            <w:tcW w:w="2268" w:type="dxa"/>
          </w:tcPr>
          <w:p w14:paraId="33AB9AAA" w14:textId="77777777" w:rsidR="005F296B" w:rsidRPr="00C56436" w:rsidRDefault="005F296B" w:rsidP="00FF03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WTSA </w:t>
            </w:r>
            <w:proofErr w:type="spellStart"/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Resolution</w:t>
            </w:r>
            <w:proofErr w:type="spellEnd"/>
          </w:p>
        </w:tc>
        <w:tc>
          <w:tcPr>
            <w:tcW w:w="2551" w:type="dxa"/>
          </w:tcPr>
          <w:p w14:paraId="59593809" w14:textId="77777777" w:rsidR="005F296B" w:rsidRPr="00C56436" w:rsidRDefault="005F296B" w:rsidP="00FF03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WTDC Resolution</w:t>
            </w:r>
          </w:p>
        </w:tc>
      </w:tr>
      <w:tr w:rsidR="005F296B" w:rsidRPr="002C4C63" w14:paraId="28246D51" w14:textId="77777777" w:rsidTr="002E7AB7">
        <w:tc>
          <w:tcPr>
            <w:tcW w:w="2268" w:type="dxa"/>
          </w:tcPr>
          <w:p w14:paraId="57AC48CB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70</w:t>
            </w:r>
          </w:p>
          <w:p w14:paraId="07716AE4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</w:pPr>
            <w:bookmarkStart w:id="3" w:name="_Toc406757666"/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Mainstreaming a gender perspective in ITU and promotion of gender equality and the empowerment of women through telecommunications/</w:t>
            </w:r>
            <w:bookmarkEnd w:id="3"/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information and communication technologies</w:t>
            </w:r>
          </w:p>
        </w:tc>
        <w:tc>
          <w:tcPr>
            <w:tcW w:w="1985" w:type="dxa"/>
          </w:tcPr>
          <w:p w14:paraId="251E69D2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72</w:t>
            </w:r>
          </w:p>
          <w:p w14:paraId="1ACE7196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Promoting gender equality and equity and bridging the contribution and participation gap between women and men in ITU-R activities</w:t>
            </w:r>
          </w:p>
        </w:tc>
        <w:tc>
          <w:tcPr>
            <w:tcW w:w="2268" w:type="dxa"/>
          </w:tcPr>
          <w:p w14:paraId="7CE8483A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Resolution 55 </w:t>
            </w:r>
          </w:p>
          <w:p w14:paraId="7627D6DF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Mainstreaming gender equality in ITU Telecommunication Standardization Sector activities</w:t>
            </w:r>
          </w:p>
        </w:tc>
        <w:tc>
          <w:tcPr>
            <w:tcW w:w="2551" w:type="dxa"/>
          </w:tcPr>
          <w:p w14:paraId="716B2850" w14:textId="77777777" w:rsidR="005F296B" w:rsidRPr="00C56436" w:rsidRDefault="005F296B" w:rsidP="00FF0394">
            <w:pPr>
              <w:autoSpaceDE/>
              <w:autoSpaceDN/>
              <w:adjustRightInd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Resolution 55 </w:t>
            </w:r>
          </w:p>
          <w:p w14:paraId="36F67648" w14:textId="77777777" w:rsidR="005F296B" w:rsidRPr="00C56436" w:rsidRDefault="005F296B" w:rsidP="00FF0394">
            <w:pPr>
              <w:spacing w:before="0"/>
              <w:ind w:right="-105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Mainstreaming a gender perspective in ITU to enhance women's empowerment through telecommunications/ICTs</w:t>
            </w:r>
          </w:p>
        </w:tc>
      </w:tr>
      <w:tr w:rsidR="005F296B" w:rsidRPr="002C4C63" w14:paraId="285DC2FA" w14:textId="77777777" w:rsidTr="002E7AB7">
        <w:tc>
          <w:tcPr>
            <w:tcW w:w="2268" w:type="dxa"/>
          </w:tcPr>
          <w:p w14:paraId="18828901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140</w:t>
            </w:r>
          </w:p>
          <w:p w14:paraId="62CEB744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ITU’s role in implementing the outcomes of the World Summit on the Information Society and the 2030 Agenda for Sustainable Development, as well as in their follow-up and review process</w:t>
            </w:r>
          </w:p>
        </w:tc>
        <w:tc>
          <w:tcPr>
            <w:tcW w:w="1985" w:type="dxa"/>
          </w:tcPr>
          <w:p w14:paraId="2F59859E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61</w:t>
            </w:r>
          </w:p>
          <w:p w14:paraId="1867D70B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ITU-R’s contribution in implementing the outcomes of the World Summit on the Information Society and the 2030 Agenda for Sustainable Development</w:t>
            </w:r>
          </w:p>
        </w:tc>
        <w:tc>
          <w:tcPr>
            <w:tcW w:w="2268" w:type="dxa"/>
          </w:tcPr>
          <w:p w14:paraId="62B16FE6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75</w:t>
            </w:r>
          </w:p>
          <w:p w14:paraId="4C1EBF84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</w:pPr>
            <w:hyperlink w:anchor="_Toc111638463" w:history="1">
              <w:r w:rsidRPr="00C56436">
                <w:rPr>
                  <w:rFonts w:asciiTheme="minorHAnsi" w:eastAsiaTheme="minorEastAsia" w:hAnsiTheme="minorHAnsi" w:cstheme="minorHAnsi"/>
                  <w:b w:val="0"/>
                  <w:sz w:val="22"/>
                  <w:lang w:eastAsia="ko-KR"/>
                </w:rPr>
                <w:t xml:space="preserve">The ITU Telecommunication Standardization Sector's contribution in implementing the outcomes of the </w:t>
              </w:r>
              <w:r w:rsidRPr="00C56436">
                <w:rPr>
                  <w:rFonts w:asciiTheme="minorHAnsi" w:eastAsiaTheme="minorEastAsia" w:hAnsiTheme="minorHAnsi" w:cstheme="minorHAnsi"/>
                  <w:b w:val="0"/>
                  <w:sz w:val="22"/>
                  <w:lang w:eastAsia="ko-KR"/>
                </w:rPr>
                <w:br/>
                <w:t>World Summit on the Information Society, taking into account the 2030 Agenda for Sustainable Development</w:t>
              </w:r>
            </w:hyperlink>
          </w:p>
        </w:tc>
        <w:tc>
          <w:tcPr>
            <w:tcW w:w="2551" w:type="dxa"/>
          </w:tcPr>
          <w:p w14:paraId="52A6198C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30</w:t>
            </w:r>
          </w:p>
          <w:p w14:paraId="492EED98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b w:val="0"/>
                <w:bCs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Role of the ITU Telecommunication Development Sector in implementing the outcomes of the World Summit on the Information Society and the 2030 Agenda for Sustainable Development</w:t>
            </w:r>
          </w:p>
        </w:tc>
      </w:tr>
      <w:tr w:rsidR="005F296B" w:rsidRPr="002C4C63" w14:paraId="49EC4D81" w14:textId="77777777" w:rsidTr="002E7AB7">
        <w:tc>
          <w:tcPr>
            <w:tcW w:w="2268" w:type="dxa"/>
          </w:tcPr>
          <w:p w14:paraId="300DB3BC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154</w:t>
            </w:r>
          </w:p>
          <w:p w14:paraId="18B4EEA5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</w:pPr>
            <w:bookmarkStart w:id="4" w:name="_Toc406757714"/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Use of the six official languages of the Union on an equal footing</w:t>
            </w:r>
            <w:bookmarkEnd w:id="4"/>
          </w:p>
          <w:p w14:paraId="7033DE05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10D95ADC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36</w:t>
            </w:r>
          </w:p>
          <w:p w14:paraId="7D7F52E7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b w:val="0"/>
                <w:bCs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Coordination of vocabulary in the six official languages of the Union on an equal footing in the ITU Radiocommunication Sector</w:t>
            </w:r>
          </w:p>
        </w:tc>
        <w:tc>
          <w:tcPr>
            <w:tcW w:w="2268" w:type="dxa"/>
          </w:tcPr>
          <w:p w14:paraId="189C75D6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67</w:t>
            </w:r>
          </w:p>
          <w:p w14:paraId="4561476B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Use in the ITU Telecommunication Standardization Sector of the six official languages of the Union on an equal footing and the Standardization Committee for Vocabulary</w:t>
            </w:r>
          </w:p>
        </w:tc>
        <w:tc>
          <w:tcPr>
            <w:tcW w:w="2551" w:type="dxa"/>
          </w:tcPr>
          <w:p w14:paraId="3FFDA1F2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1</w:t>
            </w:r>
          </w:p>
          <w:p w14:paraId="003AA519" w14:textId="77777777" w:rsidR="008A371D" w:rsidRDefault="005F296B" w:rsidP="008A371D">
            <w:pPr>
              <w:pStyle w:val="Restitle"/>
              <w:spacing w:before="0"/>
              <w:ind w:right="-246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lang w:val="en-US" w:eastAsia="ko-KR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Rules of procedure of the ITU Telecommunication Development Sector</w:t>
            </w:r>
            <w:r w:rsidR="008A371D" w:rsidRPr="008A371D">
              <w:rPr>
                <w:rFonts w:asciiTheme="minorHAnsi" w:eastAsiaTheme="minorEastAsia" w:hAnsiTheme="minorHAnsi" w:cstheme="minorHAnsi"/>
                <w:b w:val="0"/>
                <w:sz w:val="22"/>
                <w:lang w:val="en-US" w:eastAsia="ko-KR"/>
              </w:rPr>
              <w:t xml:space="preserve">, </w:t>
            </w:r>
          </w:p>
          <w:p w14:paraId="64DC5DF0" w14:textId="77777777" w:rsidR="005F296B" w:rsidRDefault="008A371D" w:rsidP="008A371D">
            <w:pPr>
              <w:pStyle w:val="Restitle"/>
              <w:spacing w:before="0"/>
              <w:ind w:right="-105"/>
              <w:jc w:val="left"/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</w:pPr>
            <w:r w:rsidRPr="008A371D">
              <w:rPr>
                <w:rFonts w:asciiTheme="minorHAnsi" w:eastAsia="Times New Roman" w:hAnsiTheme="minorHAnsi" w:cstheme="minorHAnsi"/>
                <w:bCs/>
                <w:sz w:val="22"/>
                <w:lang w:val="en-US"/>
              </w:rPr>
              <w:t xml:space="preserve">SECTION 12 </w:t>
            </w:r>
            <w:r w:rsidRPr="008A371D"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>– Coordination of work on terminology</w:t>
            </w:r>
            <w:r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>.</w:t>
            </w:r>
            <w:r w:rsidRPr="008A371D"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>(</w:t>
            </w:r>
            <w:r w:rsidR="005F296B" w:rsidRPr="008A371D"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 xml:space="preserve">after </w:t>
            </w:r>
            <w:r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>the abrogat</w:t>
            </w:r>
            <w:r w:rsidR="005F296B" w:rsidRPr="008A371D"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 xml:space="preserve">ion of WTDC Resolution 86 on </w:t>
            </w:r>
            <w:r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>u</w:t>
            </w:r>
            <w:r w:rsidR="005F296B" w:rsidRPr="008A371D">
              <w:rPr>
                <w:rFonts w:asciiTheme="minorHAnsi" w:eastAsia="Times New Roman" w:hAnsiTheme="minorHAnsi" w:cstheme="minorHAnsi"/>
                <w:b w:val="0"/>
                <w:sz w:val="22"/>
                <w:lang w:val="en-US"/>
              </w:rPr>
              <w:t>se in the ITU Telecommunication Development Sector of the languages of the Union on an equal footing at WTDC-22)</w:t>
            </w:r>
          </w:p>
          <w:p w14:paraId="750CA052" w14:textId="77777777" w:rsidR="002E7AB7" w:rsidRDefault="002E7AB7" w:rsidP="002E7AB7">
            <w:pPr>
              <w:rPr>
                <w:rFonts w:eastAsiaTheme="minorEastAsia"/>
                <w:lang w:val="en-US"/>
              </w:rPr>
            </w:pPr>
          </w:p>
          <w:p w14:paraId="006F53BE" w14:textId="77777777" w:rsidR="002E7AB7" w:rsidRPr="002E7AB7" w:rsidRDefault="002E7AB7" w:rsidP="002E7AB7">
            <w:pPr>
              <w:rPr>
                <w:rFonts w:eastAsiaTheme="minorEastAsia"/>
                <w:lang w:val="en-US"/>
              </w:rPr>
            </w:pPr>
          </w:p>
        </w:tc>
      </w:tr>
      <w:tr w:rsidR="005F296B" w:rsidRPr="002C4C63" w14:paraId="52D26129" w14:textId="77777777" w:rsidTr="002E7AB7">
        <w:tc>
          <w:tcPr>
            <w:tcW w:w="2268" w:type="dxa"/>
          </w:tcPr>
          <w:p w14:paraId="09663186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Resolution 191</w:t>
            </w: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0869096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Strategy for the coordination of efforts among the three Sectors of the Union</w:t>
            </w:r>
          </w:p>
        </w:tc>
        <w:tc>
          <w:tcPr>
            <w:tcW w:w="1985" w:type="dxa"/>
          </w:tcPr>
          <w:p w14:paraId="35659918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75</w:t>
            </w:r>
          </w:p>
          <w:p w14:paraId="15AEF5F4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Strengthening coordination and cooperation among the three ITU Sectors on matters of mutual interest</w:t>
            </w:r>
          </w:p>
        </w:tc>
        <w:tc>
          <w:tcPr>
            <w:tcW w:w="2268" w:type="dxa"/>
          </w:tcPr>
          <w:p w14:paraId="741E4903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18</w:t>
            </w:r>
          </w:p>
          <w:p w14:paraId="48E3DAD8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b w:val="0"/>
                <w:bCs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Strengthening coordination and cooperation among the three ITU Sectors on matters of mutual interest</w:t>
            </w:r>
          </w:p>
        </w:tc>
        <w:tc>
          <w:tcPr>
            <w:tcW w:w="2551" w:type="dxa"/>
          </w:tcPr>
          <w:p w14:paraId="684F79E4" w14:textId="77777777" w:rsidR="005F296B" w:rsidRPr="00C56436" w:rsidRDefault="005F296B" w:rsidP="00FF0394">
            <w:pPr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C56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Resolution 59</w:t>
            </w:r>
          </w:p>
          <w:p w14:paraId="4C040F79" w14:textId="77777777" w:rsidR="005F296B" w:rsidRPr="00C56436" w:rsidRDefault="005F296B" w:rsidP="00FF0394">
            <w:pPr>
              <w:pStyle w:val="Restitle"/>
              <w:spacing w:before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C56436">
              <w:rPr>
                <w:rFonts w:asciiTheme="minorHAnsi" w:eastAsiaTheme="minorEastAsia" w:hAnsiTheme="minorHAnsi" w:cstheme="minorHAnsi"/>
                <w:b w:val="0"/>
                <w:sz w:val="22"/>
                <w:lang w:eastAsia="ko-KR"/>
              </w:rPr>
              <w:t>Strengthening coordination and cooperation among the three ITU Sectors on matters of mutual interest</w:t>
            </w:r>
          </w:p>
        </w:tc>
      </w:tr>
    </w:tbl>
    <w:p w14:paraId="6BE63151" w14:textId="77777777" w:rsidR="005F296B" w:rsidRPr="00B22CF6" w:rsidRDefault="005F296B" w:rsidP="005F29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</w:pPr>
    </w:p>
    <w:p w14:paraId="78FEDEF1" w14:textId="77777777" w:rsidR="005F296B" w:rsidRPr="001E064E" w:rsidRDefault="005F296B" w:rsidP="005F296B">
      <w:pPr>
        <w:rPr>
          <w:b/>
          <w:bCs/>
          <w:lang w:val="en-AU"/>
        </w:rPr>
      </w:pPr>
      <w:r>
        <w:rPr>
          <w:b/>
          <w:bCs/>
          <w:lang w:val="en-US"/>
        </w:rPr>
        <w:t>II</w:t>
      </w:r>
      <w:r>
        <w:rPr>
          <w:b/>
          <w:bCs/>
          <w:lang w:val="en-US"/>
        </w:rPr>
        <w:tab/>
      </w:r>
      <w:r w:rsidRPr="001E064E">
        <w:rPr>
          <w:b/>
          <w:bCs/>
          <w:lang w:val="en-AU"/>
        </w:rPr>
        <w:t>Proposal</w:t>
      </w:r>
      <w:r>
        <w:rPr>
          <w:b/>
          <w:bCs/>
          <w:lang w:val="en-AU"/>
        </w:rPr>
        <w:t>s</w:t>
      </w:r>
    </w:p>
    <w:p w14:paraId="64BBC0C1" w14:textId="7F9614E1" w:rsidR="005F296B" w:rsidRPr="000450C3" w:rsidRDefault="005F296B" w:rsidP="00F554BD">
      <w:pPr>
        <w:jc w:val="both"/>
        <w:rPr>
          <w:lang w:val="en-US"/>
        </w:rPr>
      </w:pPr>
      <w:r w:rsidRPr="00E646F7">
        <w:rPr>
          <w:lang w:val="en-AU"/>
        </w:rPr>
        <w:t>1</w:t>
      </w:r>
      <w:r w:rsidR="00E21E9B">
        <w:rPr>
          <w:lang w:val="en-AU"/>
        </w:rPr>
        <w:t xml:space="preserve">. </w:t>
      </w:r>
      <w:r w:rsidRPr="00E646F7">
        <w:rPr>
          <w:lang w:val="en-AU"/>
        </w:rPr>
        <w:t xml:space="preserve">To consider </w:t>
      </w:r>
      <w:r>
        <w:rPr>
          <w:lang w:val="en-AU"/>
        </w:rPr>
        <w:t xml:space="preserve">the </w:t>
      </w:r>
      <w:r w:rsidR="008A371D">
        <w:rPr>
          <w:lang w:val="en-AU"/>
        </w:rPr>
        <w:t>above-mentioned</w:t>
      </w:r>
      <w:r w:rsidRPr="00E646F7">
        <w:rPr>
          <w:lang w:val="en-AU"/>
        </w:rPr>
        <w:t xml:space="preserve"> and</w:t>
      </w:r>
      <w:r>
        <w:rPr>
          <w:lang w:val="en-AU"/>
        </w:rPr>
        <w:t xml:space="preserve"> preliminary</w:t>
      </w:r>
      <w:r w:rsidRPr="00E646F7">
        <w:rPr>
          <w:lang w:val="en-AU"/>
        </w:rPr>
        <w:t xml:space="preserve"> </w:t>
      </w:r>
      <w:r>
        <w:rPr>
          <w:lang w:val="en-AU"/>
        </w:rPr>
        <w:t xml:space="preserve">indicate </w:t>
      </w:r>
      <w:r w:rsidRPr="00E646F7">
        <w:rPr>
          <w:lang w:val="en-AU"/>
        </w:rPr>
        <w:t xml:space="preserve">some </w:t>
      </w:r>
      <w:r>
        <w:rPr>
          <w:lang w:val="en-US"/>
        </w:rPr>
        <w:t>PP</w:t>
      </w:r>
      <w:r w:rsidRPr="00E646F7">
        <w:rPr>
          <w:lang w:val="en-AU"/>
        </w:rPr>
        <w:t xml:space="preserve"> resolutions that </w:t>
      </w:r>
      <w:r>
        <w:rPr>
          <w:lang w:val="en-US"/>
        </w:rPr>
        <w:t xml:space="preserve">could be modified at PP-26 </w:t>
      </w:r>
      <w:r w:rsidRPr="000450C3">
        <w:rPr>
          <w:lang w:val="en-US"/>
        </w:rPr>
        <w:t xml:space="preserve">to cover the interests of all sectors </w:t>
      </w:r>
      <w:r>
        <w:rPr>
          <w:lang w:val="en-US"/>
        </w:rPr>
        <w:t xml:space="preserve">and </w:t>
      </w:r>
      <w:r w:rsidR="008A371D">
        <w:rPr>
          <w:lang w:val="en-US"/>
        </w:rPr>
        <w:t>relevant</w:t>
      </w:r>
      <w:r>
        <w:rPr>
          <w:lang w:val="en-US"/>
        </w:rPr>
        <w:t xml:space="preserve"> provisions of Sectoral resolutions </w:t>
      </w:r>
      <w:r w:rsidRPr="000450C3">
        <w:rPr>
          <w:lang w:val="en-US"/>
        </w:rPr>
        <w:t xml:space="preserve">with </w:t>
      </w:r>
      <w:r>
        <w:rPr>
          <w:lang w:val="en-US"/>
        </w:rPr>
        <w:t>following suppression</w:t>
      </w:r>
      <w:r w:rsidRPr="000450C3">
        <w:rPr>
          <w:lang w:val="en-US"/>
        </w:rPr>
        <w:t xml:space="preserve"> or significantly reduc</w:t>
      </w:r>
      <w:r>
        <w:rPr>
          <w:lang w:val="en-US"/>
        </w:rPr>
        <w:t>tion</w:t>
      </w:r>
      <w:r w:rsidRPr="000450C3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0450C3">
        <w:rPr>
          <w:lang w:val="en-US"/>
        </w:rPr>
        <w:t xml:space="preserve">relevant </w:t>
      </w:r>
      <w:r>
        <w:rPr>
          <w:lang w:val="en-US"/>
        </w:rPr>
        <w:t>S</w:t>
      </w:r>
      <w:r w:rsidRPr="000450C3">
        <w:rPr>
          <w:lang w:val="en-US"/>
        </w:rPr>
        <w:t>ectoral resolutions</w:t>
      </w:r>
      <w:r>
        <w:rPr>
          <w:lang w:val="en-US"/>
        </w:rPr>
        <w:t>.</w:t>
      </w:r>
    </w:p>
    <w:p w14:paraId="11DE9A09" w14:textId="3B7F7625" w:rsidR="005F296B" w:rsidRDefault="005F296B" w:rsidP="00F554BD">
      <w:pPr>
        <w:jc w:val="both"/>
        <w:rPr>
          <w:lang w:val="en-AU"/>
        </w:rPr>
      </w:pPr>
      <w:r>
        <w:rPr>
          <w:lang w:val="en-AU"/>
        </w:rPr>
        <w:t>2.</w:t>
      </w:r>
      <w:r w:rsidR="00E21E9B">
        <w:rPr>
          <w:lang w:val="en-AU"/>
        </w:rPr>
        <w:t xml:space="preserve"> </w:t>
      </w:r>
      <w:r>
        <w:rPr>
          <w:lang w:val="en-AU"/>
        </w:rPr>
        <w:t xml:space="preserve">To </w:t>
      </w:r>
      <w:r w:rsidRPr="00E646F7">
        <w:rPr>
          <w:lang w:val="en-AU"/>
        </w:rPr>
        <w:t xml:space="preserve">consider the feasibility of creating a new </w:t>
      </w:r>
      <w:r>
        <w:rPr>
          <w:lang w:val="en-AU"/>
        </w:rPr>
        <w:t>topic for certain working bodies at ISCG, RAG, TSAG, TDAG, as appropriate, for</w:t>
      </w:r>
      <w:r w:rsidRPr="00E646F7">
        <w:rPr>
          <w:lang w:val="en-AU"/>
        </w:rPr>
        <w:t xml:space="preserve"> preparation for </w:t>
      </w:r>
      <w:r>
        <w:rPr>
          <w:lang w:val="en-AU"/>
        </w:rPr>
        <w:t>PP</w:t>
      </w:r>
      <w:r w:rsidRPr="00E646F7">
        <w:rPr>
          <w:lang w:val="en-AU"/>
        </w:rPr>
        <w:t>-26</w:t>
      </w:r>
      <w:r>
        <w:rPr>
          <w:lang w:val="en-AU"/>
        </w:rPr>
        <w:t xml:space="preserve"> and following RA-27, WTSA-28 and WTDC-29</w:t>
      </w:r>
      <w:r w:rsidR="00541AE3">
        <w:rPr>
          <w:lang w:val="en-AU"/>
        </w:rPr>
        <w:t>,</w:t>
      </w:r>
      <w:r w:rsidRPr="00E646F7">
        <w:rPr>
          <w:lang w:val="en-AU"/>
        </w:rPr>
        <w:t xml:space="preserve"> </w:t>
      </w:r>
      <w:proofErr w:type="gramStart"/>
      <w:r w:rsidRPr="00E646F7">
        <w:rPr>
          <w:lang w:val="en-AU"/>
        </w:rPr>
        <w:t>in order to</w:t>
      </w:r>
      <w:proofErr w:type="gramEnd"/>
      <w:r w:rsidRPr="00E646F7">
        <w:rPr>
          <w:lang w:val="en-AU"/>
        </w:rPr>
        <w:t xml:space="preserve"> streamline </w:t>
      </w:r>
      <w:r>
        <w:rPr>
          <w:lang w:val="en-AU"/>
        </w:rPr>
        <w:t>PP</w:t>
      </w:r>
      <w:r w:rsidRPr="00E646F7">
        <w:rPr>
          <w:lang w:val="en-AU"/>
        </w:rPr>
        <w:t xml:space="preserve"> and </w:t>
      </w:r>
      <w:r>
        <w:rPr>
          <w:lang w:val="en-AU"/>
        </w:rPr>
        <w:t>S</w:t>
      </w:r>
      <w:r w:rsidRPr="00E646F7">
        <w:rPr>
          <w:lang w:val="en-AU"/>
        </w:rPr>
        <w:t>ector</w:t>
      </w:r>
      <w:r>
        <w:rPr>
          <w:lang w:val="en-AU"/>
        </w:rPr>
        <w:t>al</w:t>
      </w:r>
      <w:r w:rsidRPr="00E646F7">
        <w:rPr>
          <w:lang w:val="en-AU"/>
        </w:rPr>
        <w:t xml:space="preserve"> resolutions</w:t>
      </w:r>
      <w:r>
        <w:rPr>
          <w:lang w:val="en-AU"/>
        </w:rPr>
        <w:t>.</w:t>
      </w:r>
    </w:p>
    <w:p w14:paraId="23C810A8" w14:textId="643CE7B3" w:rsidR="005F296B" w:rsidRPr="00E646F7" w:rsidRDefault="005F296B" w:rsidP="00F554BD">
      <w:pPr>
        <w:jc w:val="both"/>
        <w:rPr>
          <w:lang w:val="en-AU"/>
        </w:rPr>
      </w:pPr>
      <w:r>
        <w:rPr>
          <w:lang w:val="en-AU"/>
        </w:rPr>
        <w:t>3</w:t>
      </w:r>
      <w:r w:rsidR="00541AE3">
        <w:rPr>
          <w:lang w:val="en-AU"/>
        </w:rPr>
        <w:t xml:space="preserve">. </w:t>
      </w:r>
      <w:r w:rsidRPr="00E646F7">
        <w:rPr>
          <w:lang w:val="en-AU"/>
        </w:rPr>
        <w:t xml:space="preserve">To invite ITU members to actively participate in the preparations for the </w:t>
      </w:r>
      <w:r>
        <w:rPr>
          <w:lang w:val="en-AU"/>
        </w:rPr>
        <w:t>PP-26 and following RA-27, WTSA-28 and WTDC-29</w:t>
      </w:r>
      <w:r w:rsidRPr="00E646F7">
        <w:rPr>
          <w:lang w:val="en-AU"/>
        </w:rPr>
        <w:t xml:space="preserve">, </w:t>
      </w:r>
      <w:proofErr w:type="gramStart"/>
      <w:r w:rsidRPr="00E646F7">
        <w:rPr>
          <w:lang w:val="en-AU"/>
        </w:rPr>
        <w:t>taking into account</w:t>
      </w:r>
      <w:proofErr w:type="gramEnd"/>
      <w:r w:rsidRPr="00E646F7">
        <w:rPr>
          <w:lang w:val="en-AU"/>
        </w:rPr>
        <w:t xml:space="preserve"> the need to amend the relevant </w:t>
      </w:r>
      <w:r>
        <w:rPr>
          <w:lang w:val="en-AU"/>
        </w:rPr>
        <w:t>PP</w:t>
      </w:r>
      <w:r w:rsidRPr="00E646F7">
        <w:rPr>
          <w:lang w:val="en-AU"/>
        </w:rPr>
        <w:t xml:space="preserve"> resolutions to reflect the interests of </w:t>
      </w:r>
      <w:r>
        <w:rPr>
          <w:lang w:val="en-AU"/>
        </w:rPr>
        <w:t xml:space="preserve">ITU-R, </w:t>
      </w:r>
      <w:r w:rsidRPr="00E646F7">
        <w:rPr>
          <w:lang w:val="en-AU"/>
        </w:rPr>
        <w:t>ITU-T</w:t>
      </w:r>
      <w:r>
        <w:rPr>
          <w:lang w:val="en-AU"/>
        </w:rPr>
        <w:t xml:space="preserve"> and ITU-D</w:t>
      </w:r>
      <w:r w:rsidRPr="00E646F7">
        <w:rPr>
          <w:lang w:val="en-AU"/>
        </w:rPr>
        <w:t>.</w:t>
      </w:r>
    </w:p>
    <w:bookmarkEnd w:id="2"/>
    <w:p w14:paraId="4D33B826" w14:textId="03B007B9" w:rsidR="008A371D" w:rsidRPr="001E064E" w:rsidRDefault="008A371D" w:rsidP="00F554BD">
      <w:pPr>
        <w:jc w:val="both"/>
        <w:rPr>
          <w:lang w:val="en-AU"/>
        </w:rPr>
      </w:pPr>
      <w:r>
        <w:rPr>
          <w:lang w:val="en-AU"/>
        </w:rPr>
        <w:t>4</w:t>
      </w:r>
      <w:r w:rsidR="003E34DA">
        <w:rPr>
          <w:lang w:val="en-AU"/>
        </w:rPr>
        <w:t xml:space="preserve">. </w:t>
      </w:r>
      <w:r w:rsidRPr="00E646F7">
        <w:rPr>
          <w:lang w:val="en-AU"/>
        </w:rPr>
        <w:t xml:space="preserve">Based on the decisions of PP-26, to continue the work carried out by </w:t>
      </w:r>
      <w:r w:rsidR="003E34DA">
        <w:rPr>
          <w:lang w:val="en-AU"/>
        </w:rPr>
        <w:t xml:space="preserve">the Sector </w:t>
      </w:r>
      <w:r>
        <w:rPr>
          <w:lang w:val="en-AU"/>
        </w:rPr>
        <w:t xml:space="preserve">advisory groups </w:t>
      </w:r>
      <w:r w:rsidRPr="00E646F7">
        <w:rPr>
          <w:lang w:val="en-AU"/>
        </w:rPr>
        <w:t xml:space="preserve">on streamlining the relevant </w:t>
      </w:r>
      <w:r>
        <w:rPr>
          <w:lang w:val="en-AU"/>
        </w:rPr>
        <w:t>Sectoral</w:t>
      </w:r>
      <w:r w:rsidRPr="00E646F7">
        <w:rPr>
          <w:lang w:val="en-AU"/>
        </w:rPr>
        <w:t xml:space="preserve"> and </w:t>
      </w:r>
      <w:r>
        <w:rPr>
          <w:lang w:val="en-AU"/>
        </w:rPr>
        <w:t>PP</w:t>
      </w:r>
      <w:r w:rsidRPr="00E646F7">
        <w:rPr>
          <w:lang w:val="en-AU"/>
        </w:rPr>
        <w:t xml:space="preserve"> resolutions </w:t>
      </w:r>
      <w:r w:rsidRPr="009E3F8E">
        <w:rPr>
          <w:lang w:val="en-AU"/>
        </w:rPr>
        <w:t xml:space="preserve">in preparation for </w:t>
      </w:r>
      <w:r w:rsidR="009E3F8E" w:rsidRPr="009E3F8E">
        <w:rPr>
          <w:lang w:val="en-AU"/>
        </w:rPr>
        <w:t>RA</w:t>
      </w:r>
      <w:r w:rsidR="0048691C" w:rsidRPr="009E3F8E">
        <w:rPr>
          <w:lang w:val="en-AU"/>
        </w:rPr>
        <w:t>-27, WTSA-28 and WTDC-29</w:t>
      </w:r>
      <w:r w:rsidRPr="009E3F8E">
        <w:rPr>
          <w:lang w:val="en-AU"/>
        </w:rPr>
        <w:t>.</w:t>
      </w:r>
    </w:p>
    <w:p w14:paraId="542C6FB5" w14:textId="77777777" w:rsidR="005F296B" w:rsidRPr="001E064E" w:rsidRDefault="005F296B" w:rsidP="005F296B">
      <w:pPr>
        <w:rPr>
          <w:lang w:val="en-AU"/>
        </w:rPr>
      </w:pPr>
    </w:p>
    <w:p w14:paraId="47C64DCB" w14:textId="77777777" w:rsidR="00374A74" w:rsidRPr="005F296B" w:rsidRDefault="00374A74">
      <w:pPr>
        <w:rPr>
          <w:lang w:val="en-AU"/>
        </w:rPr>
      </w:pPr>
    </w:p>
    <w:sectPr w:rsidR="00374A74" w:rsidRPr="005F296B" w:rsidSect="005F296B">
      <w:headerReference w:type="first" r:id="rId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058F" w14:textId="77777777" w:rsidR="00E84FC7" w:rsidRDefault="00E84FC7">
      <w:pPr>
        <w:spacing w:before="0"/>
      </w:pPr>
      <w:r>
        <w:separator/>
      </w:r>
    </w:p>
  </w:endnote>
  <w:endnote w:type="continuationSeparator" w:id="0">
    <w:p w14:paraId="71078CC8" w14:textId="77777777" w:rsidR="00E84FC7" w:rsidRDefault="00E84F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8679" w14:textId="77777777" w:rsidR="00E84FC7" w:rsidRDefault="00E84FC7">
      <w:pPr>
        <w:spacing w:before="0"/>
      </w:pPr>
      <w:r>
        <w:separator/>
      </w:r>
    </w:p>
  </w:footnote>
  <w:footnote w:type="continuationSeparator" w:id="0">
    <w:p w14:paraId="0B1774B3" w14:textId="77777777" w:rsidR="00E84FC7" w:rsidRDefault="00E84F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FF0394" w:rsidRPr="00784011" w14:paraId="3F4E3B56" w14:textId="77777777" w:rsidTr="00FF0394">
      <w:trPr>
        <w:trHeight w:val="1304"/>
        <w:jc w:val="center"/>
      </w:trPr>
      <w:tc>
        <w:tcPr>
          <w:tcW w:w="6546" w:type="dxa"/>
        </w:tcPr>
        <w:p w14:paraId="1D228D6E" w14:textId="77777777" w:rsidR="00FF0394" w:rsidRPr="009621F8" w:rsidRDefault="00FF0394" w:rsidP="00FF0394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5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ABFF38" wp14:editId="5A6AD784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73A97" w14:textId="77777777" w:rsidR="00FF0394" w:rsidRDefault="00FF0394" w:rsidP="00FF0394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Inter-Sector Coordination Group (ISCG)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on issues of mutual interest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>Geneva, 28 May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ABFF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11173A97" w14:textId="77777777" w:rsidR="00FF0394" w:rsidRDefault="00FF0394" w:rsidP="00FF0394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Inter-Sector Coordination Group (ISCG)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28 May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  <w:lang w:val="ru-RU" w:eastAsia="ru-RU"/>
            </w:rPr>
            <w:drawing>
              <wp:inline distT="0" distB="0" distL="0" distR="0" wp14:anchorId="4FDACA6E" wp14:editId="1794B1E2">
                <wp:extent cx="3671597" cy="612000"/>
                <wp:effectExtent l="0" t="0" r="0" b="0"/>
                <wp:docPr id="1531934467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1988223" w14:textId="77777777" w:rsidR="00FF0394" w:rsidRDefault="00FF0394" w:rsidP="00FF0394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2C55600" w14:textId="77777777" w:rsidR="00FF0394" w:rsidRDefault="00FF0394" w:rsidP="00FF0394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7811D4F" w14:textId="77777777" w:rsidR="00FF0394" w:rsidRPr="00784011" w:rsidRDefault="00FF0394" w:rsidP="00FF0394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5"/>
  <w:p w14:paraId="374731B4" w14:textId="77777777" w:rsidR="00FF0394" w:rsidRPr="00B01EFE" w:rsidRDefault="00FF0394" w:rsidP="00FF0394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8EF5D" wp14:editId="40838878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0795C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6B"/>
    <w:rsid w:val="000D02C6"/>
    <w:rsid w:val="00112648"/>
    <w:rsid w:val="002E7AB7"/>
    <w:rsid w:val="00374A74"/>
    <w:rsid w:val="003E34DA"/>
    <w:rsid w:val="00482BC2"/>
    <w:rsid w:val="0048691C"/>
    <w:rsid w:val="00541AE3"/>
    <w:rsid w:val="005F296B"/>
    <w:rsid w:val="00791E08"/>
    <w:rsid w:val="007A6762"/>
    <w:rsid w:val="007C720F"/>
    <w:rsid w:val="008A371D"/>
    <w:rsid w:val="008C631D"/>
    <w:rsid w:val="00951B02"/>
    <w:rsid w:val="009E1222"/>
    <w:rsid w:val="009E1472"/>
    <w:rsid w:val="009E3F8E"/>
    <w:rsid w:val="00B52C08"/>
    <w:rsid w:val="00D13B79"/>
    <w:rsid w:val="00E12903"/>
    <w:rsid w:val="00E21E9B"/>
    <w:rsid w:val="00E84FC7"/>
    <w:rsid w:val="00F554BD"/>
    <w:rsid w:val="00FF0394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274C"/>
  <w15:chartTrackingRefBased/>
  <w15:docId w15:val="{CDF044EE-A890-416A-AFCC-DF9DE27F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6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9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9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9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9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9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9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9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9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9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F296B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F296B"/>
    <w:rPr>
      <w:rFonts w:ascii="Calibri" w:eastAsia="Times New Roman" w:hAnsi="Calibri" w:cs="Times New Roman"/>
      <w:color w:val="7F7F7F" w:themeColor="text1" w:themeTint="80"/>
      <w:sz w:val="18"/>
      <w:szCs w:val="20"/>
      <w:lang w:val="en-GB"/>
    </w:rPr>
  </w:style>
  <w:style w:type="table" w:styleId="TableGrid">
    <w:name w:val="Table Grid"/>
    <w:basedOn w:val="TableNormal"/>
    <w:uiPriority w:val="39"/>
    <w:rsid w:val="005F296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F296B"/>
    <w:rPr>
      <w:color w:val="0563C1"/>
      <w:u w:val="single"/>
    </w:rPr>
  </w:style>
  <w:style w:type="character" w:customStyle="1" w:styleId="RestitleChar">
    <w:name w:val="Res_title Char"/>
    <w:basedOn w:val="DefaultParagraphFont"/>
    <w:link w:val="Restitle"/>
    <w:locked/>
    <w:rsid w:val="005F296B"/>
    <w:rPr>
      <w:rFonts w:ascii="Times New Roman" w:hAnsi="Times New Roman" w:cs="Times New Roman"/>
      <w:b/>
      <w:sz w:val="26"/>
      <w:lang w:val="en-GB"/>
    </w:rPr>
  </w:style>
  <w:style w:type="paragraph" w:customStyle="1" w:styleId="Restitle">
    <w:name w:val="Res_title"/>
    <w:basedOn w:val="Normal"/>
    <w:next w:val="Normal"/>
    <w:link w:val="RestitleChar"/>
    <w:rsid w:val="005F296B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360"/>
      <w:jc w:val="center"/>
      <w:textAlignment w:val="auto"/>
    </w:pPr>
    <w:rPr>
      <w:rFonts w:ascii="Times New Roman" w:eastAsiaTheme="minorHAnsi" w:hAnsi="Times New Roman"/>
      <w:b/>
      <w:sz w:val="26"/>
      <w:szCs w:val="22"/>
    </w:rPr>
  </w:style>
  <w:style w:type="character" w:styleId="PlaceholderText">
    <w:name w:val="Placeholder Text"/>
    <w:basedOn w:val="DefaultParagraphFont"/>
    <w:uiPriority w:val="99"/>
    <w:semiHidden/>
    <w:rsid w:val="005F296B"/>
  </w:style>
  <w:style w:type="paragraph" w:customStyle="1" w:styleId="Source">
    <w:name w:val="Source"/>
    <w:basedOn w:val="Normal"/>
    <w:next w:val="Normal"/>
    <w:autoRedefine/>
    <w:rsid w:val="00482BC2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Subtitle0">
    <w:name w:val="Sub_title"/>
    <w:basedOn w:val="Normal"/>
    <w:qFormat/>
    <w:rsid w:val="00482BC2"/>
    <w:pPr>
      <w:framePr w:hSpace="180" w:wrap="around" w:hAnchor="text" w:x="1821" w:y="2317"/>
      <w:spacing w:after="16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en/general-secretariat/ties/ISCGDocumentLibrary/Liaisons%20Statements%20on%20Inter-Sectoral%20Coordination%20Activities/Mapping-of-Resolutions-Updated%20Dec20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kin-itu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5D3835F74C4EC5BB28ACD50DCAD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F5BC7-6B72-44B5-AAA8-BB36D63B2507}"/>
      </w:docPartPr>
      <w:docPartBody>
        <w:p w:rsidR="00C42554" w:rsidRDefault="00C42554" w:rsidP="00C42554">
          <w:pPr>
            <w:pStyle w:val="DC5D3835F74C4EC5BB28ACD50DCAD1A4"/>
          </w:pPr>
          <w:r>
            <w:rPr>
              <w:rStyle w:val="PlaceholderText"/>
              <w:highlight w:val="yellow"/>
            </w:rPr>
            <w:t>Insert title (always in ENGLISH)</w:t>
          </w:r>
        </w:p>
      </w:docPartBody>
    </w:docPart>
    <w:docPart>
      <w:docPartPr>
        <w:name w:val="DF925B557EF047A2B490251162AF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25A8-AAEE-4FD7-ABE4-9177F0F16684}"/>
      </w:docPartPr>
      <w:docPartBody>
        <w:p w:rsidR="00C42554" w:rsidRDefault="00C42554" w:rsidP="00C42554">
          <w:pPr>
            <w:pStyle w:val="DF925B557EF047A2B490251162AF2A03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AC"/>
    <w:rsid w:val="00112648"/>
    <w:rsid w:val="009956AC"/>
    <w:rsid w:val="009E1472"/>
    <w:rsid w:val="00C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554"/>
    <w:rPr>
      <w:rFonts w:ascii="Times New Roman" w:hAnsi="Times New Roman"/>
      <w:color w:val="808080"/>
    </w:rPr>
  </w:style>
  <w:style w:type="paragraph" w:customStyle="1" w:styleId="75B1F94AB5B940A19582AE89650F1415">
    <w:name w:val="75B1F94AB5B940A19582AE89650F1415"/>
    <w:rsid w:val="009956AC"/>
  </w:style>
  <w:style w:type="paragraph" w:customStyle="1" w:styleId="9D686C6AA80842288A521610AE865A53">
    <w:name w:val="9D686C6AA80842288A521610AE865A53"/>
    <w:rsid w:val="009956AC"/>
  </w:style>
  <w:style w:type="paragraph" w:customStyle="1" w:styleId="5E2B2CE4AA0D446790C9B2A52B4B6C54">
    <w:name w:val="5E2B2CE4AA0D446790C9B2A52B4B6C54"/>
    <w:rsid w:val="009956AC"/>
  </w:style>
  <w:style w:type="paragraph" w:customStyle="1" w:styleId="3BDCABCBF1FC41C8B439A140B5973876">
    <w:name w:val="3BDCABCBF1FC41C8B439A140B5973876"/>
    <w:rsid w:val="009956AC"/>
  </w:style>
  <w:style w:type="paragraph" w:customStyle="1" w:styleId="61C83AE6880F421F8CA8380EAB9AEAB2">
    <w:name w:val="61C83AE6880F421F8CA8380EAB9AEAB2"/>
    <w:rsid w:val="00C42554"/>
    <w:rPr>
      <w:lang w:val="en-GB" w:eastAsia="en-GB"/>
    </w:rPr>
  </w:style>
  <w:style w:type="paragraph" w:customStyle="1" w:styleId="DC5D3835F74C4EC5BB28ACD50DCAD1A4">
    <w:name w:val="DC5D3835F74C4EC5BB28ACD50DCAD1A4"/>
    <w:rsid w:val="00C42554"/>
    <w:rPr>
      <w:lang w:val="en-GB" w:eastAsia="en-GB"/>
    </w:rPr>
  </w:style>
  <w:style w:type="paragraph" w:customStyle="1" w:styleId="DF925B557EF047A2B490251162AF2A03">
    <w:name w:val="DF925B557EF047A2B490251162AF2A03"/>
    <w:rsid w:val="00C4255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Streamlining PP and Sectoral resolutions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Streamlining PP and Sectoral resolutions</dc:title>
  <dc:subject/>
  <dc:creator>Минкин Владимир Маркович</dc:creator>
  <cp:keywords/>
  <dc:description/>
  <cp:lastModifiedBy>Sukenik, Maria Victoria</cp:lastModifiedBy>
  <cp:revision>15</cp:revision>
  <dcterms:created xsi:type="dcterms:W3CDTF">2025-05-21T08:45:00Z</dcterms:created>
  <dcterms:modified xsi:type="dcterms:W3CDTF">2025-05-22T08:12:00Z</dcterms:modified>
</cp:coreProperties>
</file>