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79C9FC97" w14:textId="77777777" w:rsidTr="00AD3606">
        <w:trPr>
          <w:cantSplit/>
          <w:trHeight w:val="23"/>
        </w:trPr>
        <w:tc>
          <w:tcPr>
            <w:tcW w:w="3969" w:type="dxa"/>
            <w:vMerge w:val="restart"/>
            <w:tcMar>
              <w:left w:w="0" w:type="dxa"/>
            </w:tcMar>
          </w:tcPr>
          <w:p w14:paraId="3C67D106" w14:textId="77777777" w:rsidR="00AD3606" w:rsidRPr="00B15801" w:rsidRDefault="00AD3606" w:rsidP="00472BAD">
            <w:pPr>
              <w:tabs>
                <w:tab w:val="left" w:pos="851"/>
              </w:tabs>
              <w:spacing w:before="0" w:line="240" w:lineRule="atLeast"/>
              <w:rPr>
                <w:b/>
                <w:lang w:val="en-US"/>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5CAA287" w14:textId="2AEB1FC1"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Pr>
                <w:b/>
                <w:lang w:val="fr-CH"/>
              </w:rPr>
              <w:t>EG-ITRs</w:t>
            </w:r>
            <w:r w:rsidRPr="00A52C84">
              <w:rPr>
                <w:b/>
                <w:lang w:val="fr-CH"/>
              </w:rPr>
              <w:t>-</w:t>
            </w:r>
            <w:r w:rsidR="00690A5B">
              <w:rPr>
                <w:b/>
                <w:lang w:val="fr-CH"/>
              </w:rPr>
              <w:t>5</w:t>
            </w:r>
            <w:r w:rsidR="00F66A26">
              <w:rPr>
                <w:b/>
                <w:lang w:val="fr-FR"/>
              </w:rPr>
              <w:t>/</w:t>
            </w:r>
            <w:r w:rsidR="00C363B3">
              <w:rPr>
                <w:b/>
                <w:lang w:val="fr-FR"/>
              </w:rPr>
              <w:t>9</w:t>
            </w:r>
          </w:p>
        </w:tc>
      </w:tr>
      <w:tr w:rsidR="00AD3606" w:rsidRPr="00147C54" w14:paraId="2E227EC6" w14:textId="77777777" w:rsidTr="00AD3606">
        <w:trPr>
          <w:cantSplit/>
        </w:trPr>
        <w:tc>
          <w:tcPr>
            <w:tcW w:w="3969" w:type="dxa"/>
            <w:vMerge/>
          </w:tcPr>
          <w:p w14:paraId="54EC2E41"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3B76821" w14:textId="3B62C1D7" w:rsidR="00AD3606" w:rsidRPr="00147C54" w:rsidRDefault="0096256D" w:rsidP="00AD3606">
            <w:pPr>
              <w:tabs>
                <w:tab w:val="left" w:pos="851"/>
              </w:tabs>
              <w:spacing w:before="0"/>
              <w:jc w:val="right"/>
              <w:rPr>
                <w:b/>
              </w:rPr>
            </w:pPr>
            <w:r>
              <w:rPr>
                <w:b/>
              </w:rPr>
              <w:t>28</w:t>
            </w:r>
            <w:r w:rsidR="002940DD">
              <w:rPr>
                <w:b/>
              </w:rPr>
              <w:t xml:space="preserve"> August 2025</w:t>
            </w:r>
          </w:p>
        </w:tc>
      </w:tr>
      <w:tr w:rsidR="00AD3606" w:rsidRPr="00147C54" w14:paraId="694FB5C3" w14:textId="77777777" w:rsidTr="00AD3606">
        <w:trPr>
          <w:cantSplit/>
          <w:trHeight w:val="23"/>
        </w:trPr>
        <w:tc>
          <w:tcPr>
            <w:tcW w:w="3969" w:type="dxa"/>
            <w:vMerge/>
          </w:tcPr>
          <w:p w14:paraId="7C66420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9FFE70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56F33670" w14:textId="77777777" w:rsidTr="00AD3606">
        <w:trPr>
          <w:cantSplit/>
          <w:trHeight w:val="23"/>
        </w:trPr>
        <w:tc>
          <w:tcPr>
            <w:tcW w:w="3969" w:type="dxa"/>
          </w:tcPr>
          <w:p w14:paraId="31FCE42A" w14:textId="77777777" w:rsidR="00472BAD" w:rsidRPr="00147C54" w:rsidRDefault="00472BAD" w:rsidP="00C82D49">
            <w:pPr>
              <w:tabs>
                <w:tab w:val="left" w:pos="851"/>
              </w:tabs>
              <w:spacing w:before="0" w:line="240" w:lineRule="atLeast"/>
              <w:rPr>
                <w:b/>
              </w:rPr>
            </w:pPr>
          </w:p>
        </w:tc>
        <w:tc>
          <w:tcPr>
            <w:tcW w:w="5245" w:type="dxa"/>
          </w:tcPr>
          <w:p w14:paraId="4DC9EF6E" w14:textId="77777777" w:rsidR="00472BAD" w:rsidRPr="00147C54" w:rsidRDefault="00472BAD" w:rsidP="00C82D49">
            <w:pPr>
              <w:tabs>
                <w:tab w:val="left" w:pos="851"/>
              </w:tabs>
              <w:spacing w:before="0" w:line="240" w:lineRule="atLeast"/>
              <w:jc w:val="right"/>
              <w:rPr>
                <w:b/>
              </w:rPr>
            </w:pPr>
          </w:p>
        </w:tc>
      </w:tr>
      <w:tr w:rsidR="00AD3606" w:rsidRPr="00AC1E22" w14:paraId="77E136EE" w14:textId="77777777" w:rsidTr="00AD3606">
        <w:trPr>
          <w:cantSplit/>
        </w:trPr>
        <w:tc>
          <w:tcPr>
            <w:tcW w:w="9214" w:type="dxa"/>
            <w:gridSpan w:val="2"/>
            <w:tcMar>
              <w:left w:w="0" w:type="dxa"/>
            </w:tcMar>
          </w:tcPr>
          <w:p w14:paraId="4B7C3A9B" w14:textId="2E36AD76" w:rsidR="00AD3606" w:rsidRPr="0096256D" w:rsidRDefault="0096256D" w:rsidP="00C82D49">
            <w:pPr>
              <w:pStyle w:val="Source"/>
              <w:framePr w:hSpace="0" w:wrap="auto" w:vAnchor="margin" w:hAnchor="text" w:xAlign="left" w:yAlign="inline"/>
            </w:pPr>
            <w:bookmarkStart w:id="8" w:name="dsource" w:colFirst="0" w:colLast="0"/>
            <w:bookmarkEnd w:id="7"/>
            <w:r w:rsidRPr="0096256D">
              <w:t xml:space="preserve">Contribution by the Regional Commonwealth in the Field of Communications (Executive Committee), </w:t>
            </w:r>
            <w:r w:rsidR="00D62302">
              <w:t xml:space="preserve">the </w:t>
            </w:r>
            <w:r w:rsidR="00D62302" w:rsidRPr="00D62302">
              <w:t>Kyrgyz Republic</w:t>
            </w:r>
            <w:r w:rsidR="00D62302">
              <w:t xml:space="preserve">, </w:t>
            </w:r>
            <w:r w:rsidRPr="0096256D">
              <w:t>and Tajikistan (Republic of)</w:t>
            </w:r>
            <w:r w:rsidR="00AC1E22" w:rsidRPr="0096256D">
              <w:rPr>
                <w:rStyle w:val="FootnoteReference"/>
              </w:rPr>
              <w:footnoteReference w:id="1"/>
            </w:r>
          </w:p>
        </w:tc>
      </w:tr>
      <w:tr w:rsidR="00AD3606" w:rsidRPr="00147C54" w14:paraId="60BC365E" w14:textId="77777777" w:rsidTr="00AD3606">
        <w:trPr>
          <w:cantSplit/>
        </w:trPr>
        <w:tc>
          <w:tcPr>
            <w:tcW w:w="9214" w:type="dxa"/>
            <w:gridSpan w:val="2"/>
            <w:tcMar>
              <w:left w:w="0" w:type="dxa"/>
            </w:tcMar>
          </w:tcPr>
          <w:p w14:paraId="16053483" w14:textId="2298CE45" w:rsidR="00AD3606" w:rsidRPr="00147C54" w:rsidRDefault="002940DD" w:rsidP="00C82D49">
            <w:pPr>
              <w:pStyle w:val="Subtitle"/>
              <w:framePr w:hSpace="0" w:wrap="auto" w:xAlign="left" w:yAlign="inline"/>
            </w:pPr>
            <w:bookmarkStart w:id="9" w:name="_Hlk207371232"/>
            <w:bookmarkStart w:id="10" w:name="dtitle1" w:colFirst="0" w:colLast="0"/>
            <w:bookmarkEnd w:id="8"/>
            <w:r w:rsidRPr="002940DD">
              <w:t>EMPIRICAL DATA ON THE CURRENT USE OF THE ITRS BY OPERATING AGENCIES</w:t>
            </w:r>
            <w:r w:rsidR="00342A56">
              <w:t xml:space="preserve"> (TELECOMMUNICATION OPERATORS)</w:t>
            </w:r>
            <w:r w:rsidRPr="002940DD">
              <w:t xml:space="preserve"> AND/OR ADMINISTRATIONS IN RCC/CIS MEMBER STATES</w:t>
            </w:r>
            <w:bookmarkEnd w:id="9"/>
          </w:p>
        </w:tc>
      </w:tr>
      <w:tr w:rsidR="00AD3606" w:rsidRPr="00147C54" w14:paraId="0D69AF66" w14:textId="77777777" w:rsidTr="00AD3606">
        <w:trPr>
          <w:cantSplit/>
        </w:trPr>
        <w:tc>
          <w:tcPr>
            <w:tcW w:w="9214" w:type="dxa"/>
            <w:gridSpan w:val="2"/>
            <w:tcBorders>
              <w:top w:val="single" w:sz="4" w:space="0" w:color="auto"/>
              <w:bottom w:val="single" w:sz="4" w:space="0" w:color="auto"/>
            </w:tcBorders>
            <w:tcMar>
              <w:left w:w="0" w:type="dxa"/>
            </w:tcMar>
          </w:tcPr>
          <w:p w14:paraId="2F7E9781" w14:textId="77777777" w:rsidR="00AD3606" w:rsidRPr="00147C54" w:rsidRDefault="00F16BAB" w:rsidP="00C82D49">
            <w:pPr>
              <w:rPr>
                <w:b/>
                <w:bCs/>
                <w:sz w:val="26"/>
                <w:szCs w:val="26"/>
              </w:rPr>
            </w:pPr>
            <w:r w:rsidRPr="00147C54">
              <w:rPr>
                <w:b/>
                <w:bCs/>
                <w:sz w:val="26"/>
                <w:szCs w:val="26"/>
              </w:rPr>
              <w:t>Purpose</w:t>
            </w:r>
          </w:p>
          <w:p w14:paraId="31DD146F" w14:textId="09672CAA" w:rsidR="002940DD" w:rsidRPr="004D648B" w:rsidRDefault="002940DD" w:rsidP="0096256D">
            <w:pPr>
              <w:spacing w:before="160"/>
              <w:jc w:val="both"/>
              <w:rPr>
                <w:b/>
                <w:bCs/>
                <w:szCs w:val="24"/>
              </w:rPr>
            </w:pPr>
            <w:r>
              <w:rPr>
                <w:lang w:val="en-US"/>
              </w:rPr>
              <w:t>Provide the EG-ITRs</w:t>
            </w:r>
            <w:r w:rsidR="00347F10">
              <w:rPr>
                <w:lang w:val="en-US"/>
              </w:rPr>
              <w:t xml:space="preserve"> with</w:t>
            </w:r>
            <w:r w:rsidRPr="0024360F">
              <w:rPr>
                <w:lang w:val="en-US"/>
              </w:rPr>
              <w:t xml:space="preserve"> empirical data on the current use of the ITRs by operating</w:t>
            </w:r>
            <w:r>
              <w:rPr>
                <w:lang w:val="en-US"/>
              </w:rPr>
              <w:t xml:space="preserve"> </w:t>
            </w:r>
            <w:r w:rsidRPr="0024360F">
              <w:rPr>
                <w:lang w:val="en-US"/>
              </w:rPr>
              <w:t>agencies</w:t>
            </w:r>
            <w:r w:rsidR="00342A56">
              <w:rPr>
                <w:lang w:val="en-US"/>
              </w:rPr>
              <w:t xml:space="preserve"> (telecommunication operators)</w:t>
            </w:r>
            <w:r w:rsidRPr="0024360F">
              <w:rPr>
                <w:lang w:val="en-US"/>
              </w:rPr>
              <w:t xml:space="preserve"> and/or administrations</w:t>
            </w:r>
            <w:r>
              <w:rPr>
                <w:lang w:val="en-US"/>
              </w:rPr>
              <w:t xml:space="preserve"> in RCC/CIS Member States</w:t>
            </w:r>
            <w:r w:rsidRPr="0024360F">
              <w:rPr>
                <w:lang w:val="en-US"/>
              </w:rPr>
              <w:t xml:space="preserve"> and the proportion of global telecommunication services which now rely on the ITRs to</w:t>
            </w:r>
            <w:r w:rsidR="00347F10">
              <w:rPr>
                <w:lang w:val="en-US"/>
              </w:rPr>
              <w:t xml:space="preserve"> </w:t>
            </w:r>
            <w:r w:rsidR="00DF26DC">
              <w:rPr>
                <w:lang w:val="en-US"/>
              </w:rPr>
              <w:t>include</w:t>
            </w:r>
            <w:r w:rsidR="00347F10">
              <w:rPr>
                <w:lang w:val="en-US"/>
              </w:rPr>
              <w:t xml:space="preserve"> in</w:t>
            </w:r>
            <w:r w:rsidRPr="0024360F">
              <w:rPr>
                <w:lang w:val="en-US"/>
              </w:rPr>
              <w:t xml:space="preserve"> the EG-ITRs final report </w:t>
            </w:r>
            <w:r w:rsidRPr="00636760">
              <w:rPr>
                <w:lang w:val="en-US"/>
              </w:rPr>
              <w:t>and to Council 2026</w:t>
            </w:r>
            <w:r w:rsidRPr="0024360F">
              <w:rPr>
                <w:lang w:val="en-US"/>
              </w:rPr>
              <w:t xml:space="preserve"> and provide this information for examination and submission to the 2026 Plenipotentiary Conference with the Council's comments.</w:t>
            </w:r>
          </w:p>
          <w:p w14:paraId="24B759A2" w14:textId="77777777" w:rsidR="00AD3606" w:rsidRPr="00147C54" w:rsidRDefault="00AD3606" w:rsidP="00C82D49">
            <w:pPr>
              <w:jc w:val="both"/>
              <w:rPr>
                <w:b/>
                <w:bCs/>
                <w:sz w:val="26"/>
                <w:szCs w:val="26"/>
              </w:rPr>
            </w:pPr>
            <w:r w:rsidRPr="00147C54">
              <w:rPr>
                <w:b/>
                <w:bCs/>
                <w:sz w:val="26"/>
                <w:szCs w:val="26"/>
              </w:rPr>
              <w:t>Action required</w:t>
            </w:r>
          </w:p>
          <w:p w14:paraId="28F6734B" w14:textId="4662778D" w:rsidR="00663050" w:rsidRPr="004D648B" w:rsidRDefault="00663050" w:rsidP="00C82D49">
            <w:pPr>
              <w:jc w:val="both"/>
              <w:rPr>
                <w:b/>
                <w:bCs/>
                <w:szCs w:val="24"/>
              </w:rPr>
            </w:pPr>
            <w:r w:rsidRPr="00F7413F">
              <w:t xml:space="preserve">The Expert Group on the International Telecommunication Regulations is invited to </w:t>
            </w:r>
            <w:r w:rsidR="0024360F" w:rsidRPr="00C82D49">
              <w:rPr>
                <w:b/>
                <w:bCs/>
                <w:lang w:val="en-US"/>
              </w:rPr>
              <w:t>include</w:t>
            </w:r>
            <w:r w:rsidR="0024360F" w:rsidRPr="0024360F">
              <w:rPr>
                <w:lang w:val="en-US"/>
              </w:rPr>
              <w:t xml:space="preserve"> empirical data on the current use of the ITRs by operating</w:t>
            </w:r>
            <w:r w:rsidR="0024360F">
              <w:rPr>
                <w:lang w:val="en-US"/>
              </w:rPr>
              <w:t xml:space="preserve"> </w:t>
            </w:r>
            <w:r w:rsidR="0024360F" w:rsidRPr="0024360F">
              <w:rPr>
                <w:lang w:val="en-US"/>
              </w:rPr>
              <w:t xml:space="preserve">agencies and/or administrations and the proportion of global telecommunication services which now rely on the ITRs </w:t>
            </w:r>
            <w:r w:rsidR="00347F10">
              <w:rPr>
                <w:lang w:val="en-US"/>
              </w:rPr>
              <w:t>in</w:t>
            </w:r>
            <w:r w:rsidR="00347F10" w:rsidRPr="0024360F">
              <w:rPr>
                <w:lang w:val="en-US"/>
              </w:rPr>
              <w:t xml:space="preserve"> </w:t>
            </w:r>
            <w:r w:rsidR="0024360F" w:rsidRPr="0024360F">
              <w:rPr>
                <w:lang w:val="en-US"/>
              </w:rPr>
              <w:t xml:space="preserve">the EG-ITRs final report and </w:t>
            </w:r>
            <w:r w:rsidR="0024360F" w:rsidRPr="00636760">
              <w:rPr>
                <w:lang w:val="en-US"/>
              </w:rPr>
              <w:t>to Council 2026</w:t>
            </w:r>
            <w:r w:rsidR="00C82D49">
              <w:rPr>
                <w:lang w:val="en-US"/>
              </w:rPr>
              <w:t>,</w:t>
            </w:r>
            <w:r w:rsidR="0024360F" w:rsidRPr="0024360F">
              <w:rPr>
                <w:lang w:val="en-US"/>
              </w:rPr>
              <w:t xml:space="preserve"> and </w:t>
            </w:r>
            <w:r w:rsidR="0024360F" w:rsidRPr="00C82D49">
              <w:rPr>
                <w:b/>
                <w:bCs/>
                <w:lang w:val="en-US"/>
              </w:rPr>
              <w:t>provide this information for examination</w:t>
            </w:r>
            <w:r w:rsidR="0024360F" w:rsidRPr="0024360F">
              <w:rPr>
                <w:lang w:val="en-US"/>
              </w:rPr>
              <w:t xml:space="preserve"> </w:t>
            </w:r>
            <w:r w:rsidR="0024360F" w:rsidRPr="00C82D49">
              <w:rPr>
                <w:b/>
                <w:bCs/>
                <w:lang w:val="en-US"/>
              </w:rPr>
              <w:t>and submission</w:t>
            </w:r>
            <w:r w:rsidR="0024360F" w:rsidRPr="0024360F">
              <w:rPr>
                <w:lang w:val="en-US"/>
              </w:rPr>
              <w:t xml:space="preserve"> to the 2026 Plenipotentiary Conference with the Council's comments.</w:t>
            </w:r>
          </w:p>
          <w:p w14:paraId="11B1DD1D" w14:textId="77777777" w:rsidR="00AD3606" w:rsidRPr="00CD3C91" w:rsidRDefault="00CD3C91" w:rsidP="00C82D49">
            <w:pPr>
              <w:spacing w:before="0"/>
            </w:pPr>
            <w:r>
              <w:t>_______________</w:t>
            </w:r>
          </w:p>
          <w:p w14:paraId="40033C3B" w14:textId="77777777" w:rsidR="00C82D49" w:rsidRDefault="00AD3606" w:rsidP="00C82D49">
            <w:pPr>
              <w:spacing w:after="120"/>
              <w:rPr>
                <w:b/>
                <w:bCs/>
                <w:sz w:val="26"/>
                <w:szCs w:val="26"/>
              </w:rPr>
            </w:pPr>
            <w:r w:rsidRPr="00147C54">
              <w:rPr>
                <w:b/>
                <w:bCs/>
                <w:sz w:val="26"/>
                <w:szCs w:val="26"/>
              </w:rPr>
              <w:t>References</w:t>
            </w:r>
          </w:p>
          <w:p w14:paraId="1248C992" w14:textId="554AF81F" w:rsidR="00AD3606" w:rsidRPr="00E85B67" w:rsidRDefault="0024360F" w:rsidP="00EE04ED">
            <w:pPr>
              <w:spacing w:after="160"/>
              <w:rPr>
                <w:i/>
                <w:iCs/>
                <w:sz w:val="22"/>
                <w:szCs w:val="22"/>
              </w:rPr>
            </w:pPr>
            <w:hyperlink r:id="rId11" w:history="1">
              <w:r w:rsidRPr="000522FA">
                <w:rPr>
                  <w:rStyle w:val="Hyperlink"/>
                  <w:rFonts w:asciiTheme="minorHAnsi" w:hAnsiTheme="minorHAnsi" w:cstheme="minorHAnsi"/>
                  <w:i/>
                  <w:iCs/>
                  <w:color w:val="3789BD"/>
                  <w:sz w:val="22"/>
                  <w:szCs w:val="22"/>
                  <w:bdr w:val="none" w:sz="0" w:space="0" w:color="auto" w:frame="1"/>
                  <w:shd w:val="clear" w:color="auto" w:fill="FFFFFF"/>
                </w:rPr>
                <w:t>Resolution 146 (Rev. Bucharest, 2022)</w:t>
              </w:r>
            </w:hyperlink>
            <w:r w:rsidRPr="000522FA">
              <w:rPr>
                <w:rFonts w:asciiTheme="minorHAnsi" w:hAnsiTheme="minorHAnsi" w:cstheme="minorHAnsi"/>
                <w:i/>
                <w:iCs/>
                <w:color w:val="444444"/>
                <w:sz w:val="22"/>
                <w:szCs w:val="22"/>
                <w:bdr w:val="none" w:sz="0" w:space="0" w:color="auto" w:frame="1"/>
                <w:shd w:val="clear" w:color="auto" w:fill="FFFFFF"/>
              </w:rPr>
              <w:t> </w:t>
            </w:r>
            <w:r w:rsidRPr="000522FA">
              <w:rPr>
                <w:rFonts w:asciiTheme="minorHAnsi" w:hAnsiTheme="minorHAnsi" w:cstheme="minorHAnsi"/>
                <w:i/>
                <w:iCs/>
                <w:sz w:val="22"/>
                <w:szCs w:val="22"/>
                <w:bdr w:val="none" w:sz="0" w:space="0" w:color="auto" w:frame="1"/>
                <w:shd w:val="clear" w:color="auto" w:fill="FFFFFF"/>
              </w:rPr>
              <w:t>of the Plenipotentiary Conference, Council</w:t>
            </w:r>
            <w:r w:rsidRPr="000522FA">
              <w:rPr>
                <w:rFonts w:asciiTheme="minorHAnsi" w:hAnsiTheme="minorHAnsi" w:cstheme="minorHAnsi"/>
                <w:i/>
                <w:iCs/>
                <w:sz w:val="22"/>
                <w:szCs w:val="22"/>
                <w:shd w:val="clear" w:color="auto" w:fill="FFFFFF"/>
              </w:rPr>
              <w:t> </w:t>
            </w:r>
            <w:hyperlink r:id="rId12" w:history="1">
              <w:r w:rsidRPr="000522FA">
                <w:rPr>
                  <w:rStyle w:val="Hyperlink"/>
                  <w:rFonts w:asciiTheme="minorHAnsi" w:hAnsiTheme="minorHAnsi" w:cstheme="minorHAnsi"/>
                  <w:i/>
                  <w:iCs/>
                  <w:color w:val="3789BD"/>
                  <w:sz w:val="22"/>
                  <w:szCs w:val="22"/>
                  <w:bdr w:val="none" w:sz="0" w:space="0" w:color="auto" w:frame="1"/>
                  <w:shd w:val="clear" w:color="auto" w:fill="FFFFFF"/>
                </w:rPr>
                <w:t>Resolution 1379</w:t>
              </w:r>
            </w:hyperlink>
            <w:r w:rsidR="002940DD" w:rsidRPr="000522FA">
              <w:rPr>
                <w:rFonts w:asciiTheme="minorHAnsi" w:hAnsiTheme="minorHAnsi" w:cstheme="minorHAnsi"/>
                <w:color w:val="444444"/>
                <w:sz w:val="22"/>
                <w:szCs w:val="22"/>
                <w:shd w:val="clear" w:color="auto" w:fill="FFFFFF"/>
              </w:rPr>
              <w:t>,</w:t>
            </w:r>
            <w:r w:rsidR="00D10761" w:rsidRPr="000522FA">
              <w:rPr>
                <w:rFonts w:asciiTheme="minorHAnsi" w:eastAsia="Calibri" w:hAnsiTheme="minorHAnsi" w:cstheme="minorHAnsi"/>
                <w:bCs/>
                <w:i/>
                <w:iCs/>
                <w:color w:val="000000"/>
                <w:sz w:val="22"/>
                <w:szCs w:val="22"/>
                <w:lang w:val="en-US"/>
              </w:rPr>
              <w:t xml:space="preserve"> </w:t>
            </w:r>
            <w:hyperlink r:id="rId13" w:history="1">
              <w:r w:rsidR="00D10761" w:rsidRPr="00C82D49">
                <w:rPr>
                  <w:rStyle w:val="Hyperlink"/>
                  <w:rFonts w:asciiTheme="minorHAnsi" w:hAnsiTheme="minorHAnsi" w:cstheme="minorHAnsi"/>
                  <w:i/>
                  <w:iCs/>
                  <w:color w:val="3789BD"/>
                  <w:spacing w:val="-2"/>
                  <w:sz w:val="22"/>
                  <w:szCs w:val="22"/>
                  <w:bdr w:val="none" w:sz="0" w:space="0" w:color="auto" w:frame="1"/>
                  <w:shd w:val="clear" w:color="auto" w:fill="FFFFFF"/>
                </w:rPr>
                <w:t>Document EG-ITRs-4/8</w:t>
              </w:r>
            </w:hyperlink>
            <w:r w:rsidR="00D10761" w:rsidRPr="00C82D49">
              <w:rPr>
                <w:rFonts w:asciiTheme="minorHAnsi" w:eastAsia="Calibri" w:hAnsiTheme="minorHAnsi" w:cstheme="minorHAnsi"/>
                <w:bCs/>
                <w:i/>
                <w:iCs/>
                <w:color w:val="000000"/>
                <w:spacing w:val="-2"/>
                <w:sz w:val="22"/>
                <w:szCs w:val="22"/>
                <w:lang w:val="en-US"/>
              </w:rPr>
              <w:t>,</w:t>
            </w:r>
            <w:r w:rsidR="00D10761" w:rsidRPr="00C82D49">
              <w:rPr>
                <w:rFonts w:asciiTheme="minorHAnsi" w:hAnsiTheme="minorHAnsi" w:cstheme="minorHAnsi"/>
                <w:i/>
                <w:iCs/>
                <w:spacing w:val="-2"/>
                <w:sz w:val="22"/>
                <w:szCs w:val="22"/>
                <w:shd w:val="clear" w:color="auto" w:fill="FFFFFF"/>
              </w:rPr>
              <w:t xml:space="preserve"> </w:t>
            </w:r>
            <w:r w:rsidR="00347F10" w:rsidRPr="00C82D49">
              <w:rPr>
                <w:rFonts w:asciiTheme="minorHAnsi" w:hAnsiTheme="minorHAnsi" w:cstheme="minorHAnsi"/>
                <w:i/>
                <w:spacing w:val="-2"/>
                <w:sz w:val="22"/>
                <w:szCs w:val="22"/>
                <w:shd w:val="clear" w:color="auto" w:fill="FFFFFF"/>
              </w:rPr>
              <w:t>Agreement on the terms and conditions for inter-operator settlements when providing international telecommunications services in CIS member States. Dushanbe, 30 October 2015</w:t>
            </w:r>
          </w:p>
        </w:tc>
      </w:tr>
    </w:tbl>
    <w:p w14:paraId="39E15197" w14:textId="77777777" w:rsidR="0090147A" w:rsidRPr="00C82D49" w:rsidRDefault="009014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sz w:val="8"/>
          <w:szCs w:val="8"/>
        </w:rPr>
      </w:pPr>
      <w:bookmarkStart w:id="11" w:name="_Hlk133421428"/>
      <w:bookmarkEnd w:id="2"/>
      <w:bookmarkEnd w:id="10"/>
      <w:bookmarkEnd w:id="3"/>
      <w:bookmarkEnd w:id="4"/>
      <w:r w:rsidRPr="00C82D49">
        <w:rPr>
          <w:rFonts w:asciiTheme="minorHAnsi" w:hAnsiTheme="minorHAnsi" w:cstheme="minorHAnsi"/>
          <w:sz w:val="8"/>
          <w:szCs w:val="8"/>
        </w:rPr>
        <w:br w:type="page"/>
      </w:r>
    </w:p>
    <w:bookmarkEnd w:id="5"/>
    <w:bookmarkEnd w:id="11"/>
    <w:p w14:paraId="707DC4CB" w14:textId="160009DB" w:rsidR="00D10761" w:rsidRPr="00741BEE" w:rsidRDefault="00D10761" w:rsidP="009A6548">
      <w:pPr>
        <w:pStyle w:val="Headingb"/>
        <w:spacing w:before="120"/>
        <w:jc w:val="both"/>
        <w:rPr>
          <w:rFonts w:asciiTheme="minorHAnsi" w:hAnsiTheme="minorHAnsi" w:cstheme="minorHAnsi"/>
          <w:szCs w:val="24"/>
        </w:rPr>
      </w:pPr>
      <w:r w:rsidRPr="00741BEE">
        <w:rPr>
          <w:rFonts w:asciiTheme="minorHAnsi" w:hAnsiTheme="minorHAnsi" w:cstheme="minorHAnsi"/>
          <w:szCs w:val="24"/>
        </w:rPr>
        <w:lastRenderedPageBreak/>
        <w:t>I</w:t>
      </w:r>
      <w:r w:rsidR="009A6548" w:rsidRPr="00741BEE">
        <w:rPr>
          <w:rFonts w:asciiTheme="minorHAnsi" w:hAnsiTheme="minorHAnsi" w:cstheme="minorHAnsi"/>
          <w:szCs w:val="24"/>
          <w:lang w:val="en-US"/>
        </w:rPr>
        <w:t>. I</w:t>
      </w:r>
      <w:proofErr w:type="spellStart"/>
      <w:r w:rsidRPr="00741BEE">
        <w:rPr>
          <w:rFonts w:asciiTheme="minorHAnsi" w:hAnsiTheme="minorHAnsi" w:cstheme="minorHAnsi"/>
          <w:szCs w:val="24"/>
        </w:rPr>
        <w:t>ntroduction</w:t>
      </w:r>
      <w:proofErr w:type="spellEnd"/>
    </w:p>
    <w:p w14:paraId="0300012E" w14:textId="59A73C71" w:rsidR="009F51EC" w:rsidRPr="00741BEE" w:rsidRDefault="009F51EC" w:rsidP="009A6548">
      <w:pPr>
        <w:jc w:val="both"/>
        <w:rPr>
          <w:rFonts w:asciiTheme="minorHAnsi" w:hAnsiTheme="minorHAnsi" w:cstheme="minorHAnsi"/>
          <w:szCs w:val="24"/>
        </w:rPr>
      </w:pPr>
      <w:r w:rsidRPr="00741BEE">
        <w:rPr>
          <w:rFonts w:asciiTheme="minorHAnsi" w:hAnsiTheme="minorHAnsi" w:cstheme="minorHAnsi"/>
          <w:szCs w:val="24"/>
        </w:rPr>
        <w:t>The</w:t>
      </w:r>
      <w:r w:rsidR="00EE04ED" w:rsidRPr="00741BEE">
        <w:rPr>
          <w:rFonts w:asciiTheme="minorHAnsi" w:hAnsiTheme="minorHAnsi" w:cstheme="minorHAnsi"/>
          <w:szCs w:val="24"/>
        </w:rPr>
        <w:t xml:space="preserve"> Communications</w:t>
      </w:r>
      <w:r w:rsidRPr="00741BEE">
        <w:rPr>
          <w:rFonts w:asciiTheme="minorHAnsi" w:hAnsiTheme="minorHAnsi" w:cstheme="minorHAnsi"/>
          <w:szCs w:val="24"/>
        </w:rPr>
        <w:t xml:space="preserve"> Administrations of </w:t>
      </w:r>
      <w:r w:rsidR="00EE04ED" w:rsidRPr="00741BEE">
        <w:rPr>
          <w:rFonts w:asciiTheme="minorHAnsi" w:hAnsiTheme="minorHAnsi" w:cstheme="minorHAnsi"/>
          <w:szCs w:val="24"/>
          <w:lang w:val="en-US"/>
        </w:rPr>
        <w:t xml:space="preserve">the </w:t>
      </w:r>
      <w:r w:rsidRPr="00741BEE">
        <w:rPr>
          <w:rFonts w:asciiTheme="minorHAnsi" w:hAnsiTheme="minorHAnsi" w:cstheme="minorHAnsi"/>
          <w:szCs w:val="24"/>
        </w:rPr>
        <w:t xml:space="preserve">RCC Member States in close collaboration with the RCC Executive Committee carried out a survey </w:t>
      </w:r>
      <w:r w:rsidR="00C50A7D" w:rsidRPr="00741BEE">
        <w:rPr>
          <w:rFonts w:asciiTheme="minorHAnsi" w:hAnsiTheme="minorHAnsi" w:cstheme="minorHAnsi"/>
          <w:szCs w:val="24"/>
        </w:rPr>
        <w:t xml:space="preserve">among </w:t>
      </w:r>
      <w:r w:rsidRPr="00741BEE">
        <w:rPr>
          <w:rFonts w:asciiTheme="minorHAnsi" w:hAnsiTheme="minorHAnsi" w:cstheme="minorHAnsi"/>
          <w:szCs w:val="24"/>
        </w:rPr>
        <w:t xml:space="preserve">telecommunication operators involved in providing international telecommunication services, </w:t>
      </w:r>
      <w:r w:rsidR="00794555" w:rsidRPr="00741BEE">
        <w:rPr>
          <w:rFonts w:asciiTheme="minorHAnsi" w:hAnsiTheme="minorHAnsi" w:cstheme="minorHAnsi"/>
          <w:szCs w:val="24"/>
        </w:rPr>
        <w:t xml:space="preserve">on </w:t>
      </w:r>
      <w:r w:rsidRPr="00741BEE">
        <w:rPr>
          <w:rFonts w:asciiTheme="minorHAnsi" w:hAnsiTheme="minorHAnsi" w:cstheme="minorHAnsi"/>
          <w:szCs w:val="24"/>
        </w:rPr>
        <w:t>the application of the provisions and standards of the International Telecommunication Regulations (ITRs) and relevant Recommendations of</w:t>
      </w:r>
      <w:r w:rsidR="00242C8F">
        <w:rPr>
          <w:rFonts w:asciiTheme="minorHAnsi" w:hAnsiTheme="minorHAnsi" w:cstheme="minorHAnsi"/>
          <w:szCs w:val="24"/>
          <w:lang w:val="en-US"/>
        </w:rPr>
        <w:t xml:space="preserve"> the</w:t>
      </w:r>
      <w:r w:rsidRPr="00741BEE">
        <w:rPr>
          <w:rFonts w:asciiTheme="minorHAnsi" w:hAnsiTheme="minorHAnsi" w:cstheme="minorHAnsi"/>
          <w:szCs w:val="24"/>
        </w:rPr>
        <w:t xml:space="preserve"> ITU’s Telecommunication Standardization Sector (ITU-T) in collaboration with their partners in the region and beyond.</w:t>
      </w:r>
    </w:p>
    <w:p w14:paraId="323A02D3" w14:textId="20C25DE5" w:rsidR="009F51EC" w:rsidRPr="00741BEE" w:rsidRDefault="00794555" w:rsidP="009A6548">
      <w:pPr>
        <w:jc w:val="both"/>
        <w:rPr>
          <w:rFonts w:asciiTheme="minorHAnsi" w:hAnsiTheme="minorHAnsi" w:cstheme="minorHAnsi"/>
          <w:szCs w:val="24"/>
        </w:rPr>
      </w:pPr>
      <w:r w:rsidRPr="00741BEE">
        <w:rPr>
          <w:rFonts w:asciiTheme="minorHAnsi" w:hAnsiTheme="minorHAnsi" w:cstheme="minorHAnsi"/>
          <w:szCs w:val="24"/>
          <w:lang w:val="en-US"/>
        </w:rPr>
        <w:t>The sample</w:t>
      </w:r>
      <w:r w:rsidR="009F51EC" w:rsidRPr="00741BEE">
        <w:rPr>
          <w:rFonts w:asciiTheme="minorHAnsi" w:hAnsiTheme="minorHAnsi" w:cstheme="minorHAnsi"/>
          <w:szCs w:val="24"/>
        </w:rPr>
        <w:t xml:space="preserve"> questionnaire is </w:t>
      </w:r>
      <w:r w:rsidRPr="00741BEE">
        <w:rPr>
          <w:rFonts w:asciiTheme="minorHAnsi" w:hAnsiTheme="minorHAnsi" w:cstheme="minorHAnsi"/>
          <w:szCs w:val="24"/>
        </w:rPr>
        <w:t>provided</w:t>
      </w:r>
      <w:r w:rsidR="009F51EC" w:rsidRPr="00741BEE">
        <w:rPr>
          <w:rFonts w:asciiTheme="minorHAnsi" w:hAnsiTheme="minorHAnsi" w:cstheme="minorHAnsi"/>
          <w:szCs w:val="24"/>
        </w:rPr>
        <w:t xml:space="preserve"> in Annex 1.</w:t>
      </w:r>
    </w:p>
    <w:p w14:paraId="4B2002E3" w14:textId="53ABCF32" w:rsidR="009F51EC" w:rsidRPr="00741BEE" w:rsidRDefault="009F51EC" w:rsidP="009A6548">
      <w:pPr>
        <w:jc w:val="both"/>
        <w:rPr>
          <w:rFonts w:asciiTheme="minorHAnsi" w:hAnsiTheme="minorHAnsi" w:cstheme="minorHAnsi"/>
          <w:szCs w:val="24"/>
        </w:rPr>
      </w:pPr>
      <w:r w:rsidRPr="00741BEE">
        <w:rPr>
          <w:rFonts w:asciiTheme="minorHAnsi" w:hAnsiTheme="minorHAnsi" w:cstheme="minorHAnsi"/>
          <w:szCs w:val="24"/>
        </w:rPr>
        <w:t xml:space="preserve">This survey was based on available experience of collaboration </w:t>
      </w:r>
      <w:r w:rsidR="00794555" w:rsidRPr="00741BEE">
        <w:rPr>
          <w:rFonts w:asciiTheme="minorHAnsi" w:hAnsiTheme="minorHAnsi" w:cstheme="minorHAnsi"/>
          <w:szCs w:val="24"/>
        </w:rPr>
        <w:t>between Communications A</w:t>
      </w:r>
      <w:r w:rsidRPr="00741BEE">
        <w:rPr>
          <w:rFonts w:asciiTheme="minorHAnsi" w:hAnsiTheme="minorHAnsi" w:cstheme="minorHAnsi"/>
          <w:szCs w:val="24"/>
        </w:rPr>
        <w:t>dministrations and telecommunication operators in the RCC/CIS Member States during the period of preparations for the World Conference on International Telecommunications 2012 (WCIT-12), of application of the 1988 ITRs and 2012 ITRs, and in accordance with the Terms of Reference of the EG-ITR as set out in Resolution 1379</w:t>
      </w:r>
      <w:r w:rsidR="005C6037" w:rsidRPr="00741BEE">
        <w:rPr>
          <w:rFonts w:asciiTheme="minorHAnsi" w:hAnsiTheme="minorHAnsi" w:cstheme="minorHAnsi"/>
          <w:szCs w:val="24"/>
        </w:rPr>
        <w:t xml:space="preserve"> of the Council</w:t>
      </w:r>
      <w:r w:rsidRPr="00741BEE">
        <w:rPr>
          <w:rFonts w:asciiTheme="minorHAnsi" w:hAnsiTheme="minorHAnsi" w:cstheme="minorHAnsi"/>
          <w:szCs w:val="24"/>
        </w:rPr>
        <w:t>.</w:t>
      </w:r>
    </w:p>
    <w:p w14:paraId="2AB81EC2" w14:textId="29587937" w:rsidR="009F51EC" w:rsidRPr="00741BEE" w:rsidRDefault="009A6548" w:rsidP="009A6548">
      <w:pPr>
        <w:jc w:val="both"/>
        <w:rPr>
          <w:rFonts w:asciiTheme="minorHAnsi" w:hAnsiTheme="minorHAnsi" w:cstheme="minorHAnsi"/>
          <w:b/>
          <w:bCs/>
          <w:szCs w:val="24"/>
          <w:lang w:val="en-US"/>
        </w:rPr>
      </w:pPr>
      <w:r w:rsidRPr="00741BEE">
        <w:rPr>
          <w:rFonts w:asciiTheme="minorHAnsi" w:hAnsiTheme="minorHAnsi" w:cstheme="minorHAnsi"/>
          <w:b/>
          <w:bCs/>
          <w:szCs w:val="24"/>
          <w:lang w:val="en-US"/>
        </w:rPr>
        <w:t xml:space="preserve">II. </w:t>
      </w:r>
      <w:r w:rsidR="00AC1E22" w:rsidRPr="00741BEE">
        <w:rPr>
          <w:rFonts w:asciiTheme="minorHAnsi" w:hAnsiTheme="minorHAnsi" w:cstheme="minorHAnsi"/>
          <w:b/>
          <w:bCs/>
          <w:szCs w:val="24"/>
          <w:lang w:val="en-US"/>
        </w:rPr>
        <w:t>Empirical data</w:t>
      </w:r>
    </w:p>
    <w:p w14:paraId="42CE76BB" w14:textId="38B2A0DA" w:rsidR="00AC1E22" w:rsidRPr="00741BEE" w:rsidRDefault="009A6548" w:rsidP="009A6548">
      <w:pPr>
        <w:jc w:val="both"/>
        <w:rPr>
          <w:rFonts w:asciiTheme="minorHAnsi" w:hAnsiTheme="minorHAnsi" w:cstheme="minorHAnsi"/>
          <w:szCs w:val="24"/>
          <w:lang w:val="en-US"/>
        </w:rPr>
      </w:pPr>
      <w:r w:rsidRPr="00741BEE">
        <w:rPr>
          <w:rFonts w:asciiTheme="minorHAnsi" w:hAnsiTheme="minorHAnsi" w:cstheme="minorHAnsi"/>
          <w:szCs w:val="24"/>
        </w:rPr>
        <w:t>2.1. </w:t>
      </w:r>
      <w:r w:rsidR="00362BFA" w:rsidRPr="00741BEE">
        <w:rPr>
          <w:rFonts w:asciiTheme="minorHAnsi" w:hAnsiTheme="minorHAnsi" w:cstheme="minorHAnsi"/>
          <w:szCs w:val="24"/>
        </w:rPr>
        <w:t xml:space="preserve">RCC/CIS Member States implement </w:t>
      </w:r>
      <w:r w:rsidR="005C6037" w:rsidRPr="00741BEE">
        <w:rPr>
          <w:rFonts w:asciiTheme="minorHAnsi" w:hAnsiTheme="minorHAnsi" w:cstheme="minorHAnsi"/>
          <w:szCs w:val="24"/>
          <w:shd w:val="clear" w:color="auto" w:fill="FFFFFF"/>
        </w:rPr>
        <w:t xml:space="preserve">Agreement on the terms and conditions for inter-operator settlements when providing international telecommunications services in CIS member States dated October 30, 2015, </w:t>
      </w:r>
      <w:r w:rsidR="00362BFA" w:rsidRPr="00741BEE">
        <w:rPr>
          <w:rFonts w:asciiTheme="minorHAnsi" w:hAnsiTheme="minorHAnsi" w:cstheme="minorHAnsi"/>
          <w:szCs w:val="24"/>
        </w:rPr>
        <w:t xml:space="preserve">which </w:t>
      </w:r>
      <w:r w:rsidRPr="00741BEE">
        <w:rPr>
          <w:rFonts w:asciiTheme="minorHAnsi" w:hAnsiTheme="minorHAnsi" w:cstheme="minorHAnsi"/>
          <w:szCs w:val="24"/>
        </w:rPr>
        <w:t xml:space="preserve">in Article 7 provides that </w:t>
      </w:r>
      <w:r w:rsidRPr="00741BEE">
        <w:rPr>
          <w:rFonts w:asciiTheme="minorHAnsi" w:hAnsiTheme="minorHAnsi" w:cstheme="minorHAnsi"/>
          <w:szCs w:val="24"/>
          <w:lang w:val="en-US"/>
        </w:rPr>
        <w:t>«</w:t>
      </w:r>
      <w:r w:rsidRPr="00741BEE">
        <w:rPr>
          <w:rFonts w:asciiTheme="minorHAnsi" w:hAnsiTheme="minorHAnsi" w:cstheme="minorHAnsi"/>
          <w:i/>
          <w:iCs/>
          <w:szCs w:val="24"/>
        </w:rPr>
        <w:t xml:space="preserve">the Parties shall take measures to prevent discrimination in approaches to the establishment, introduction and collection of taxes, including indirect taxes, included in tariffs applied in inter-operator settlements. In doing so, the Parties shall </w:t>
      </w:r>
      <w:proofErr w:type="gramStart"/>
      <w:r w:rsidRPr="00741BEE">
        <w:rPr>
          <w:rFonts w:asciiTheme="minorHAnsi" w:hAnsiTheme="minorHAnsi" w:cstheme="minorHAnsi"/>
          <w:i/>
          <w:iCs/>
          <w:szCs w:val="24"/>
        </w:rPr>
        <w:t>take into account</w:t>
      </w:r>
      <w:proofErr w:type="gramEnd"/>
      <w:r w:rsidRPr="00741BEE">
        <w:rPr>
          <w:rFonts w:asciiTheme="minorHAnsi" w:hAnsiTheme="minorHAnsi" w:cstheme="minorHAnsi"/>
          <w:i/>
          <w:iCs/>
          <w:szCs w:val="24"/>
        </w:rPr>
        <w:t xml:space="preserve"> international practice in regulating the tax segment of the international telecommunications industry, </w:t>
      </w:r>
      <w:r w:rsidRPr="00741BEE">
        <w:rPr>
          <w:rFonts w:asciiTheme="minorHAnsi" w:hAnsiTheme="minorHAnsi" w:cstheme="minorHAnsi"/>
          <w:b/>
          <w:bCs/>
          <w:i/>
          <w:iCs/>
          <w:szCs w:val="24"/>
        </w:rPr>
        <w:t>including the International Telecommunication Regulations of the International Telecommunication Union</w:t>
      </w:r>
      <w:r w:rsidRPr="00741BEE">
        <w:rPr>
          <w:rFonts w:asciiTheme="minorHAnsi" w:hAnsiTheme="minorHAnsi" w:cstheme="minorHAnsi"/>
          <w:i/>
          <w:iCs/>
          <w:szCs w:val="24"/>
        </w:rPr>
        <w:t>.</w:t>
      </w:r>
      <w:r w:rsidRPr="00741BEE">
        <w:rPr>
          <w:rFonts w:asciiTheme="minorHAnsi" w:hAnsiTheme="minorHAnsi" w:cstheme="minorHAnsi"/>
          <w:szCs w:val="24"/>
          <w:lang w:val="en-US"/>
        </w:rPr>
        <w:t>».</w:t>
      </w:r>
    </w:p>
    <w:p w14:paraId="57E0A3A1" w14:textId="7D6DC1B3" w:rsidR="009A6548" w:rsidRPr="00741BEE" w:rsidRDefault="009A6548" w:rsidP="009A6548">
      <w:pPr>
        <w:jc w:val="both"/>
        <w:rPr>
          <w:rFonts w:asciiTheme="minorHAnsi" w:hAnsiTheme="minorHAnsi" w:cstheme="minorHAnsi"/>
          <w:szCs w:val="24"/>
          <w:lang w:val="en-US"/>
        </w:rPr>
      </w:pPr>
      <w:r w:rsidRPr="00741BEE">
        <w:rPr>
          <w:rFonts w:asciiTheme="minorHAnsi" w:hAnsiTheme="minorHAnsi" w:cstheme="minorHAnsi"/>
          <w:szCs w:val="24"/>
          <w:lang w:val="en-US"/>
        </w:rPr>
        <w:t xml:space="preserve">2.2. Main </w:t>
      </w:r>
      <w:r w:rsidR="005C6037" w:rsidRPr="00741BEE">
        <w:rPr>
          <w:rFonts w:asciiTheme="minorHAnsi" w:hAnsiTheme="minorHAnsi" w:cstheme="minorHAnsi"/>
          <w:szCs w:val="24"/>
          <w:lang w:val="en-US"/>
        </w:rPr>
        <w:t xml:space="preserve">summarized </w:t>
      </w:r>
      <w:r w:rsidRPr="00741BEE">
        <w:rPr>
          <w:rFonts w:asciiTheme="minorHAnsi" w:hAnsiTheme="minorHAnsi" w:cstheme="minorHAnsi"/>
          <w:szCs w:val="24"/>
          <w:lang w:val="en-US"/>
        </w:rPr>
        <w:t>results of the survey</w:t>
      </w:r>
      <w:r w:rsidR="005C6037" w:rsidRPr="00741BEE">
        <w:rPr>
          <w:rFonts w:asciiTheme="minorHAnsi" w:hAnsiTheme="minorHAnsi" w:cstheme="minorHAnsi"/>
          <w:szCs w:val="24"/>
          <w:lang w:val="en-US"/>
        </w:rPr>
        <w:t xml:space="preserve"> on the applicability of the ITRs</w:t>
      </w:r>
      <w:r w:rsidRPr="00741BEE">
        <w:rPr>
          <w:rFonts w:asciiTheme="minorHAnsi" w:hAnsiTheme="minorHAnsi" w:cstheme="minorHAnsi"/>
          <w:szCs w:val="24"/>
          <w:lang w:val="en-US"/>
        </w:rPr>
        <w:t xml:space="preserve"> are set out below.</w:t>
      </w:r>
    </w:p>
    <w:p w14:paraId="64D7682F" w14:textId="6FA486F6" w:rsidR="009A6548" w:rsidRPr="00741BEE" w:rsidRDefault="00074EB9" w:rsidP="00C363B3">
      <w:pPr>
        <w:spacing w:before="240" w:after="120"/>
        <w:jc w:val="center"/>
        <w:rPr>
          <w:rFonts w:asciiTheme="minorHAnsi" w:hAnsiTheme="minorHAnsi" w:cstheme="minorHAnsi"/>
          <w:b/>
          <w:bCs/>
          <w:szCs w:val="24"/>
          <w:lang w:val="en-US"/>
        </w:rPr>
      </w:pPr>
      <w:r w:rsidRPr="00741BEE">
        <w:rPr>
          <w:rFonts w:asciiTheme="minorHAnsi" w:hAnsiTheme="minorHAnsi" w:cstheme="minorHAnsi"/>
          <w:b/>
          <w:bCs/>
          <w:szCs w:val="24"/>
          <w:lang w:val="en-US"/>
        </w:rPr>
        <w:t xml:space="preserve">Questionnaire on the applicability of </w:t>
      </w:r>
      <w:proofErr w:type="gramStart"/>
      <w:r w:rsidRPr="00741BEE">
        <w:rPr>
          <w:rFonts w:asciiTheme="minorHAnsi" w:hAnsiTheme="minorHAnsi" w:cstheme="minorHAnsi"/>
          <w:b/>
          <w:bCs/>
          <w:szCs w:val="24"/>
          <w:lang w:val="en-US"/>
        </w:rPr>
        <w:t>the International</w:t>
      </w:r>
      <w:proofErr w:type="gramEnd"/>
      <w:r w:rsidRPr="00741BEE">
        <w:rPr>
          <w:rFonts w:asciiTheme="minorHAnsi" w:hAnsiTheme="minorHAnsi" w:cstheme="minorHAnsi"/>
          <w:b/>
          <w:bCs/>
          <w:szCs w:val="24"/>
          <w:lang w:val="en-US"/>
        </w:rPr>
        <w:t xml:space="preserve"> Telecommunication Regulations (ITR</w:t>
      </w:r>
      <w:r w:rsidR="005C6037" w:rsidRPr="00741BEE">
        <w:rPr>
          <w:rFonts w:asciiTheme="minorHAnsi" w:hAnsiTheme="minorHAnsi" w:cstheme="minorHAnsi"/>
          <w:b/>
          <w:bCs/>
          <w:szCs w:val="24"/>
          <w:lang w:val="en-US"/>
        </w:rPr>
        <w:t>s</w:t>
      </w:r>
      <w:r w:rsidRPr="00741BEE">
        <w:rPr>
          <w:rFonts w:asciiTheme="minorHAnsi" w:hAnsiTheme="minorHAnsi" w:cstheme="minorHAnsi"/>
          <w:b/>
          <w:bCs/>
          <w:szCs w:val="24"/>
          <w:lang w:val="en-US"/>
        </w:rPr>
        <w:t>) to the activities of telecommunication operators in the RCC/CIS region</w:t>
      </w:r>
    </w:p>
    <w:tbl>
      <w:tblPr>
        <w:tblStyle w:val="TableGrid"/>
        <w:tblW w:w="5000" w:type="pct"/>
        <w:tblLook w:val="04A0" w:firstRow="1" w:lastRow="0" w:firstColumn="1" w:lastColumn="0" w:noHBand="0" w:noVBand="1"/>
      </w:tblPr>
      <w:tblGrid>
        <w:gridCol w:w="5611"/>
        <w:gridCol w:w="3450"/>
      </w:tblGrid>
      <w:tr w:rsidR="00074EB9" w:rsidRPr="00741BEE" w14:paraId="221812A5" w14:textId="77777777" w:rsidTr="008F487D">
        <w:trPr>
          <w:tblHeader/>
        </w:trPr>
        <w:tc>
          <w:tcPr>
            <w:tcW w:w="3096" w:type="pct"/>
            <w:shd w:val="clear" w:color="auto" w:fill="B6DDE8" w:themeFill="accent5" w:themeFillTint="66"/>
          </w:tcPr>
          <w:p w14:paraId="0368D09F" w14:textId="4B155C0A" w:rsidR="00074EB9" w:rsidRPr="00741BEE" w:rsidRDefault="00074EB9" w:rsidP="00074EB9">
            <w:pPr>
              <w:spacing w:before="0"/>
              <w:jc w:val="center"/>
              <w:rPr>
                <w:rFonts w:asciiTheme="minorHAnsi" w:hAnsiTheme="minorHAnsi" w:cstheme="minorHAnsi"/>
                <w:b/>
                <w:sz w:val="22"/>
              </w:rPr>
            </w:pPr>
            <w:r w:rsidRPr="00741BEE">
              <w:rPr>
                <w:rFonts w:asciiTheme="minorHAnsi" w:hAnsiTheme="minorHAnsi" w:cstheme="minorHAnsi"/>
                <w:b/>
                <w:sz w:val="22"/>
              </w:rPr>
              <w:t>Questionnaire Items</w:t>
            </w:r>
          </w:p>
        </w:tc>
        <w:tc>
          <w:tcPr>
            <w:tcW w:w="1904" w:type="pct"/>
            <w:shd w:val="clear" w:color="auto" w:fill="B6DDE8" w:themeFill="accent5" w:themeFillTint="66"/>
          </w:tcPr>
          <w:p w14:paraId="67181630" w14:textId="4119B75A" w:rsidR="00074EB9" w:rsidRPr="00741BEE" w:rsidRDefault="00074EB9" w:rsidP="00074EB9">
            <w:pPr>
              <w:spacing w:before="0"/>
              <w:jc w:val="center"/>
              <w:rPr>
                <w:rFonts w:asciiTheme="minorHAnsi" w:hAnsiTheme="minorHAnsi" w:cstheme="minorHAnsi"/>
                <w:b/>
                <w:sz w:val="22"/>
              </w:rPr>
            </w:pPr>
            <w:r w:rsidRPr="00741BEE">
              <w:rPr>
                <w:rFonts w:asciiTheme="minorHAnsi" w:hAnsiTheme="minorHAnsi" w:cstheme="minorHAnsi"/>
                <w:b/>
                <w:sz w:val="22"/>
              </w:rPr>
              <w:t>Answers</w:t>
            </w:r>
          </w:p>
        </w:tc>
      </w:tr>
      <w:tr w:rsidR="00074EB9" w:rsidRPr="00741BEE" w14:paraId="52989BCA" w14:textId="77777777" w:rsidTr="008F487D">
        <w:tc>
          <w:tcPr>
            <w:tcW w:w="3096" w:type="pct"/>
          </w:tcPr>
          <w:p w14:paraId="00E7F4F5" w14:textId="54F2790E" w:rsidR="00074EB9" w:rsidRPr="00741BEE" w:rsidRDefault="00074EB9" w:rsidP="00074EB9">
            <w:pPr>
              <w:spacing w:before="0"/>
              <w:rPr>
                <w:rFonts w:asciiTheme="minorHAnsi" w:hAnsiTheme="minorHAnsi" w:cstheme="minorHAnsi"/>
                <w:sz w:val="22"/>
                <w:lang w:val="en-US"/>
              </w:rPr>
            </w:pPr>
            <w:r w:rsidRPr="00741BEE">
              <w:rPr>
                <w:rStyle w:val="Strong"/>
                <w:rFonts w:asciiTheme="minorHAnsi" w:hAnsiTheme="minorHAnsi" w:cstheme="minorHAnsi"/>
                <w:sz w:val="22"/>
                <w:lang w:val="en-US"/>
              </w:rPr>
              <w:t>1. Do you apply the provisions of the ITRs and the relevant ITU-T Recommendations in international commercial agreements (hereinafter referred to as international treaties)?</w:t>
            </w:r>
          </w:p>
        </w:tc>
        <w:tc>
          <w:tcPr>
            <w:tcW w:w="1904" w:type="pct"/>
          </w:tcPr>
          <w:p w14:paraId="5DAD0B55" w14:textId="76ACFDDD" w:rsidR="00074EB9" w:rsidRPr="00741BEE" w:rsidRDefault="00074EB9" w:rsidP="00CE543D">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Yes, we apply provisions of the ITRs and of relevant ITU-T Recommendations (all</w:t>
            </w:r>
            <w:r w:rsidR="00CE543D" w:rsidRPr="00741BEE">
              <w:rPr>
                <w:rFonts w:asciiTheme="minorHAnsi" w:hAnsiTheme="minorHAnsi" w:cstheme="minorHAnsi"/>
                <w:i/>
                <w:iCs/>
                <w:sz w:val="22"/>
                <w:lang w:val="en-US"/>
              </w:rPr>
              <w:t xml:space="preserve"> survey</w:t>
            </w:r>
            <w:r w:rsidRPr="00741BEE">
              <w:rPr>
                <w:rFonts w:asciiTheme="minorHAnsi" w:hAnsiTheme="minorHAnsi" w:cstheme="minorHAnsi"/>
                <w:i/>
                <w:iCs/>
                <w:sz w:val="22"/>
                <w:lang w:val="en-US"/>
              </w:rPr>
              <w:t xml:space="preserve"> respondents).</w:t>
            </w:r>
          </w:p>
        </w:tc>
      </w:tr>
      <w:tr w:rsidR="00074EB9" w:rsidRPr="00741BEE" w14:paraId="57A3A5D4" w14:textId="77777777" w:rsidTr="008F487D">
        <w:tc>
          <w:tcPr>
            <w:tcW w:w="3096" w:type="pct"/>
          </w:tcPr>
          <w:p w14:paraId="08723FB4" w14:textId="49D00BFD" w:rsidR="00074EB9" w:rsidRPr="00741BEE" w:rsidRDefault="00074EB9" w:rsidP="00074EB9">
            <w:pPr>
              <w:pStyle w:val="msonormalmailrucssattributepostfix"/>
              <w:spacing w:before="0" w:beforeAutospacing="0" w:after="0" w:afterAutospacing="0"/>
              <w:rPr>
                <w:rStyle w:val="Strong"/>
                <w:rFonts w:asciiTheme="minorHAnsi" w:hAnsiTheme="minorHAnsi" w:cstheme="minorHAnsi"/>
                <w:sz w:val="22"/>
                <w:szCs w:val="22"/>
                <w:lang w:val="en-US"/>
              </w:rPr>
            </w:pPr>
            <w:r w:rsidRPr="00741BEE">
              <w:rPr>
                <w:rStyle w:val="Strong"/>
                <w:rFonts w:asciiTheme="minorHAnsi" w:hAnsiTheme="minorHAnsi" w:cstheme="minorHAnsi"/>
                <w:sz w:val="22"/>
                <w:szCs w:val="22"/>
                <w:lang w:val="en-US"/>
              </w:rPr>
              <w:t xml:space="preserve">2 In what percentage of international agreements do you </w:t>
            </w:r>
            <w:proofErr w:type="gramStart"/>
            <w:r w:rsidRPr="00741BEE">
              <w:rPr>
                <w:rStyle w:val="Strong"/>
                <w:rFonts w:asciiTheme="minorHAnsi" w:hAnsiTheme="minorHAnsi" w:cstheme="minorHAnsi"/>
                <w:sz w:val="22"/>
                <w:szCs w:val="22"/>
                <w:lang w:val="en-US"/>
              </w:rPr>
              <w:t>apply</w:t>
            </w:r>
            <w:proofErr w:type="gramEnd"/>
            <w:r w:rsidRPr="00741BEE">
              <w:rPr>
                <w:rStyle w:val="Strong"/>
                <w:rFonts w:asciiTheme="minorHAnsi" w:hAnsiTheme="minorHAnsi" w:cstheme="minorHAnsi"/>
                <w:sz w:val="22"/>
                <w:szCs w:val="22"/>
                <w:lang w:val="en-US"/>
              </w:rPr>
              <w:t xml:space="preserve"> the ITRs?</w:t>
            </w:r>
          </w:p>
        </w:tc>
        <w:tc>
          <w:tcPr>
            <w:tcW w:w="1904" w:type="pct"/>
          </w:tcPr>
          <w:p w14:paraId="23F8E1A7" w14:textId="21104CBD" w:rsidR="00B85209" w:rsidRPr="00741BEE" w:rsidRDefault="00B85209" w:rsidP="00074EB9">
            <w:pPr>
              <w:pStyle w:val="msonormalmailrucssattributepostfix"/>
              <w:spacing w:before="0" w:beforeAutospacing="0" w:after="0" w:afterAutospacing="0"/>
              <w:rPr>
                <w:rFonts w:asciiTheme="minorHAnsi" w:hAnsiTheme="minorHAnsi" w:cstheme="minorHAnsi"/>
                <w:i/>
                <w:iCs/>
                <w:sz w:val="22"/>
                <w:szCs w:val="22"/>
                <w:lang w:val="en-US"/>
              </w:rPr>
            </w:pPr>
            <w:r w:rsidRPr="00741BEE">
              <w:rPr>
                <w:rFonts w:asciiTheme="minorHAnsi" w:hAnsiTheme="minorHAnsi" w:cstheme="minorHAnsi"/>
                <w:i/>
                <w:iCs/>
                <w:sz w:val="22"/>
                <w:szCs w:val="22"/>
                <w:lang w:val="en-US"/>
              </w:rPr>
              <w:t>100% by both direct and indirect application:</w:t>
            </w:r>
          </w:p>
          <w:p w14:paraId="4A84E9C9" w14:textId="2A9191AA" w:rsidR="00074EB9" w:rsidRPr="00741BEE" w:rsidRDefault="00074EB9" w:rsidP="00074EB9">
            <w:pPr>
              <w:pStyle w:val="msonormalmailrucssattributepostfix"/>
              <w:spacing w:before="0" w:beforeAutospacing="0" w:after="0" w:afterAutospacing="0"/>
              <w:rPr>
                <w:rFonts w:asciiTheme="minorHAnsi" w:hAnsiTheme="minorHAnsi" w:cstheme="minorHAnsi"/>
                <w:i/>
                <w:iCs/>
                <w:sz w:val="22"/>
                <w:szCs w:val="22"/>
                <w:lang w:val="en-US"/>
              </w:rPr>
            </w:pPr>
            <w:r w:rsidRPr="00741BEE">
              <w:rPr>
                <w:rFonts w:asciiTheme="minorHAnsi" w:hAnsiTheme="minorHAnsi" w:cstheme="minorHAnsi"/>
                <w:i/>
                <w:iCs/>
                <w:sz w:val="22"/>
                <w:szCs w:val="22"/>
                <w:lang w:val="en-US"/>
              </w:rPr>
              <w:t>2.1. </w:t>
            </w:r>
            <w:r w:rsidR="00B85209" w:rsidRPr="00741BEE">
              <w:rPr>
                <w:rFonts w:asciiTheme="minorHAnsi" w:hAnsiTheme="minorHAnsi" w:cstheme="minorHAnsi"/>
                <w:i/>
                <w:iCs/>
                <w:sz w:val="22"/>
                <w:szCs w:val="22"/>
                <w:lang w:val="en-US"/>
              </w:rPr>
              <w:t>b</w:t>
            </w:r>
            <w:r w:rsidRPr="00741BEE">
              <w:rPr>
                <w:rFonts w:asciiTheme="minorHAnsi" w:hAnsiTheme="minorHAnsi" w:cstheme="minorHAnsi"/>
                <w:i/>
                <w:iCs/>
                <w:sz w:val="22"/>
                <w:szCs w:val="22"/>
                <w:lang w:val="en-US"/>
              </w:rPr>
              <w:t xml:space="preserve">y including an explicit reference: </w:t>
            </w:r>
          </w:p>
          <w:p w14:paraId="6809989D" w14:textId="4B6C468D" w:rsidR="00074EB9" w:rsidRPr="00741BEE" w:rsidRDefault="00074EB9" w:rsidP="00074EB9">
            <w:pPr>
              <w:pStyle w:val="msonormalmailrucssattributepostfix"/>
              <w:spacing w:before="0" w:beforeAutospacing="0" w:after="0" w:afterAutospacing="0"/>
              <w:rPr>
                <w:rFonts w:asciiTheme="minorHAnsi" w:hAnsiTheme="minorHAnsi" w:cstheme="minorHAnsi"/>
                <w:i/>
                <w:iCs/>
                <w:sz w:val="22"/>
                <w:szCs w:val="22"/>
                <w:lang w:val="en-US"/>
              </w:rPr>
            </w:pPr>
            <w:r w:rsidRPr="00741BEE">
              <w:rPr>
                <w:rFonts w:asciiTheme="minorHAnsi" w:hAnsiTheme="minorHAnsi" w:cstheme="minorHAnsi"/>
                <w:i/>
                <w:iCs/>
                <w:sz w:val="22"/>
                <w:szCs w:val="22"/>
                <w:lang w:val="en-US"/>
              </w:rPr>
              <w:t>– </w:t>
            </w:r>
            <w:r w:rsidR="00B85209" w:rsidRPr="00741BEE">
              <w:rPr>
                <w:rFonts w:asciiTheme="minorHAnsi" w:hAnsiTheme="minorHAnsi" w:cstheme="minorHAnsi"/>
                <w:i/>
                <w:iCs/>
                <w:sz w:val="22"/>
                <w:szCs w:val="22"/>
                <w:lang w:val="en-US"/>
              </w:rPr>
              <w:t>i</w:t>
            </w:r>
            <w:r w:rsidRPr="00741BEE">
              <w:rPr>
                <w:rFonts w:asciiTheme="minorHAnsi" w:hAnsiTheme="minorHAnsi" w:cstheme="minorHAnsi"/>
                <w:i/>
                <w:iCs/>
                <w:sz w:val="22"/>
                <w:szCs w:val="22"/>
                <w:lang w:val="en-US"/>
              </w:rPr>
              <w:t>n 70 per cent of international agreements.</w:t>
            </w:r>
          </w:p>
          <w:p w14:paraId="53309BA5" w14:textId="709673B6" w:rsidR="00074EB9" w:rsidRPr="00741BEE" w:rsidRDefault="00074EB9" w:rsidP="00074EB9">
            <w:pPr>
              <w:pStyle w:val="msonormalmailrucssattributepostfix"/>
              <w:spacing w:before="0" w:beforeAutospacing="0" w:after="0" w:afterAutospacing="0"/>
              <w:rPr>
                <w:rFonts w:asciiTheme="minorHAnsi" w:hAnsiTheme="minorHAnsi" w:cstheme="minorHAnsi"/>
                <w:i/>
                <w:iCs/>
                <w:sz w:val="22"/>
                <w:szCs w:val="22"/>
                <w:lang w:val="en-US"/>
              </w:rPr>
            </w:pPr>
            <w:r w:rsidRPr="00741BEE">
              <w:rPr>
                <w:rFonts w:asciiTheme="minorHAnsi" w:hAnsiTheme="minorHAnsi" w:cstheme="minorHAnsi"/>
                <w:i/>
                <w:iCs/>
                <w:sz w:val="22"/>
                <w:szCs w:val="22"/>
                <w:lang w:val="en-US"/>
              </w:rPr>
              <w:t xml:space="preserve">2.2 Indirectly, by applying provisions (without an explicit reference): </w:t>
            </w:r>
          </w:p>
          <w:p w14:paraId="220291E4" w14:textId="6423936E" w:rsidR="00074EB9" w:rsidRPr="00741BEE" w:rsidRDefault="00074EB9" w:rsidP="00074EB9">
            <w:pPr>
              <w:pStyle w:val="msonormalmailrucssattributepostfix"/>
              <w:spacing w:before="0" w:beforeAutospacing="0" w:after="0" w:afterAutospacing="0"/>
              <w:rPr>
                <w:rFonts w:asciiTheme="minorHAnsi" w:hAnsiTheme="minorHAnsi" w:cstheme="minorHAnsi"/>
                <w:b/>
                <w:bCs/>
                <w:sz w:val="22"/>
                <w:szCs w:val="22"/>
                <w:lang w:val="uz-Cyrl-UZ"/>
              </w:rPr>
            </w:pPr>
            <w:r w:rsidRPr="00741BEE">
              <w:rPr>
                <w:rFonts w:asciiTheme="minorHAnsi" w:hAnsiTheme="minorHAnsi" w:cstheme="minorHAnsi"/>
                <w:i/>
                <w:iCs/>
                <w:sz w:val="22"/>
                <w:szCs w:val="22"/>
                <w:lang w:val="en-US"/>
              </w:rPr>
              <w:t>– </w:t>
            </w:r>
            <w:r w:rsidR="00B85209" w:rsidRPr="00741BEE">
              <w:rPr>
                <w:rFonts w:asciiTheme="minorHAnsi" w:hAnsiTheme="minorHAnsi" w:cstheme="minorHAnsi"/>
                <w:i/>
                <w:iCs/>
                <w:sz w:val="22"/>
                <w:szCs w:val="22"/>
                <w:lang w:val="en-US"/>
              </w:rPr>
              <w:t>i</w:t>
            </w:r>
            <w:r w:rsidRPr="00741BEE">
              <w:rPr>
                <w:rFonts w:asciiTheme="minorHAnsi" w:hAnsiTheme="minorHAnsi" w:cstheme="minorHAnsi"/>
                <w:i/>
                <w:iCs/>
                <w:sz w:val="22"/>
                <w:szCs w:val="22"/>
                <w:lang w:val="en-US"/>
              </w:rPr>
              <w:t xml:space="preserve">n 30 per cent of international agreements </w:t>
            </w:r>
            <w:proofErr w:type="gramStart"/>
            <w:r w:rsidRPr="00741BEE">
              <w:rPr>
                <w:rFonts w:asciiTheme="minorHAnsi" w:hAnsiTheme="minorHAnsi" w:cstheme="minorHAnsi"/>
                <w:i/>
                <w:iCs/>
                <w:sz w:val="22"/>
                <w:szCs w:val="22"/>
                <w:lang w:val="en-US"/>
              </w:rPr>
              <w:t>and also</w:t>
            </w:r>
            <w:proofErr w:type="gramEnd"/>
            <w:r w:rsidRPr="00741BEE">
              <w:rPr>
                <w:rFonts w:asciiTheme="minorHAnsi" w:hAnsiTheme="minorHAnsi" w:cstheme="minorHAnsi"/>
                <w:i/>
                <w:iCs/>
                <w:sz w:val="22"/>
                <w:szCs w:val="22"/>
                <w:lang w:val="en-US"/>
              </w:rPr>
              <w:t xml:space="preserve"> by application in annexes to agreements</w:t>
            </w:r>
          </w:p>
        </w:tc>
      </w:tr>
      <w:tr w:rsidR="00074EB9" w:rsidRPr="00741BEE" w14:paraId="510B5978" w14:textId="77777777" w:rsidTr="008F487D">
        <w:tc>
          <w:tcPr>
            <w:tcW w:w="3096" w:type="pct"/>
          </w:tcPr>
          <w:p w14:paraId="3C1D933A" w14:textId="25583B92" w:rsidR="00074EB9" w:rsidRPr="00741BEE" w:rsidRDefault="00074EB9" w:rsidP="00074EB9">
            <w:pPr>
              <w:pStyle w:val="msonormalmailrucssattributepostfix"/>
              <w:spacing w:before="0" w:beforeAutospacing="0" w:after="0" w:afterAutospacing="0"/>
              <w:jc w:val="both"/>
              <w:rPr>
                <w:rStyle w:val="Strong"/>
                <w:rFonts w:asciiTheme="minorHAnsi" w:hAnsiTheme="minorHAnsi" w:cstheme="minorHAnsi"/>
                <w:sz w:val="22"/>
                <w:szCs w:val="22"/>
                <w:lang w:val="en-US"/>
              </w:rPr>
            </w:pPr>
            <w:r w:rsidRPr="00741BEE">
              <w:rPr>
                <w:rStyle w:val="Strong"/>
                <w:rFonts w:asciiTheme="minorHAnsi" w:hAnsiTheme="minorHAnsi" w:cstheme="minorHAnsi"/>
                <w:sz w:val="22"/>
                <w:szCs w:val="22"/>
                <w:lang w:val="en-US"/>
              </w:rPr>
              <w:t>3. </w:t>
            </w:r>
            <w:r w:rsidR="0045296E" w:rsidRPr="00741BEE">
              <w:rPr>
                <w:rStyle w:val="Strong"/>
                <w:rFonts w:asciiTheme="minorHAnsi" w:hAnsiTheme="minorHAnsi" w:cstheme="minorHAnsi"/>
                <w:sz w:val="22"/>
                <w:szCs w:val="22"/>
                <w:lang w:val="en-US"/>
              </w:rPr>
              <w:t xml:space="preserve">Which provisions of the ITRs do you apply in relations with your partners under international </w:t>
            </w:r>
            <w:r w:rsidR="00CA7BD8" w:rsidRPr="00741BEE">
              <w:rPr>
                <w:rStyle w:val="Strong"/>
                <w:rFonts w:asciiTheme="minorHAnsi" w:hAnsiTheme="minorHAnsi" w:cstheme="minorHAnsi"/>
                <w:sz w:val="22"/>
                <w:szCs w:val="22"/>
                <w:lang w:val="en-US"/>
              </w:rPr>
              <w:t>treaties</w:t>
            </w:r>
            <w:r w:rsidR="0045296E" w:rsidRPr="00741BEE">
              <w:rPr>
                <w:rStyle w:val="Strong"/>
                <w:rFonts w:asciiTheme="minorHAnsi" w:hAnsiTheme="minorHAnsi" w:cstheme="minorHAnsi"/>
                <w:sz w:val="22"/>
                <w:szCs w:val="22"/>
                <w:lang w:val="en-US"/>
              </w:rPr>
              <w:t xml:space="preserve">, and in what percentage of the international </w:t>
            </w:r>
            <w:r w:rsidR="00CA7BD8" w:rsidRPr="00741BEE">
              <w:rPr>
                <w:rStyle w:val="Strong"/>
                <w:rFonts w:asciiTheme="minorHAnsi" w:hAnsiTheme="minorHAnsi" w:cstheme="minorHAnsi"/>
                <w:sz w:val="22"/>
                <w:szCs w:val="22"/>
                <w:lang w:val="en-US"/>
              </w:rPr>
              <w:t xml:space="preserve">treaties </w:t>
            </w:r>
            <w:r w:rsidR="0045296E" w:rsidRPr="00741BEE">
              <w:rPr>
                <w:rStyle w:val="Strong"/>
                <w:rFonts w:asciiTheme="minorHAnsi" w:hAnsiTheme="minorHAnsi" w:cstheme="minorHAnsi"/>
                <w:sz w:val="22"/>
                <w:szCs w:val="22"/>
                <w:lang w:val="en-US"/>
              </w:rPr>
              <w:t>indicated in question 1 above?</w:t>
            </w:r>
          </w:p>
        </w:tc>
        <w:tc>
          <w:tcPr>
            <w:tcW w:w="1904" w:type="pct"/>
          </w:tcPr>
          <w:p w14:paraId="441BACDA" w14:textId="6E59A484" w:rsidR="00B85209" w:rsidRPr="00741BEE" w:rsidRDefault="00B85209" w:rsidP="00B85209">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1. Avoidance of double taxation - in 100% of contracts (</w:t>
            </w:r>
            <w:r w:rsidR="00E2452B" w:rsidRPr="00741BEE">
              <w:rPr>
                <w:rStyle w:val="Strong"/>
                <w:rFonts w:asciiTheme="minorHAnsi" w:hAnsiTheme="minorHAnsi" w:cstheme="minorHAnsi"/>
                <w:b w:val="0"/>
                <w:bCs w:val="0"/>
                <w:i/>
                <w:iCs/>
                <w:sz w:val="22"/>
                <w:szCs w:val="22"/>
                <w:lang w:val="en-US"/>
              </w:rPr>
              <w:t>RCC/</w:t>
            </w:r>
            <w:r w:rsidRPr="00741BEE">
              <w:rPr>
                <w:rStyle w:val="Strong"/>
                <w:rFonts w:asciiTheme="minorHAnsi" w:hAnsiTheme="minorHAnsi" w:cstheme="minorHAnsi"/>
                <w:b w:val="0"/>
                <w:bCs w:val="0"/>
                <w:i/>
                <w:iCs/>
                <w:sz w:val="22"/>
                <w:szCs w:val="22"/>
                <w:lang w:val="en-US"/>
              </w:rPr>
              <w:t>CIS</w:t>
            </w:r>
            <w:proofErr w:type="gramStart"/>
            <w:r w:rsidRPr="00741BEE">
              <w:rPr>
                <w:rStyle w:val="Strong"/>
                <w:rFonts w:asciiTheme="minorHAnsi" w:hAnsiTheme="minorHAnsi" w:cstheme="minorHAnsi"/>
                <w:b w:val="0"/>
                <w:bCs w:val="0"/>
                <w:i/>
                <w:iCs/>
                <w:sz w:val="22"/>
                <w:szCs w:val="22"/>
                <w:lang w:val="en-US"/>
              </w:rPr>
              <w:t>);</w:t>
            </w:r>
            <w:proofErr w:type="gramEnd"/>
          </w:p>
          <w:p w14:paraId="74C3133D" w14:textId="5368316B" w:rsidR="00B85209" w:rsidRPr="00741BEE" w:rsidRDefault="00E755F8" w:rsidP="00B85209">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2. G</w:t>
            </w:r>
            <w:r w:rsidR="00B85209" w:rsidRPr="00741BEE">
              <w:rPr>
                <w:rStyle w:val="Strong"/>
                <w:rFonts w:asciiTheme="minorHAnsi" w:hAnsiTheme="minorHAnsi" w:cstheme="minorHAnsi"/>
                <w:b w:val="0"/>
                <w:bCs w:val="0"/>
                <w:i/>
                <w:iCs/>
                <w:sz w:val="22"/>
                <w:szCs w:val="22"/>
                <w:lang w:val="en-US"/>
              </w:rPr>
              <w:t xml:space="preserve">ratuitousness of </w:t>
            </w:r>
            <w:r w:rsidRPr="00741BEE">
              <w:rPr>
                <w:rStyle w:val="Strong"/>
                <w:rFonts w:asciiTheme="minorHAnsi" w:hAnsiTheme="minorHAnsi" w:cstheme="minorHAnsi"/>
                <w:b w:val="0"/>
                <w:bCs w:val="0"/>
                <w:i/>
                <w:iCs/>
                <w:sz w:val="22"/>
                <w:szCs w:val="22"/>
                <w:lang w:val="en-US"/>
              </w:rPr>
              <w:t>service</w:t>
            </w:r>
            <w:r w:rsidR="00B85209" w:rsidRPr="00741BEE">
              <w:rPr>
                <w:rStyle w:val="Strong"/>
                <w:rFonts w:asciiTheme="minorHAnsi" w:hAnsiTheme="minorHAnsi" w:cstheme="minorHAnsi"/>
                <w:b w:val="0"/>
                <w:bCs w:val="0"/>
                <w:i/>
                <w:iCs/>
                <w:sz w:val="22"/>
                <w:szCs w:val="22"/>
                <w:lang w:val="en-US"/>
              </w:rPr>
              <w:t xml:space="preserve"> (technical) traffic - </w:t>
            </w:r>
            <w:r w:rsidRPr="00741BEE">
              <w:rPr>
                <w:rStyle w:val="Strong"/>
                <w:rFonts w:asciiTheme="minorHAnsi" w:hAnsiTheme="minorHAnsi" w:cstheme="minorHAnsi"/>
                <w:b w:val="0"/>
                <w:bCs w:val="0"/>
                <w:i/>
                <w:iCs/>
                <w:sz w:val="22"/>
                <w:szCs w:val="22"/>
                <w:lang w:val="en-US"/>
              </w:rPr>
              <w:t>service</w:t>
            </w:r>
            <w:r w:rsidR="00B85209" w:rsidRPr="00741BEE">
              <w:rPr>
                <w:rStyle w:val="Strong"/>
                <w:rFonts w:asciiTheme="minorHAnsi" w:hAnsiTheme="minorHAnsi" w:cstheme="minorHAnsi"/>
                <w:b w:val="0"/>
                <w:bCs w:val="0"/>
                <w:i/>
                <w:iCs/>
                <w:sz w:val="22"/>
                <w:szCs w:val="22"/>
                <w:lang w:val="en-US"/>
              </w:rPr>
              <w:t xml:space="preserve"> </w:t>
            </w:r>
            <w:r w:rsidRPr="00741BEE">
              <w:rPr>
                <w:rStyle w:val="Strong"/>
                <w:rFonts w:asciiTheme="minorHAnsi" w:hAnsiTheme="minorHAnsi" w:cstheme="minorHAnsi"/>
                <w:b w:val="0"/>
                <w:bCs w:val="0"/>
                <w:i/>
                <w:iCs/>
                <w:sz w:val="22"/>
                <w:szCs w:val="22"/>
                <w:lang w:val="en-US"/>
              </w:rPr>
              <w:lastRenderedPageBreak/>
              <w:t>tele</w:t>
            </w:r>
            <w:r w:rsidR="00B85209" w:rsidRPr="00741BEE">
              <w:rPr>
                <w:rStyle w:val="Strong"/>
                <w:rFonts w:asciiTheme="minorHAnsi" w:hAnsiTheme="minorHAnsi" w:cstheme="minorHAnsi"/>
                <w:b w:val="0"/>
                <w:bCs w:val="0"/>
                <w:i/>
                <w:iCs/>
                <w:sz w:val="22"/>
                <w:szCs w:val="22"/>
                <w:lang w:val="en-US"/>
              </w:rPr>
              <w:t xml:space="preserve">communications - in 100% of </w:t>
            </w:r>
            <w:proofErr w:type="gramStart"/>
            <w:r w:rsidR="00B85209" w:rsidRPr="00741BEE">
              <w:rPr>
                <w:rStyle w:val="Strong"/>
                <w:rFonts w:asciiTheme="minorHAnsi" w:hAnsiTheme="minorHAnsi" w:cstheme="minorHAnsi"/>
                <w:b w:val="0"/>
                <w:bCs w:val="0"/>
                <w:i/>
                <w:iCs/>
                <w:sz w:val="22"/>
                <w:szCs w:val="22"/>
                <w:lang w:val="en-US"/>
              </w:rPr>
              <w:t>contracts;</w:t>
            </w:r>
            <w:proofErr w:type="gramEnd"/>
          </w:p>
          <w:p w14:paraId="7AC60883" w14:textId="4036DAC4" w:rsidR="00B85209" w:rsidRPr="00741BEE" w:rsidRDefault="00E755F8" w:rsidP="00B85209">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3. A</w:t>
            </w:r>
            <w:r w:rsidR="00B85209" w:rsidRPr="00741BEE">
              <w:rPr>
                <w:rStyle w:val="Strong"/>
                <w:rFonts w:asciiTheme="minorHAnsi" w:hAnsiTheme="minorHAnsi" w:cstheme="minorHAnsi"/>
                <w:b w:val="0"/>
                <w:bCs w:val="0"/>
                <w:i/>
                <w:iCs/>
                <w:sz w:val="22"/>
                <w:szCs w:val="22"/>
                <w:lang w:val="en-US"/>
              </w:rPr>
              <w:t>pplication of offsets (offsetting - in 100% of contracts</w:t>
            </w:r>
            <w:proofErr w:type="gramStart"/>
            <w:r w:rsidR="00B85209" w:rsidRPr="00741BEE">
              <w:rPr>
                <w:rStyle w:val="Strong"/>
                <w:rFonts w:asciiTheme="minorHAnsi" w:hAnsiTheme="minorHAnsi" w:cstheme="minorHAnsi"/>
                <w:b w:val="0"/>
                <w:bCs w:val="0"/>
                <w:i/>
                <w:iCs/>
                <w:sz w:val="22"/>
                <w:szCs w:val="22"/>
                <w:lang w:val="en-US"/>
              </w:rPr>
              <w:t>);</w:t>
            </w:r>
            <w:proofErr w:type="gramEnd"/>
          </w:p>
          <w:p w14:paraId="7FEFFFA6" w14:textId="77777777" w:rsidR="00E2452B" w:rsidRPr="00741BEE" w:rsidRDefault="00E755F8"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4</w:t>
            </w:r>
            <w:r w:rsidRPr="00741BEE">
              <w:rPr>
                <w:rStyle w:val="Strong"/>
                <w:rFonts w:asciiTheme="minorHAnsi" w:hAnsiTheme="minorHAnsi" w:cstheme="minorHAnsi"/>
                <w:b w:val="0"/>
                <w:bCs w:val="0"/>
                <w:sz w:val="22"/>
                <w:szCs w:val="22"/>
                <w:lang w:val="en-US"/>
              </w:rPr>
              <w:t>. </w:t>
            </w:r>
            <w:r w:rsidRPr="00741BEE">
              <w:rPr>
                <w:rStyle w:val="Strong"/>
                <w:rFonts w:asciiTheme="minorHAnsi" w:hAnsiTheme="minorHAnsi" w:cstheme="minorHAnsi"/>
                <w:b w:val="0"/>
                <w:bCs w:val="0"/>
                <w:i/>
                <w:iCs/>
                <w:sz w:val="22"/>
                <w:szCs w:val="22"/>
                <w:lang w:val="en-US"/>
              </w:rPr>
              <w:t>P</w:t>
            </w:r>
            <w:r w:rsidR="00B85209" w:rsidRPr="00741BEE">
              <w:rPr>
                <w:rStyle w:val="Strong"/>
                <w:rFonts w:asciiTheme="minorHAnsi" w:hAnsiTheme="minorHAnsi" w:cstheme="minorHAnsi"/>
                <w:b w:val="0"/>
                <w:bCs w:val="0"/>
                <w:i/>
                <w:iCs/>
                <w:sz w:val="22"/>
                <w:szCs w:val="22"/>
                <w:lang w:val="en-US"/>
              </w:rPr>
              <w:t>ricing and settlements - in 100% of contracts</w:t>
            </w:r>
            <w:r w:rsidR="00E2452B" w:rsidRPr="00741BEE">
              <w:rPr>
                <w:rStyle w:val="Strong"/>
                <w:rFonts w:asciiTheme="minorHAnsi" w:hAnsiTheme="minorHAnsi" w:cstheme="minorHAnsi"/>
                <w:b w:val="0"/>
                <w:bCs w:val="0"/>
                <w:i/>
                <w:iCs/>
                <w:sz w:val="22"/>
                <w:szCs w:val="22"/>
                <w:lang w:val="en-US"/>
              </w:rPr>
              <w:t>:</w:t>
            </w:r>
          </w:p>
          <w:p w14:paraId="5A04CBE7" w14:textId="430D7D98" w:rsidR="00074EB9" w:rsidRPr="00741BEE" w:rsidRDefault="00E2452B" w:rsidP="00E2452B">
            <w:pPr>
              <w:pStyle w:val="NormalWeb"/>
              <w:spacing w:before="0" w:beforeAutospacing="0" w:after="0" w:afterAutospacing="0"/>
              <w:rPr>
                <w:rFonts w:asciiTheme="minorHAnsi" w:hAnsiTheme="minorHAnsi" w:cstheme="minorHAnsi"/>
                <w:i/>
                <w:iCs/>
                <w:sz w:val="22"/>
                <w:szCs w:val="22"/>
                <w:lang w:val="fr-FR"/>
              </w:rPr>
            </w:pPr>
            <w:r w:rsidRPr="00741BEE">
              <w:rPr>
                <w:rFonts w:asciiTheme="minorHAnsi" w:hAnsiTheme="minorHAnsi" w:cstheme="minorHAnsi"/>
                <w:i/>
                <w:iCs/>
                <w:sz w:val="22"/>
                <w:szCs w:val="22"/>
                <w:lang w:val="fr-FR"/>
              </w:rPr>
              <w:t xml:space="preserve">- ITU-T </w:t>
            </w:r>
            <w:proofErr w:type="spellStart"/>
            <w:r w:rsidRPr="00741BEE">
              <w:rPr>
                <w:rFonts w:asciiTheme="minorHAnsi" w:hAnsiTheme="minorHAnsi" w:cstheme="minorHAnsi"/>
                <w:i/>
                <w:iCs/>
                <w:sz w:val="22"/>
                <w:szCs w:val="22"/>
                <w:lang w:val="fr-FR"/>
              </w:rPr>
              <w:t>Recommendations</w:t>
            </w:r>
            <w:proofErr w:type="spellEnd"/>
            <w:r w:rsidRPr="00741BEE">
              <w:rPr>
                <w:rFonts w:asciiTheme="minorHAnsi" w:hAnsiTheme="minorHAnsi" w:cstheme="minorHAnsi"/>
                <w:i/>
                <w:iCs/>
                <w:sz w:val="22"/>
                <w:szCs w:val="22"/>
                <w:lang w:val="fr-FR"/>
              </w:rPr>
              <w:t xml:space="preserve"> D- </w:t>
            </w:r>
            <w:proofErr w:type="spellStart"/>
            <w:r w:rsidRPr="00741BEE">
              <w:rPr>
                <w:rFonts w:asciiTheme="minorHAnsi" w:hAnsiTheme="minorHAnsi" w:cstheme="minorHAnsi"/>
                <w:i/>
                <w:iCs/>
                <w:sz w:val="22"/>
                <w:szCs w:val="22"/>
                <w:lang w:val="fr-FR"/>
              </w:rPr>
              <w:t>Series</w:t>
            </w:r>
            <w:proofErr w:type="spellEnd"/>
            <w:r w:rsidRPr="00741BEE">
              <w:rPr>
                <w:rFonts w:asciiTheme="minorHAnsi" w:hAnsiTheme="minorHAnsi" w:cstheme="minorHAnsi"/>
                <w:i/>
                <w:iCs/>
                <w:sz w:val="22"/>
                <w:szCs w:val="22"/>
                <w:lang w:val="fr-FR"/>
              </w:rPr>
              <w:t xml:space="preserve">: </w:t>
            </w:r>
            <w:r w:rsidR="00074EB9" w:rsidRPr="00741BEE">
              <w:rPr>
                <w:rFonts w:asciiTheme="minorHAnsi" w:hAnsiTheme="minorHAnsi" w:cstheme="minorHAnsi"/>
                <w:i/>
                <w:iCs/>
                <w:sz w:val="22"/>
                <w:szCs w:val="22"/>
                <w:lang w:val="fr-FR"/>
              </w:rPr>
              <w:t>D.1, D.3, D.4, D.7, D.10, D.11, D.35, D.36, D.40, D.45, D.60, D.67, D.70, D.71, D.73, D.79, D.90, D.91, D.94, D.95, D.103, D.110, D.116, D.140, D.150, D.155, D.170, D.176, D.180, D.188, D.192, D.196, D.197, D.220, D.232, D.240, D.250, D.260, D.300, D.306R, D.307, D.500, D.501</w:t>
            </w:r>
            <w:r w:rsidRPr="00741BEE">
              <w:rPr>
                <w:rFonts w:asciiTheme="minorHAnsi" w:hAnsiTheme="minorHAnsi" w:cstheme="minorHAnsi"/>
                <w:i/>
                <w:iCs/>
                <w:sz w:val="22"/>
                <w:szCs w:val="22"/>
                <w:lang w:val="fr-FR"/>
              </w:rPr>
              <w:t>;</w:t>
            </w:r>
          </w:p>
          <w:p w14:paraId="02E29605" w14:textId="43B08340" w:rsidR="00E2452B" w:rsidRPr="00741BEE" w:rsidRDefault="00E2452B" w:rsidP="00E2452B">
            <w:pPr>
              <w:pStyle w:val="NormalWeb"/>
              <w:spacing w:before="0" w:beforeAutospacing="0" w:after="0" w:afterAutospacing="0"/>
              <w:rPr>
                <w:rFonts w:asciiTheme="minorHAnsi" w:hAnsiTheme="minorHAnsi" w:cstheme="minorHAnsi"/>
                <w:i/>
                <w:iCs/>
                <w:sz w:val="22"/>
                <w:szCs w:val="22"/>
                <w:lang w:val="en-US"/>
              </w:rPr>
            </w:pPr>
            <w:r w:rsidRPr="00741BEE">
              <w:rPr>
                <w:rFonts w:asciiTheme="minorHAnsi" w:hAnsiTheme="minorHAnsi" w:cstheme="minorHAnsi"/>
                <w:i/>
                <w:iCs/>
                <w:sz w:val="22"/>
                <w:szCs w:val="22"/>
                <w:lang w:val="en-US"/>
              </w:rPr>
              <w:t>- Sources used: Red Book (Volume II, issues II.1 – II.5), Blue Book, White Book; The provisions of the General Principles of Tariffing and the CCITT White Paper also apply.</w:t>
            </w:r>
          </w:p>
          <w:p w14:paraId="7D448C14" w14:textId="77777777" w:rsidR="00E2452B" w:rsidRPr="00741BEE" w:rsidRDefault="00E2452B"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5. International Telephone Service:</w:t>
            </w:r>
          </w:p>
          <w:p w14:paraId="58C19BC6" w14:textId="65E51CC3" w:rsidR="00E2452B" w:rsidRPr="00741BEE" w:rsidRDefault="00E2452B"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 ITU-T Recommendations E.100–E.600 series</w:t>
            </w:r>
            <w:r w:rsidR="00CA4AD6" w:rsidRPr="00741BEE">
              <w:rPr>
                <w:rStyle w:val="Strong"/>
                <w:rFonts w:asciiTheme="minorHAnsi" w:hAnsiTheme="minorHAnsi" w:cstheme="minorHAnsi"/>
                <w:b w:val="0"/>
                <w:bCs w:val="0"/>
                <w:i/>
                <w:iCs/>
                <w:sz w:val="22"/>
                <w:szCs w:val="22"/>
                <w:lang w:val="en-US"/>
              </w:rPr>
              <w:t xml:space="preserve"> (</w:t>
            </w:r>
            <w:r w:rsidRPr="00741BEE">
              <w:rPr>
                <w:rStyle w:val="Strong"/>
                <w:rFonts w:asciiTheme="minorHAnsi" w:hAnsiTheme="minorHAnsi" w:cstheme="minorHAnsi"/>
                <w:b w:val="0"/>
                <w:bCs w:val="0"/>
                <w:i/>
                <w:iCs/>
                <w:sz w:val="22"/>
                <w:szCs w:val="22"/>
                <w:lang w:val="en-US"/>
              </w:rPr>
              <w:t>General</w:t>
            </w:r>
            <w:r w:rsidR="00CA4AD6" w:rsidRPr="00741BEE">
              <w:rPr>
                <w:rStyle w:val="Strong"/>
                <w:rFonts w:asciiTheme="minorHAnsi" w:hAnsiTheme="minorHAnsi" w:cstheme="minorHAnsi"/>
                <w:b w:val="0"/>
                <w:bCs w:val="0"/>
                <w:i/>
                <w:iCs/>
                <w:sz w:val="22"/>
                <w:szCs w:val="22"/>
                <w:lang w:val="en-US"/>
              </w:rPr>
              <w:t xml:space="preserve"> </w:t>
            </w:r>
            <w:r w:rsidRPr="00741BEE">
              <w:rPr>
                <w:rStyle w:val="Strong"/>
                <w:rFonts w:asciiTheme="minorHAnsi" w:hAnsiTheme="minorHAnsi" w:cstheme="minorHAnsi"/>
                <w:b w:val="0"/>
                <w:bCs w:val="0"/>
                <w:i/>
                <w:iCs/>
                <w:sz w:val="22"/>
                <w:szCs w:val="22"/>
                <w:lang w:val="en-US"/>
              </w:rPr>
              <w:t>Operation</w:t>
            </w:r>
            <w:r w:rsidR="00CA4AD6" w:rsidRPr="00741BEE">
              <w:rPr>
                <w:rStyle w:val="Strong"/>
                <w:rFonts w:asciiTheme="minorHAnsi" w:hAnsiTheme="minorHAnsi" w:cstheme="minorHAnsi"/>
                <w:b w:val="0"/>
                <w:bCs w:val="0"/>
                <w:i/>
                <w:iCs/>
                <w:sz w:val="22"/>
                <w:szCs w:val="22"/>
                <w:lang w:val="en-US"/>
              </w:rPr>
              <w:t>,</w:t>
            </w:r>
            <w:r w:rsidRPr="00741BEE">
              <w:rPr>
                <w:rStyle w:val="Strong"/>
                <w:rFonts w:asciiTheme="minorHAnsi" w:hAnsiTheme="minorHAnsi" w:cstheme="minorHAnsi"/>
                <w:b w:val="0"/>
                <w:bCs w:val="0"/>
                <w:i/>
                <w:iCs/>
                <w:sz w:val="22"/>
                <w:szCs w:val="22"/>
                <w:lang w:val="en-US"/>
              </w:rPr>
              <w:t> Network Management and Load Calculations</w:t>
            </w:r>
            <w:proofErr w:type="gramStart"/>
            <w:r w:rsidR="00CA4AD6" w:rsidRPr="00741BEE">
              <w:rPr>
                <w:rStyle w:val="Strong"/>
                <w:rFonts w:asciiTheme="minorHAnsi" w:hAnsiTheme="minorHAnsi" w:cstheme="minorHAnsi"/>
                <w:b w:val="0"/>
                <w:bCs w:val="0"/>
                <w:i/>
                <w:iCs/>
                <w:sz w:val="22"/>
                <w:szCs w:val="22"/>
                <w:lang w:val="en-US"/>
              </w:rPr>
              <w:t>);</w:t>
            </w:r>
            <w:proofErr w:type="gramEnd"/>
          </w:p>
          <w:p w14:paraId="1681F2E5" w14:textId="0131CC77" w:rsidR="00E2452B" w:rsidRPr="00741BEE"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 </w:t>
            </w:r>
            <w:r w:rsidR="00E2452B" w:rsidRPr="00741BEE">
              <w:rPr>
                <w:rStyle w:val="Strong"/>
                <w:rFonts w:asciiTheme="minorHAnsi" w:hAnsiTheme="minorHAnsi" w:cstheme="minorHAnsi"/>
                <w:b w:val="0"/>
                <w:bCs w:val="0"/>
                <w:i/>
                <w:iCs/>
                <w:sz w:val="22"/>
                <w:szCs w:val="22"/>
                <w:lang w:val="en-US"/>
              </w:rPr>
              <w:t>References: Red Book, Volume II, Issues II.2 and II.3</w:t>
            </w:r>
            <w:r w:rsidRPr="00741BEE">
              <w:rPr>
                <w:rStyle w:val="Strong"/>
                <w:rFonts w:asciiTheme="minorHAnsi" w:hAnsiTheme="minorHAnsi" w:cstheme="minorHAnsi"/>
                <w:b w:val="0"/>
                <w:bCs w:val="0"/>
                <w:i/>
                <w:iCs/>
                <w:sz w:val="22"/>
                <w:szCs w:val="22"/>
                <w:lang w:val="en-US"/>
              </w:rPr>
              <w:t>.</w:t>
            </w:r>
          </w:p>
          <w:p w14:paraId="124FE741" w14:textId="3925B3A7" w:rsidR="00E2452B" w:rsidRPr="00741BEE"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6</w:t>
            </w:r>
            <w:r w:rsidR="00E2452B" w:rsidRPr="00741BEE">
              <w:rPr>
                <w:rStyle w:val="Strong"/>
                <w:rFonts w:asciiTheme="minorHAnsi" w:hAnsiTheme="minorHAnsi" w:cstheme="minorHAnsi"/>
                <w:b w:val="0"/>
                <w:bCs w:val="0"/>
                <w:i/>
                <w:iCs/>
                <w:sz w:val="22"/>
                <w:szCs w:val="22"/>
                <w:lang w:val="en-US"/>
              </w:rPr>
              <w:t>. Telematic Services:</w:t>
            </w:r>
          </w:p>
          <w:p w14:paraId="1E675499" w14:textId="399F31B0" w:rsidR="00E2452B" w:rsidRPr="00741BEE"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 xml:space="preserve">- ITU-T Recommendations </w:t>
            </w:r>
            <w:r w:rsidR="00E2452B" w:rsidRPr="00741BEE">
              <w:rPr>
                <w:rStyle w:val="Strong"/>
                <w:rFonts w:asciiTheme="minorHAnsi" w:hAnsiTheme="minorHAnsi" w:cstheme="minorHAnsi"/>
                <w:b w:val="0"/>
                <w:bCs w:val="0"/>
                <w:i/>
                <w:iCs/>
                <w:sz w:val="22"/>
                <w:szCs w:val="22"/>
                <w:lang w:val="en-US"/>
              </w:rPr>
              <w:t>F.160–F.350</w:t>
            </w:r>
            <w:r w:rsidRPr="00741BEE">
              <w:rPr>
                <w:rStyle w:val="Strong"/>
                <w:rFonts w:asciiTheme="minorHAnsi" w:hAnsiTheme="minorHAnsi" w:cstheme="minorHAnsi"/>
                <w:b w:val="0"/>
                <w:bCs w:val="0"/>
                <w:i/>
                <w:iCs/>
                <w:sz w:val="22"/>
                <w:szCs w:val="22"/>
                <w:lang w:val="en-US"/>
              </w:rPr>
              <w:t xml:space="preserve"> series</w:t>
            </w:r>
            <w:r w:rsidR="00E2452B" w:rsidRPr="00741BEE">
              <w:rPr>
                <w:rStyle w:val="Strong"/>
                <w:rFonts w:asciiTheme="minorHAnsi" w:hAnsiTheme="minorHAnsi" w:cstheme="minorHAnsi"/>
                <w:b w:val="0"/>
                <w:bCs w:val="0"/>
                <w:i/>
                <w:iCs/>
                <w:sz w:val="22"/>
                <w:szCs w:val="22"/>
                <w:lang w:val="en-US"/>
              </w:rPr>
              <w:t xml:space="preserve"> (Operation and Quality of Service</w:t>
            </w:r>
            <w:proofErr w:type="gramStart"/>
            <w:r w:rsidR="00E2452B" w:rsidRPr="00741BEE">
              <w:rPr>
                <w:rStyle w:val="Strong"/>
                <w:rFonts w:asciiTheme="minorHAnsi" w:hAnsiTheme="minorHAnsi" w:cstheme="minorHAnsi"/>
                <w:b w:val="0"/>
                <w:bCs w:val="0"/>
                <w:i/>
                <w:iCs/>
                <w:sz w:val="22"/>
                <w:szCs w:val="22"/>
                <w:lang w:val="en-US"/>
              </w:rPr>
              <w:t>)</w:t>
            </w:r>
            <w:r w:rsidRPr="00741BEE">
              <w:rPr>
                <w:rStyle w:val="Strong"/>
                <w:rFonts w:asciiTheme="minorHAnsi" w:hAnsiTheme="minorHAnsi" w:cstheme="minorHAnsi"/>
                <w:b w:val="0"/>
                <w:bCs w:val="0"/>
                <w:i/>
                <w:iCs/>
                <w:sz w:val="22"/>
                <w:szCs w:val="22"/>
                <w:lang w:val="en-US"/>
              </w:rPr>
              <w:t>;</w:t>
            </w:r>
            <w:proofErr w:type="gramEnd"/>
          </w:p>
          <w:p w14:paraId="7D253CF5" w14:textId="29F86749" w:rsidR="00E2452B" w:rsidRPr="00741BEE"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fr-FR"/>
              </w:rPr>
            </w:pPr>
            <w:r w:rsidRPr="00741BEE">
              <w:rPr>
                <w:rStyle w:val="Strong"/>
                <w:rFonts w:asciiTheme="minorHAnsi" w:hAnsiTheme="minorHAnsi" w:cstheme="minorHAnsi"/>
                <w:b w:val="0"/>
                <w:bCs w:val="0"/>
                <w:i/>
                <w:iCs/>
                <w:sz w:val="22"/>
                <w:szCs w:val="22"/>
                <w:lang w:val="fr-FR"/>
              </w:rPr>
              <w:t xml:space="preserve">- ITU-T </w:t>
            </w:r>
            <w:proofErr w:type="spellStart"/>
            <w:r w:rsidRPr="00741BEE">
              <w:rPr>
                <w:rStyle w:val="Strong"/>
                <w:rFonts w:asciiTheme="minorHAnsi" w:hAnsiTheme="minorHAnsi" w:cstheme="minorHAnsi"/>
                <w:b w:val="0"/>
                <w:bCs w:val="0"/>
                <w:i/>
                <w:iCs/>
                <w:sz w:val="22"/>
                <w:szCs w:val="22"/>
                <w:lang w:val="fr-FR"/>
              </w:rPr>
              <w:t>Recommendations</w:t>
            </w:r>
            <w:proofErr w:type="spellEnd"/>
            <w:r w:rsidR="00E2452B" w:rsidRPr="00741BEE">
              <w:rPr>
                <w:rStyle w:val="Strong"/>
                <w:rFonts w:asciiTheme="minorHAnsi" w:hAnsiTheme="minorHAnsi" w:cstheme="minorHAnsi"/>
                <w:b w:val="0"/>
                <w:bCs w:val="0"/>
                <w:i/>
                <w:iCs/>
                <w:sz w:val="22"/>
                <w:szCs w:val="22"/>
                <w:lang w:val="fr-FR"/>
              </w:rPr>
              <w:t xml:space="preserve"> T.0–T.101, T.64, T.65–T.101, T.150–T.390, T.400–T.418, T.431–T.564</w:t>
            </w:r>
            <w:r w:rsidRPr="00741BEE">
              <w:rPr>
                <w:rStyle w:val="Strong"/>
                <w:rFonts w:asciiTheme="minorHAnsi" w:hAnsiTheme="minorHAnsi" w:cstheme="minorHAnsi"/>
                <w:b w:val="0"/>
                <w:bCs w:val="0"/>
                <w:i/>
                <w:iCs/>
                <w:sz w:val="22"/>
                <w:szCs w:val="22"/>
                <w:lang w:val="fr-FR"/>
              </w:rPr>
              <w:t>;</w:t>
            </w:r>
          </w:p>
          <w:p w14:paraId="18A078DE" w14:textId="5217B724" w:rsidR="00E2452B" w:rsidRPr="00741BEE"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 </w:t>
            </w:r>
            <w:r w:rsidR="00E2452B" w:rsidRPr="00741BEE">
              <w:rPr>
                <w:rStyle w:val="Strong"/>
                <w:rFonts w:asciiTheme="minorHAnsi" w:hAnsiTheme="minorHAnsi" w:cstheme="minorHAnsi"/>
                <w:b w:val="0"/>
                <w:bCs w:val="0"/>
                <w:i/>
                <w:iCs/>
                <w:sz w:val="22"/>
                <w:szCs w:val="22"/>
                <w:lang w:val="en-US"/>
              </w:rPr>
              <w:t>References: Red and Blue Books (Volume VII, Issues VII.3 – VII.7)</w:t>
            </w:r>
            <w:r w:rsidRPr="00741BEE">
              <w:rPr>
                <w:rStyle w:val="Strong"/>
                <w:rFonts w:asciiTheme="minorHAnsi" w:hAnsiTheme="minorHAnsi" w:cstheme="minorHAnsi"/>
                <w:b w:val="0"/>
                <w:bCs w:val="0"/>
                <w:i/>
                <w:iCs/>
                <w:sz w:val="22"/>
                <w:szCs w:val="22"/>
                <w:lang w:val="en-US"/>
              </w:rPr>
              <w:t>.</w:t>
            </w:r>
          </w:p>
          <w:p w14:paraId="5F49ABD9" w14:textId="2EF2DFE9" w:rsidR="00E2452B" w:rsidRPr="00741BEE"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7</w:t>
            </w:r>
            <w:r w:rsidR="00E2452B" w:rsidRPr="00741BEE">
              <w:rPr>
                <w:rStyle w:val="Strong"/>
                <w:rFonts w:asciiTheme="minorHAnsi" w:hAnsiTheme="minorHAnsi" w:cstheme="minorHAnsi"/>
                <w:b w:val="0"/>
                <w:bCs w:val="0"/>
                <w:i/>
                <w:iCs/>
                <w:sz w:val="22"/>
                <w:szCs w:val="22"/>
                <w:lang w:val="en-US"/>
              </w:rPr>
              <w:t>. Technical Operation</w:t>
            </w:r>
            <w:r w:rsidRPr="00741BEE">
              <w:rPr>
                <w:rStyle w:val="Strong"/>
                <w:rFonts w:asciiTheme="minorHAnsi" w:hAnsiTheme="minorHAnsi" w:cstheme="minorHAnsi"/>
                <w:b w:val="0"/>
                <w:bCs w:val="0"/>
                <w:i/>
                <w:iCs/>
                <w:sz w:val="22"/>
                <w:szCs w:val="22"/>
                <w:lang w:val="en-US"/>
              </w:rPr>
              <w:t>, maintenance and maintenance organization</w:t>
            </w:r>
            <w:r w:rsidR="00E2452B" w:rsidRPr="00741BEE">
              <w:rPr>
                <w:rStyle w:val="Strong"/>
                <w:rFonts w:asciiTheme="minorHAnsi" w:hAnsiTheme="minorHAnsi" w:cstheme="minorHAnsi"/>
                <w:b w:val="0"/>
                <w:bCs w:val="0"/>
                <w:i/>
                <w:iCs/>
                <w:sz w:val="22"/>
                <w:szCs w:val="22"/>
                <w:lang w:val="en-US"/>
              </w:rPr>
              <w:t>:</w:t>
            </w:r>
          </w:p>
          <w:p w14:paraId="28527D73" w14:textId="3E36275D" w:rsidR="00E2452B" w:rsidRPr="00741BEE"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fr-FR"/>
              </w:rPr>
            </w:pPr>
            <w:r w:rsidRPr="00741BEE">
              <w:rPr>
                <w:rStyle w:val="Strong"/>
                <w:rFonts w:asciiTheme="minorHAnsi" w:hAnsiTheme="minorHAnsi" w:cstheme="minorHAnsi"/>
                <w:b w:val="0"/>
                <w:bCs w:val="0"/>
                <w:i/>
                <w:iCs/>
                <w:sz w:val="22"/>
                <w:szCs w:val="22"/>
                <w:lang w:val="fr-FR"/>
              </w:rPr>
              <w:t xml:space="preserve">- ITU-T </w:t>
            </w:r>
            <w:proofErr w:type="spellStart"/>
            <w:r w:rsidRPr="00741BEE">
              <w:rPr>
                <w:rStyle w:val="Strong"/>
                <w:rFonts w:asciiTheme="minorHAnsi" w:hAnsiTheme="minorHAnsi" w:cstheme="minorHAnsi"/>
                <w:b w:val="0"/>
                <w:bCs w:val="0"/>
                <w:i/>
                <w:iCs/>
                <w:sz w:val="22"/>
                <w:szCs w:val="22"/>
                <w:lang w:val="fr-FR"/>
              </w:rPr>
              <w:t>Recommendations</w:t>
            </w:r>
            <w:proofErr w:type="spellEnd"/>
            <w:r w:rsidRPr="00741BEE">
              <w:rPr>
                <w:rStyle w:val="Strong"/>
                <w:rFonts w:asciiTheme="minorHAnsi" w:hAnsiTheme="minorHAnsi" w:cstheme="minorHAnsi"/>
                <w:b w:val="0"/>
                <w:bCs w:val="0"/>
                <w:i/>
                <w:iCs/>
                <w:sz w:val="22"/>
                <w:szCs w:val="22"/>
                <w:lang w:val="fr-FR"/>
              </w:rPr>
              <w:t xml:space="preserve"> </w:t>
            </w:r>
            <w:r w:rsidR="00E2452B" w:rsidRPr="00741BEE">
              <w:rPr>
                <w:rStyle w:val="Strong"/>
                <w:rFonts w:asciiTheme="minorHAnsi" w:hAnsiTheme="minorHAnsi" w:cstheme="minorHAnsi"/>
                <w:b w:val="0"/>
                <w:bCs w:val="0"/>
                <w:i/>
                <w:iCs/>
                <w:sz w:val="22"/>
                <w:szCs w:val="22"/>
                <w:lang w:val="fr-FR"/>
              </w:rPr>
              <w:t>M.10–M.782, M.800–M.1375, M.1400</w:t>
            </w:r>
            <w:r w:rsidRPr="00741BEE">
              <w:rPr>
                <w:rStyle w:val="Strong"/>
                <w:rFonts w:asciiTheme="minorHAnsi" w:hAnsiTheme="minorHAnsi" w:cstheme="minorHAnsi"/>
                <w:b w:val="0"/>
                <w:bCs w:val="0"/>
                <w:i/>
                <w:iCs/>
                <w:sz w:val="22"/>
                <w:szCs w:val="22"/>
                <w:lang w:val="fr-FR"/>
              </w:rPr>
              <w:t>;</w:t>
            </w:r>
          </w:p>
          <w:p w14:paraId="7FA3618A" w14:textId="4E1D7E63" w:rsidR="00E2452B" w:rsidRPr="00741BEE"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fr-FR"/>
              </w:rPr>
            </w:pPr>
            <w:r w:rsidRPr="00741BEE">
              <w:rPr>
                <w:rStyle w:val="Strong"/>
                <w:rFonts w:asciiTheme="minorHAnsi" w:hAnsiTheme="minorHAnsi" w:cstheme="minorHAnsi"/>
                <w:b w:val="0"/>
                <w:bCs w:val="0"/>
                <w:i/>
                <w:iCs/>
                <w:sz w:val="22"/>
                <w:szCs w:val="22"/>
                <w:lang w:val="fr-FR"/>
              </w:rPr>
              <w:t xml:space="preserve">- ITU-T </w:t>
            </w:r>
            <w:proofErr w:type="spellStart"/>
            <w:r w:rsidRPr="00741BEE">
              <w:rPr>
                <w:rStyle w:val="Strong"/>
                <w:rFonts w:asciiTheme="minorHAnsi" w:hAnsiTheme="minorHAnsi" w:cstheme="minorHAnsi"/>
                <w:b w:val="0"/>
                <w:bCs w:val="0"/>
                <w:i/>
                <w:iCs/>
                <w:sz w:val="22"/>
                <w:szCs w:val="22"/>
                <w:lang w:val="fr-FR"/>
              </w:rPr>
              <w:t>Recommendations</w:t>
            </w:r>
            <w:proofErr w:type="spellEnd"/>
            <w:r w:rsidRPr="00741BEE">
              <w:rPr>
                <w:rStyle w:val="Strong"/>
                <w:rFonts w:asciiTheme="minorHAnsi" w:hAnsiTheme="minorHAnsi" w:cstheme="minorHAnsi"/>
                <w:b w:val="0"/>
                <w:bCs w:val="0"/>
                <w:i/>
                <w:iCs/>
                <w:sz w:val="22"/>
                <w:szCs w:val="22"/>
                <w:lang w:val="fr-FR"/>
              </w:rPr>
              <w:t xml:space="preserve"> </w:t>
            </w:r>
            <w:r w:rsidR="00E2452B" w:rsidRPr="00741BEE">
              <w:rPr>
                <w:rStyle w:val="Strong"/>
                <w:rFonts w:asciiTheme="minorHAnsi" w:hAnsiTheme="minorHAnsi" w:cstheme="minorHAnsi"/>
                <w:b w:val="0"/>
                <w:bCs w:val="0"/>
                <w:i/>
                <w:iCs/>
                <w:sz w:val="22"/>
                <w:szCs w:val="22"/>
                <w:lang w:val="fr-FR"/>
              </w:rPr>
              <w:t>X.300–X.370</w:t>
            </w:r>
            <w:r w:rsidRPr="00741BEE">
              <w:rPr>
                <w:rStyle w:val="Strong"/>
                <w:rFonts w:asciiTheme="minorHAnsi" w:hAnsiTheme="minorHAnsi" w:cstheme="minorHAnsi"/>
                <w:b w:val="0"/>
                <w:bCs w:val="0"/>
                <w:i/>
                <w:iCs/>
                <w:sz w:val="22"/>
                <w:szCs w:val="22"/>
                <w:lang w:val="fr-FR"/>
              </w:rPr>
              <w:t>;</w:t>
            </w:r>
          </w:p>
          <w:p w14:paraId="39E1F740" w14:textId="4C5ACA82" w:rsidR="00E2452B" w:rsidRPr="00741BEE"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 </w:t>
            </w:r>
            <w:r w:rsidR="00E2452B" w:rsidRPr="00741BEE">
              <w:rPr>
                <w:rStyle w:val="Strong"/>
                <w:rFonts w:asciiTheme="minorHAnsi" w:hAnsiTheme="minorHAnsi" w:cstheme="minorHAnsi"/>
                <w:b w:val="0"/>
                <w:bCs w:val="0"/>
                <w:i/>
                <w:iCs/>
                <w:sz w:val="22"/>
                <w:szCs w:val="22"/>
                <w:lang w:val="en-US"/>
              </w:rPr>
              <w:t>References: Blue Book (Vol. IV and Vol. VIII)</w:t>
            </w:r>
            <w:r w:rsidRPr="00741BEE">
              <w:rPr>
                <w:rStyle w:val="Strong"/>
                <w:rFonts w:asciiTheme="minorHAnsi" w:hAnsiTheme="minorHAnsi" w:cstheme="minorHAnsi"/>
                <w:b w:val="0"/>
                <w:bCs w:val="0"/>
                <w:i/>
                <w:iCs/>
                <w:sz w:val="22"/>
                <w:szCs w:val="22"/>
                <w:lang w:val="en-US"/>
              </w:rPr>
              <w:t>.</w:t>
            </w:r>
          </w:p>
          <w:p w14:paraId="2CD71F81" w14:textId="176EE719" w:rsidR="00E2452B" w:rsidRPr="00741BEE"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8</w:t>
            </w:r>
            <w:r w:rsidR="00E2452B" w:rsidRPr="00741BEE">
              <w:rPr>
                <w:rStyle w:val="Strong"/>
                <w:rFonts w:asciiTheme="minorHAnsi" w:hAnsiTheme="minorHAnsi" w:cstheme="minorHAnsi"/>
                <w:b w:val="0"/>
                <w:bCs w:val="0"/>
                <w:i/>
                <w:iCs/>
                <w:sz w:val="22"/>
                <w:szCs w:val="22"/>
                <w:lang w:val="en-US"/>
              </w:rPr>
              <w:t>.</w:t>
            </w:r>
            <w:r w:rsidRPr="00741BEE">
              <w:rPr>
                <w:rStyle w:val="Strong"/>
                <w:rFonts w:asciiTheme="minorHAnsi" w:hAnsiTheme="minorHAnsi" w:cstheme="minorHAnsi"/>
                <w:b w:val="0"/>
                <w:bCs w:val="0"/>
                <w:i/>
                <w:iCs/>
                <w:sz w:val="22"/>
                <w:szCs w:val="22"/>
                <w:lang w:val="en-US"/>
              </w:rPr>
              <w:t> </w:t>
            </w:r>
            <w:proofErr w:type="spellStart"/>
            <w:r w:rsidR="00E2452B" w:rsidRPr="00741BEE">
              <w:rPr>
                <w:rStyle w:val="Strong"/>
                <w:rFonts w:asciiTheme="minorHAnsi" w:hAnsiTheme="minorHAnsi" w:cstheme="minorHAnsi"/>
                <w:b w:val="0"/>
                <w:bCs w:val="0"/>
                <w:i/>
                <w:iCs/>
                <w:sz w:val="22"/>
                <w:szCs w:val="22"/>
                <w:lang w:val="en-US"/>
              </w:rPr>
              <w:t>Signalling</w:t>
            </w:r>
            <w:proofErr w:type="spellEnd"/>
            <w:r w:rsidR="00E2452B" w:rsidRPr="00741BEE">
              <w:rPr>
                <w:rStyle w:val="Strong"/>
                <w:rFonts w:asciiTheme="minorHAnsi" w:hAnsiTheme="minorHAnsi" w:cstheme="minorHAnsi"/>
                <w:b w:val="0"/>
                <w:bCs w:val="0"/>
                <w:i/>
                <w:iCs/>
                <w:sz w:val="22"/>
                <w:szCs w:val="22"/>
                <w:lang w:val="en-US"/>
              </w:rPr>
              <w:t xml:space="preserve"> and </w:t>
            </w:r>
            <w:r w:rsidRPr="00741BEE">
              <w:rPr>
                <w:rStyle w:val="Strong"/>
                <w:rFonts w:asciiTheme="minorHAnsi" w:hAnsiTheme="minorHAnsi" w:cstheme="minorHAnsi"/>
                <w:b w:val="0"/>
                <w:bCs w:val="0"/>
                <w:i/>
                <w:iCs/>
                <w:sz w:val="22"/>
                <w:szCs w:val="22"/>
                <w:lang w:val="en-US"/>
              </w:rPr>
              <w:t>Transmission</w:t>
            </w:r>
            <w:r w:rsidR="00E2452B" w:rsidRPr="00741BEE">
              <w:rPr>
                <w:rStyle w:val="Strong"/>
                <w:rFonts w:asciiTheme="minorHAnsi" w:hAnsiTheme="minorHAnsi" w:cstheme="minorHAnsi"/>
                <w:b w:val="0"/>
                <w:bCs w:val="0"/>
                <w:i/>
                <w:iCs/>
                <w:sz w:val="22"/>
                <w:szCs w:val="22"/>
                <w:lang w:val="en-US"/>
              </w:rPr>
              <w:t>:</w:t>
            </w:r>
          </w:p>
          <w:p w14:paraId="53E055C1" w14:textId="6C6A2E92" w:rsidR="00E2452B" w:rsidRPr="00D62302"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fr-CH"/>
              </w:rPr>
            </w:pPr>
            <w:r w:rsidRPr="00D62302">
              <w:rPr>
                <w:rStyle w:val="Strong"/>
                <w:rFonts w:asciiTheme="minorHAnsi" w:hAnsiTheme="minorHAnsi" w:cstheme="minorHAnsi"/>
                <w:b w:val="0"/>
                <w:bCs w:val="0"/>
                <w:i/>
                <w:iCs/>
                <w:sz w:val="22"/>
                <w:szCs w:val="22"/>
                <w:lang w:val="fr-CH"/>
              </w:rPr>
              <w:t xml:space="preserve">- ITU-T </w:t>
            </w:r>
            <w:proofErr w:type="spellStart"/>
            <w:r w:rsidRPr="00D62302">
              <w:rPr>
                <w:rStyle w:val="Strong"/>
                <w:rFonts w:asciiTheme="minorHAnsi" w:hAnsiTheme="minorHAnsi" w:cstheme="minorHAnsi"/>
                <w:b w:val="0"/>
                <w:bCs w:val="0"/>
                <w:i/>
                <w:iCs/>
                <w:sz w:val="22"/>
                <w:szCs w:val="22"/>
                <w:lang w:val="fr-CH"/>
              </w:rPr>
              <w:t>Recommendations</w:t>
            </w:r>
            <w:proofErr w:type="spellEnd"/>
            <w:r w:rsidRPr="00D62302">
              <w:rPr>
                <w:rStyle w:val="Strong"/>
                <w:rFonts w:asciiTheme="minorHAnsi" w:hAnsiTheme="minorHAnsi" w:cstheme="minorHAnsi"/>
                <w:b w:val="0"/>
                <w:bCs w:val="0"/>
                <w:i/>
                <w:iCs/>
                <w:sz w:val="22"/>
                <w:szCs w:val="22"/>
                <w:lang w:val="fr-CH"/>
              </w:rPr>
              <w:t xml:space="preserve"> </w:t>
            </w:r>
            <w:r w:rsidR="00E2452B" w:rsidRPr="00D62302">
              <w:rPr>
                <w:rStyle w:val="Strong"/>
                <w:rFonts w:asciiTheme="minorHAnsi" w:hAnsiTheme="minorHAnsi" w:cstheme="minorHAnsi"/>
                <w:b w:val="0"/>
                <w:bCs w:val="0"/>
                <w:i/>
                <w:iCs/>
                <w:sz w:val="22"/>
                <w:szCs w:val="22"/>
                <w:lang w:val="fr-CH"/>
              </w:rPr>
              <w:t>G.101–G.181, G.704</w:t>
            </w:r>
            <w:r w:rsidRPr="00D62302">
              <w:rPr>
                <w:rStyle w:val="Strong"/>
                <w:rFonts w:asciiTheme="minorHAnsi" w:hAnsiTheme="minorHAnsi" w:cstheme="minorHAnsi"/>
                <w:b w:val="0"/>
                <w:bCs w:val="0"/>
                <w:i/>
                <w:iCs/>
                <w:sz w:val="22"/>
                <w:szCs w:val="22"/>
                <w:lang w:val="fr-CH"/>
              </w:rPr>
              <w:t>;</w:t>
            </w:r>
          </w:p>
          <w:p w14:paraId="6046A84D" w14:textId="4AAF1D66" w:rsidR="00E2452B" w:rsidRPr="00D62302" w:rsidRDefault="00CA4AD6" w:rsidP="00E2452B">
            <w:pPr>
              <w:pStyle w:val="NormalWeb"/>
              <w:spacing w:before="0" w:beforeAutospacing="0" w:after="0" w:afterAutospacing="0"/>
              <w:rPr>
                <w:rStyle w:val="Strong"/>
                <w:rFonts w:asciiTheme="minorHAnsi" w:hAnsiTheme="minorHAnsi" w:cstheme="minorHAnsi"/>
                <w:b w:val="0"/>
                <w:bCs w:val="0"/>
                <w:i/>
                <w:iCs/>
                <w:sz w:val="22"/>
                <w:szCs w:val="22"/>
                <w:lang w:val="fr-CH"/>
              </w:rPr>
            </w:pPr>
            <w:r w:rsidRPr="00D62302">
              <w:rPr>
                <w:rStyle w:val="Strong"/>
                <w:rFonts w:asciiTheme="minorHAnsi" w:hAnsiTheme="minorHAnsi" w:cstheme="minorHAnsi"/>
                <w:b w:val="0"/>
                <w:bCs w:val="0"/>
                <w:i/>
                <w:iCs/>
                <w:sz w:val="22"/>
                <w:szCs w:val="22"/>
                <w:lang w:val="fr-CH"/>
              </w:rPr>
              <w:t>- </w:t>
            </w:r>
            <w:r w:rsidR="00C76CA4" w:rsidRPr="00D62302">
              <w:rPr>
                <w:rStyle w:val="Strong"/>
                <w:rFonts w:asciiTheme="minorHAnsi" w:hAnsiTheme="minorHAnsi" w:cstheme="minorHAnsi"/>
                <w:b w:val="0"/>
                <w:bCs w:val="0"/>
                <w:i/>
                <w:iCs/>
                <w:sz w:val="22"/>
                <w:szCs w:val="22"/>
                <w:lang w:val="fr-CH"/>
              </w:rPr>
              <w:t xml:space="preserve">ITU-T </w:t>
            </w:r>
            <w:proofErr w:type="spellStart"/>
            <w:r w:rsidR="00C76CA4" w:rsidRPr="00D62302">
              <w:rPr>
                <w:rStyle w:val="Strong"/>
                <w:rFonts w:asciiTheme="minorHAnsi" w:hAnsiTheme="minorHAnsi" w:cstheme="minorHAnsi"/>
                <w:b w:val="0"/>
                <w:bCs w:val="0"/>
                <w:i/>
                <w:iCs/>
                <w:sz w:val="22"/>
                <w:szCs w:val="22"/>
                <w:lang w:val="fr-CH"/>
              </w:rPr>
              <w:t>Recommendations</w:t>
            </w:r>
            <w:proofErr w:type="spellEnd"/>
            <w:r w:rsidR="00C76CA4" w:rsidRPr="00D62302">
              <w:rPr>
                <w:rStyle w:val="Strong"/>
                <w:rFonts w:asciiTheme="minorHAnsi" w:hAnsiTheme="minorHAnsi" w:cstheme="minorHAnsi"/>
                <w:b w:val="0"/>
                <w:bCs w:val="0"/>
                <w:i/>
                <w:iCs/>
                <w:sz w:val="22"/>
                <w:szCs w:val="22"/>
                <w:lang w:val="fr-CH"/>
              </w:rPr>
              <w:t xml:space="preserve"> </w:t>
            </w:r>
            <w:r w:rsidR="00E2452B" w:rsidRPr="00D62302">
              <w:rPr>
                <w:rStyle w:val="Strong"/>
                <w:rFonts w:asciiTheme="minorHAnsi" w:hAnsiTheme="minorHAnsi" w:cstheme="minorHAnsi"/>
                <w:b w:val="0"/>
                <w:bCs w:val="0"/>
                <w:i/>
                <w:iCs/>
                <w:sz w:val="22"/>
                <w:szCs w:val="22"/>
                <w:lang w:val="fr-CH"/>
              </w:rPr>
              <w:t>Q.700–Q.716, Q.784–Q.788</w:t>
            </w:r>
            <w:r w:rsidR="00C76CA4" w:rsidRPr="00D62302">
              <w:rPr>
                <w:rStyle w:val="Strong"/>
                <w:rFonts w:asciiTheme="minorHAnsi" w:hAnsiTheme="minorHAnsi" w:cstheme="minorHAnsi"/>
                <w:b w:val="0"/>
                <w:bCs w:val="0"/>
                <w:i/>
                <w:iCs/>
                <w:sz w:val="22"/>
                <w:szCs w:val="22"/>
                <w:lang w:val="fr-CH"/>
              </w:rPr>
              <w:t>;</w:t>
            </w:r>
          </w:p>
          <w:p w14:paraId="11B36DFD" w14:textId="62C502DC" w:rsidR="00E2452B" w:rsidRPr="00741BEE" w:rsidRDefault="00C76CA4"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 xml:space="preserve">- ITU-T Recommendations </w:t>
            </w:r>
            <w:r w:rsidR="00E2452B" w:rsidRPr="00741BEE">
              <w:rPr>
                <w:rStyle w:val="Strong"/>
                <w:rFonts w:asciiTheme="minorHAnsi" w:hAnsiTheme="minorHAnsi" w:cstheme="minorHAnsi"/>
                <w:b w:val="0"/>
                <w:bCs w:val="0"/>
                <w:i/>
                <w:iCs/>
                <w:sz w:val="22"/>
                <w:szCs w:val="22"/>
                <w:lang w:val="en-US"/>
              </w:rPr>
              <w:t>V.</w:t>
            </w:r>
            <w:proofErr w:type="gramStart"/>
            <w:r w:rsidR="00E2452B" w:rsidRPr="00741BEE">
              <w:rPr>
                <w:rStyle w:val="Strong"/>
                <w:rFonts w:asciiTheme="minorHAnsi" w:hAnsiTheme="minorHAnsi" w:cstheme="minorHAnsi"/>
                <w:b w:val="0"/>
                <w:bCs w:val="0"/>
                <w:i/>
                <w:iCs/>
                <w:sz w:val="22"/>
                <w:szCs w:val="22"/>
                <w:lang w:val="en-US"/>
              </w:rPr>
              <w:t>120</w:t>
            </w:r>
            <w:r w:rsidRPr="00741BEE">
              <w:rPr>
                <w:rStyle w:val="Strong"/>
                <w:rFonts w:asciiTheme="minorHAnsi" w:hAnsiTheme="minorHAnsi" w:cstheme="minorHAnsi"/>
                <w:b w:val="0"/>
                <w:bCs w:val="0"/>
                <w:i/>
                <w:iCs/>
                <w:sz w:val="22"/>
                <w:szCs w:val="22"/>
                <w:lang w:val="en-US"/>
              </w:rPr>
              <w:t>;</w:t>
            </w:r>
            <w:proofErr w:type="gramEnd"/>
          </w:p>
          <w:p w14:paraId="2B8F387C" w14:textId="5B3C5267" w:rsidR="00E2452B" w:rsidRPr="00741BEE" w:rsidRDefault="00C76CA4"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 </w:t>
            </w:r>
            <w:r w:rsidR="00E2452B" w:rsidRPr="00741BEE">
              <w:rPr>
                <w:rStyle w:val="Strong"/>
                <w:rFonts w:asciiTheme="minorHAnsi" w:hAnsiTheme="minorHAnsi" w:cstheme="minorHAnsi"/>
                <w:b w:val="0"/>
                <w:bCs w:val="0"/>
                <w:i/>
                <w:iCs/>
                <w:sz w:val="22"/>
                <w:szCs w:val="22"/>
                <w:lang w:val="en-US"/>
              </w:rPr>
              <w:t>References: Blue Book (Vol. III, VI, VIII), White Book</w:t>
            </w:r>
            <w:r w:rsidRPr="00741BEE">
              <w:rPr>
                <w:rStyle w:val="Strong"/>
                <w:rFonts w:asciiTheme="minorHAnsi" w:hAnsiTheme="minorHAnsi" w:cstheme="minorHAnsi"/>
                <w:b w:val="0"/>
                <w:bCs w:val="0"/>
                <w:i/>
                <w:iCs/>
                <w:sz w:val="22"/>
                <w:szCs w:val="22"/>
                <w:lang w:val="en-US"/>
              </w:rPr>
              <w:t>.</w:t>
            </w:r>
          </w:p>
          <w:p w14:paraId="3076C204" w14:textId="5ACECE32" w:rsidR="00E2452B" w:rsidRPr="00741BEE" w:rsidRDefault="00C76CA4"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9</w:t>
            </w:r>
            <w:r w:rsidR="00E2452B" w:rsidRPr="00741BEE">
              <w:rPr>
                <w:rStyle w:val="Strong"/>
                <w:rFonts w:asciiTheme="minorHAnsi" w:hAnsiTheme="minorHAnsi" w:cstheme="minorHAnsi"/>
                <w:b w:val="0"/>
                <w:bCs w:val="0"/>
                <w:i/>
                <w:iCs/>
                <w:sz w:val="22"/>
                <w:szCs w:val="22"/>
                <w:lang w:val="en-US"/>
              </w:rPr>
              <w:t>. Telegraph Transmission:</w:t>
            </w:r>
          </w:p>
          <w:p w14:paraId="56FDEC8B" w14:textId="7B6389E5" w:rsidR="00E2452B" w:rsidRPr="00D62302" w:rsidRDefault="00C76CA4" w:rsidP="00E2452B">
            <w:pPr>
              <w:pStyle w:val="NormalWeb"/>
              <w:spacing w:before="0" w:beforeAutospacing="0" w:after="0" w:afterAutospacing="0"/>
              <w:rPr>
                <w:rStyle w:val="Strong"/>
                <w:rFonts w:asciiTheme="minorHAnsi" w:hAnsiTheme="minorHAnsi" w:cstheme="minorHAnsi"/>
                <w:b w:val="0"/>
                <w:bCs w:val="0"/>
                <w:i/>
                <w:iCs/>
                <w:sz w:val="22"/>
                <w:szCs w:val="22"/>
                <w:lang w:val="fr-CH"/>
              </w:rPr>
            </w:pPr>
            <w:r w:rsidRPr="00D62302">
              <w:rPr>
                <w:rStyle w:val="Strong"/>
                <w:rFonts w:asciiTheme="minorHAnsi" w:hAnsiTheme="minorHAnsi" w:cstheme="minorHAnsi"/>
                <w:b w:val="0"/>
                <w:bCs w:val="0"/>
                <w:i/>
                <w:iCs/>
                <w:sz w:val="22"/>
                <w:szCs w:val="22"/>
                <w:lang w:val="fr-CH"/>
              </w:rPr>
              <w:t xml:space="preserve">- ITU-T </w:t>
            </w:r>
            <w:proofErr w:type="spellStart"/>
            <w:r w:rsidRPr="00D62302">
              <w:rPr>
                <w:rStyle w:val="Strong"/>
                <w:rFonts w:asciiTheme="minorHAnsi" w:hAnsiTheme="minorHAnsi" w:cstheme="minorHAnsi"/>
                <w:b w:val="0"/>
                <w:bCs w:val="0"/>
                <w:i/>
                <w:iCs/>
                <w:sz w:val="22"/>
                <w:szCs w:val="22"/>
                <w:lang w:val="fr-CH"/>
              </w:rPr>
              <w:t>Recommendations</w:t>
            </w:r>
            <w:proofErr w:type="spellEnd"/>
            <w:r w:rsidRPr="00D62302">
              <w:rPr>
                <w:rStyle w:val="Strong"/>
                <w:rFonts w:asciiTheme="minorHAnsi" w:hAnsiTheme="minorHAnsi" w:cstheme="minorHAnsi"/>
                <w:b w:val="0"/>
                <w:bCs w:val="0"/>
                <w:i/>
                <w:iCs/>
                <w:sz w:val="22"/>
                <w:szCs w:val="22"/>
                <w:lang w:val="fr-CH"/>
              </w:rPr>
              <w:t xml:space="preserve"> </w:t>
            </w:r>
            <w:r w:rsidR="00E2452B" w:rsidRPr="00D62302">
              <w:rPr>
                <w:rStyle w:val="Strong"/>
                <w:rFonts w:asciiTheme="minorHAnsi" w:hAnsiTheme="minorHAnsi" w:cstheme="minorHAnsi"/>
                <w:b w:val="0"/>
                <w:bCs w:val="0"/>
                <w:i/>
                <w:iCs/>
                <w:sz w:val="22"/>
                <w:szCs w:val="22"/>
                <w:lang w:val="fr-CH"/>
              </w:rPr>
              <w:t>R.2–R.150, S.1–S.140, U.1–U.140</w:t>
            </w:r>
            <w:r w:rsidRPr="00D62302">
              <w:rPr>
                <w:rStyle w:val="Strong"/>
                <w:rFonts w:asciiTheme="minorHAnsi" w:hAnsiTheme="minorHAnsi" w:cstheme="minorHAnsi"/>
                <w:b w:val="0"/>
                <w:bCs w:val="0"/>
                <w:i/>
                <w:iCs/>
                <w:sz w:val="22"/>
                <w:szCs w:val="22"/>
                <w:lang w:val="fr-CH"/>
              </w:rPr>
              <w:t>;</w:t>
            </w:r>
          </w:p>
          <w:p w14:paraId="66686936" w14:textId="1CC9964B" w:rsidR="00E2452B" w:rsidRPr="00741BEE" w:rsidRDefault="00C76CA4"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 </w:t>
            </w:r>
            <w:r w:rsidR="00E2452B" w:rsidRPr="00741BEE">
              <w:rPr>
                <w:rStyle w:val="Strong"/>
                <w:rFonts w:asciiTheme="minorHAnsi" w:hAnsiTheme="minorHAnsi" w:cstheme="minorHAnsi"/>
                <w:b w:val="0"/>
                <w:bCs w:val="0"/>
                <w:i/>
                <w:iCs/>
                <w:sz w:val="22"/>
                <w:szCs w:val="22"/>
                <w:lang w:val="en-US"/>
              </w:rPr>
              <w:t>References: Red Book (Vol. VII, Issues VII.1 – VII.2)</w:t>
            </w:r>
            <w:r w:rsidRPr="00741BEE">
              <w:rPr>
                <w:rStyle w:val="Strong"/>
                <w:rFonts w:asciiTheme="minorHAnsi" w:hAnsiTheme="minorHAnsi" w:cstheme="minorHAnsi"/>
                <w:b w:val="0"/>
                <w:bCs w:val="0"/>
                <w:i/>
                <w:iCs/>
                <w:sz w:val="22"/>
                <w:szCs w:val="22"/>
                <w:lang w:val="en-US"/>
              </w:rPr>
              <w:t>.</w:t>
            </w:r>
          </w:p>
          <w:p w14:paraId="4E9918DA" w14:textId="1142CDE7" w:rsidR="00E2452B" w:rsidRPr="00741BEE" w:rsidRDefault="00C76CA4"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10.</w:t>
            </w:r>
            <w:r w:rsidR="00E2452B" w:rsidRPr="00741BEE">
              <w:rPr>
                <w:rStyle w:val="Strong"/>
                <w:rFonts w:asciiTheme="minorHAnsi" w:hAnsiTheme="minorHAnsi" w:cstheme="minorHAnsi"/>
                <w:b w:val="0"/>
                <w:bCs w:val="0"/>
                <w:i/>
                <w:iCs/>
                <w:sz w:val="22"/>
                <w:szCs w:val="22"/>
                <w:lang w:val="en-US"/>
              </w:rPr>
              <w:t xml:space="preserve"> Description and </w:t>
            </w:r>
            <w:proofErr w:type="gramStart"/>
            <w:r w:rsidR="00E2452B" w:rsidRPr="00741BEE">
              <w:rPr>
                <w:rStyle w:val="Strong"/>
                <w:rFonts w:asciiTheme="minorHAnsi" w:hAnsiTheme="minorHAnsi" w:cstheme="minorHAnsi"/>
                <w:b w:val="0"/>
                <w:bCs w:val="0"/>
                <w:i/>
                <w:iCs/>
                <w:sz w:val="22"/>
                <w:szCs w:val="22"/>
                <w:lang w:val="en-US"/>
              </w:rPr>
              <w:t>Specification</w:t>
            </w:r>
            <w:proofErr w:type="gramEnd"/>
            <w:r w:rsidR="00E2452B" w:rsidRPr="00741BEE">
              <w:rPr>
                <w:rStyle w:val="Strong"/>
                <w:rFonts w:asciiTheme="minorHAnsi" w:hAnsiTheme="minorHAnsi" w:cstheme="minorHAnsi"/>
                <w:b w:val="0"/>
                <w:bCs w:val="0"/>
                <w:i/>
                <w:iCs/>
                <w:sz w:val="22"/>
                <w:szCs w:val="22"/>
                <w:lang w:val="en-US"/>
              </w:rPr>
              <w:t xml:space="preserve"> Languages:</w:t>
            </w:r>
          </w:p>
          <w:p w14:paraId="625B5409" w14:textId="1DB8097F" w:rsidR="00E2452B" w:rsidRPr="00741BEE" w:rsidRDefault="00C76CA4"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 ITU-T Recommendations</w:t>
            </w:r>
            <w:r w:rsidR="00E2452B" w:rsidRPr="00741BEE">
              <w:rPr>
                <w:rStyle w:val="Strong"/>
                <w:rFonts w:asciiTheme="minorHAnsi" w:hAnsiTheme="minorHAnsi" w:cstheme="minorHAnsi"/>
                <w:b w:val="0"/>
                <w:bCs w:val="0"/>
                <w:i/>
                <w:iCs/>
                <w:sz w:val="22"/>
                <w:szCs w:val="22"/>
                <w:lang w:val="en-US"/>
              </w:rPr>
              <w:t xml:space="preserve"> Z.100, Z.</w:t>
            </w:r>
            <w:proofErr w:type="gramStart"/>
            <w:r w:rsidR="00E2452B" w:rsidRPr="00741BEE">
              <w:rPr>
                <w:rStyle w:val="Strong"/>
                <w:rFonts w:asciiTheme="minorHAnsi" w:hAnsiTheme="minorHAnsi" w:cstheme="minorHAnsi"/>
                <w:b w:val="0"/>
                <w:bCs w:val="0"/>
                <w:i/>
                <w:iCs/>
                <w:sz w:val="22"/>
                <w:szCs w:val="22"/>
                <w:lang w:val="en-US"/>
              </w:rPr>
              <w:t>110</w:t>
            </w:r>
            <w:r w:rsidRPr="00741BEE">
              <w:rPr>
                <w:rStyle w:val="Strong"/>
                <w:rFonts w:asciiTheme="minorHAnsi" w:hAnsiTheme="minorHAnsi" w:cstheme="minorHAnsi"/>
                <w:b w:val="0"/>
                <w:bCs w:val="0"/>
                <w:i/>
                <w:iCs/>
                <w:sz w:val="22"/>
                <w:szCs w:val="22"/>
                <w:lang w:val="en-US"/>
              </w:rPr>
              <w:t>;</w:t>
            </w:r>
            <w:proofErr w:type="gramEnd"/>
          </w:p>
          <w:p w14:paraId="64B3CC3D" w14:textId="714DBB31" w:rsidR="00E2452B" w:rsidRPr="00741BEE" w:rsidRDefault="00C76CA4" w:rsidP="00E2452B">
            <w:pPr>
              <w:pStyle w:val="NormalWeb"/>
              <w:spacing w:before="0" w:beforeAutospacing="0" w:after="0" w:afterAutospacing="0"/>
              <w:rPr>
                <w:rStyle w:val="Strong"/>
                <w:rFonts w:asciiTheme="minorHAnsi" w:hAnsiTheme="minorHAnsi" w:cstheme="minorHAnsi"/>
                <w:b w:val="0"/>
                <w:bCs w:val="0"/>
                <w:i/>
                <w:iCs/>
                <w:sz w:val="22"/>
                <w:szCs w:val="22"/>
                <w:lang w:val="en-US"/>
              </w:rPr>
            </w:pPr>
            <w:r w:rsidRPr="00741BEE">
              <w:rPr>
                <w:rStyle w:val="Strong"/>
                <w:rFonts w:asciiTheme="minorHAnsi" w:hAnsiTheme="minorHAnsi" w:cstheme="minorHAnsi"/>
                <w:b w:val="0"/>
                <w:bCs w:val="0"/>
                <w:i/>
                <w:iCs/>
                <w:sz w:val="22"/>
                <w:szCs w:val="22"/>
                <w:lang w:val="en-US"/>
              </w:rPr>
              <w:t xml:space="preserve">- ITU-T Recommendations </w:t>
            </w:r>
            <w:r w:rsidR="00E2452B" w:rsidRPr="00741BEE">
              <w:rPr>
                <w:rStyle w:val="Strong"/>
                <w:rFonts w:asciiTheme="minorHAnsi" w:hAnsiTheme="minorHAnsi" w:cstheme="minorHAnsi"/>
                <w:b w:val="0"/>
                <w:bCs w:val="0"/>
                <w:i/>
                <w:iCs/>
                <w:sz w:val="22"/>
                <w:szCs w:val="22"/>
                <w:lang w:val="en-US"/>
              </w:rPr>
              <w:t>Z.100</w:t>
            </w:r>
            <w:r w:rsidRPr="00741BEE">
              <w:rPr>
                <w:rStyle w:val="Strong"/>
                <w:rFonts w:asciiTheme="minorHAnsi" w:hAnsiTheme="minorHAnsi" w:cstheme="minorHAnsi"/>
                <w:b w:val="0"/>
                <w:bCs w:val="0"/>
                <w:i/>
                <w:iCs/>
                <w:sz w:val="22"/>
                <w:szCs w:val="22"/>
                <w:lang w:val="en-US"/>
              </w:rPr>
              <w:t>,</w:t>
            </w:r>
            <w:r w:rsidR="00E2452B" w:rsidRPr="00741BEE">
              <w:rPr>
                <w:rStyle w:val="Strong"/>
                <w:rFonts w:asciiTheme="minorHAnsi" w:hAnsiTheme="minorHAnsi" w:cstheme="minorHAnsi"/>
                <w:b w:val="0"/>
                <w:bCs w:val="0"/>
                <w:i/>
                <w:iCs/>
                <w:sz w:val="22"/>
                <w:szCs w:val="22"/>
                <w:lang w:val="en-US"/>
              </w:rPr>
              <w:t xml:space="preserve"> Appendix D – SDL User’s </w:t>
            </w:r>
            <w:proofErr w:type="gramStart"/>
            <w:r w:rsidR="00E2452B" w:rsidRPr="00741BEE">
              <w:rPr>
                <w:rStyle w:val="Strong"/>
                <w:rFonts w:asciiTheme="minorHAnsi" w:hAnsiTheme="minorHAnsi" w:cstheme="minorHAnsi"/>
                <w:b w:val="0"/>
                <w:bCs w:val="0"/>
                <w:i/>
                <w:iCs/>
                <w:sz w:val="22"/>
                <w:szCs w:val="22"/>
                <w:lang w:val="en-US"/>
              </w:rPr>
              <w:t>Guide</w:t>
            </w:r>
            <w:r w:rsidRPr="00741BEE">
              <w:rPr>
                <w:rStyle w:val="Strong"/>
                <w:rFonts w:asciiTheme="minorHAnsi" w:hAnsiTheme="minorHAnsi" w:cstheme="minorHAnsi"/>
                <w:b w:val="0"/>
                <w:bCs w:val="0"/>
                <w:i/>
                <w:iCs/>
                <w:sz w:val="22"/>
                <w:szCs w:val="22"/>
                <w:lang w:val="en-US"/>
              </w:rPr>
              <w:t>;</w:t>
            </w:r>
            <w:proofErr w:type="gramEnd"/>
          </w:p>
          <w:p w14:paraId="00B23E44" w14:textId="46B12D61" w:rsidR="00074EB9" w:rsidRPr="00741BEE" w:rsidRDefault="00C76CA4" w:rsidP="00E2452B">
            <w:pPr>
              <w:spacing w:before="0"/>
              <w:rPr>
                <w:rFonts w:asciiTheme="minorHAnsi" w:hAnsiTheme="minorHAnsi" w:cstheme="minorHAnsi"/>
                <w:sz w:val="22"/>
                <w:lang w:val="en-US"/>
              </w:rPr>
            </w:pPr>
            <w:r w:rsidRPr="00741BEE">
              <w:rPr>
                <w:rStyle w:val="Strong"/>
                <w:rFonts w:asciiTheme="minorHAnsi" w:hAnsiTheme="minorHAnsi" w:cstheme="minorHAnsi"/>
                <w:b w:val="0"/>
                <w:bCs w:val="0"/>
                <w:i/>
                <w:iCs/>
                <w:sz w:val="22"/>
                <w:lang w:val="en-US"/>
              </w:rPr>
              <w:t>- </w:t>
            </w:r>
            <w:r w:rsidR="00E2452B" w:rsidRPr="00741BEE">
              <w:rPr>
                <w:rStyle w:val="Strong"/>
                <w:rFonts w:asciiTheme="minorHAnsi" w:hAnsiTheme="minorHAnsi" w:cstheme="minorHAnsi"/>
                <w:b w:val="0"/>
                <w:bCs w:val="0"/>
                <w:i/>
                <w:iCs/>
                <w:sz w:val="22"/>
                <w:lang w:val="en-US"/>
              </w:rPr>
              <w:t>References: Blue Book, Vol. X</w:t>
            </w:r>
            <w:r w:rsidRPr="00741BEE">
              <w:rPr>
                <w:rStyle w:val="Strong"/>
                <w:rFonts w:asciiTheme="minorHAnsi" w:hAnsiTheme="minorHAnsi" w:cstheme="minorHAnsi"/>
                <w:b w:val="0"/>
                <w:bCs w:val="0"/>
                <w:i/>
                <w:iCs/>
                <w:sz w:val="22"/>
                <w:lang w:val="en-US"/>
              </w:rPr>
              <w:t>.</w:t>
            </w:r>
          </w:p>
        </w:tc>
      </w:tr>
      <w:tr w:rsidR="00074EB9" w:rsidRPr="00741BEE" w14:paraId="004C6059" w14:textId="77777777" w:rsidTr="008F487D">
        <w:tc>
          <w:tcPr>
            <w:tcW w:w="3096" w:type="pct"/>
          </w:tcPr>
          <w:p w14:paraId="3B743539" w14:textId="220BF141" w:rsidR="00074EB9" w:rsidRPr="00741BEE" w:rsidRDefault="00CA7BD8" w:rsidP="00074EB9">
            <w:pPr>
              <w:pStyle w:val="msonormalmailrucssattributepostfix"/>
              <w:spacing w:before="0" w:beforeAutospacing="0" w:after="0" w:afterAutospacing="0"/>
              <w:jc w:val="both"/>
              <w:rPr>
                <w:rStyle w:val="Strong"/>
                <w:rFonts w:asciiTheme="minorHAnsi" w:hAnsiTheme="minorHAnsi" w:cstheme="minorHAnsi"/>
                <w:sz w:val="22"/>
                <w:szCs w:val="22"/>
                <w:lang w:val="en-US"/>
              </w:rPr>
            </w:pPr>
            <w:r w:rsidRPr="00741BEE">
              <w:rPr>
                <w:rStyle w:val="Strong"/>
                <w:rFonts w:asciiTheme="minorHAnsi" w:hAnsiTheme="minorHAnsi" w:cstheme="minorHAnsi"/>
                <w:sz w:val="22"/>
                <w:szCs w:val="22"/>
                <w:lang w:val="en-US"/>
              </w:rPr>
              <w:lastRenderedPageBreak/>
              <w:t>4. In what percentage of the total number of international treaties do you apply the relevant ITU-T Recommendations and which series, as indicated in question 1 above?</w:t>
            </w:r>
          </w:p>
        </w:tc>
        <w:tc>
          <w:tcPr>
            <w:tcW w:w="1904" w:type="pct"/>
          </w:tcPr>
          <w:p w14:paraId="255B7B59" w14:textId="0DA5BE4B" w:rsidR="00CA7BD8" w:rsidRPr="00741BEE" w:rsidRDefault="00F520F9" w:rsidP="00CA7BD8">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4.1. </w:t>
            </w:r>
            <w:r w:rsidR="00CA7BD8" w:rsidRPr="00741BEE">
              <w:rPr>
                <w:rFonts w:asciiTheme="minorHAnsi" w:hAnsiTheme="minorHAnsi" w:cstheme="minorHAnsi"/>
                <w:i/>
                <w:iCs/>
                <w:sz w:val="22"/>
                <w:lang w:val="en-US"/>
              </w:rPr>
              <w:t>By direct inclusion of a reference:</w:t>
            </w:r>
          </w:p>
          <w:p w14:paraId="0C3C19B1" w14:textId="77777777" w:rsidR="00CA7BD8" w:rsidRPr="00741BEE" w:rsidRDefault="00CA7BD8" w:rsidP="00CA7BD8">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 apply </w:t>
            </w:r>
            <w:proofErr w:type="gramStart"/>
            <w:r w:rsidRPr="00741BEE">
              <w:rPr>
                <w:rFonts w:asciiTheme="minorHAnsi" w:hAnsiTheme="minorHAnsi" w:cstheme="minorHAnsi"/>
                <w:i/>
                <w:iCs/>
                <w:sz w:val="22"/>
                <w:lang w:val="en-US"/>
              </w:rPr>
              <w:t>it in</w:t>
            </w:r>
            <w:proofErr w:type="gramEnd"/>
            <w:r w:rsidRPr="00741BEE">
              <w:rPr>
                <w:rFonts w:asciiTheme="minorHAnsi" w:hAnsiTheme="minorHAnsi" w:cstheme="minorHAnsi"/>
                <w:i/>
                <w:iCs/>
                <w:sz w:val="22"/>
                <w:lang w:val="en-US"/>
              </w:rPr>
              <w:t xml:space="preserve"> 100% of the total number of international treaties by including references to ITU-T Recommendations of the series: </w:t>
            </w:r>
          </w:p>
          <w:p w14:paraId="24822D7F" w14:textId="6136CA40" w:rsidR="00074EB9" w:rsidRPr="00741BEE" w:rsidRDefault="00CA7BD8" w:rsidP="00CA7BD8">
            <w:pPr>
              <w:spacing w:before="0"/>
              <w:rPr>
                <w:rFonts w:asciiTheme="minorHAnsi" w:hAnsiTheme="minorHAnsi" w:cstheme="minorHAnsi"/>
                <w:i/>
                <w:iCs/>
                <w:sz w:val="22"/>
                <w:lang w:val="fr-FR"/>
              </w:rPr>
            </w:pPr>
            <w:r w:rsidRPr="00741BEE">
              <w:rPr>
                <w:rFonts w:asciiTheme="minorHAnsi" w:hAnsiTheme="minorHAnsi" w:cstheme="minorHAnsi"/>
                <w:i/>
                <w:iCs/>
                <w:sz w:val="22"/>
                <w:lang w:val="fr-FR"/>
              </w:rPr>
              <w:t xml:space="preserve">- ITU-T </w:t>
            </w:r>
            <w:proofErr w:type="spellStart"/>
            <w:r w:rsidRPr="00741BEE">
              <w:rPr>
                <w:rFonts w:asciiTheme="minorHAnsi" w:hAnsiTheme="minorHAnsi" w:cstheme="minorHAnsi"/>
                <w:i/>
                <w:iCs/>
                <w:sz w:val="22"/>
                <w:lang w:val="fr-FR"/>
              </w:rPr>
              <w:t>Recommendations</w:t>
            </w:r>
            <w:proofErr w:type="spellEnd"/>
            <w:r w:rsidRPr="00741BEE">
              <w:rPr>
                <w:rFonts w:asciiTheme="minorHAnsi" w:hAnsiTheme="minorHAnsi" w:cstheme="minorHAnsi"/>
                <w:i/>
                <w:iCs/>
                <w:sz w:val="22"/>
                <w:lang w:val="fr-FR"/>
              </w:rPr>
              <w:t xml:space="preserve"> </w:t>
            </w:r>
            <w:r w:rsidR="00074EB9" w:rsidRPr="00741BEE">
              <w:rPr>
                <w:rFonts w:asciiTheme="minorHAnsi" w:hAnsiTheme="minorHAnsi" w:cstheme="minorHAnsi"/>
                <w:i/>
                <w:iCs/>
                <w:sz w:val="22"/>
                <w:lang w:val="fr-FR"/>
              </w:rPr>
              <w:t>D.1, D.3, D.4, D.7, D.10, D.11, D.35, D.36, D.40, D.45, D.60, D.67, D.70, D.71, D.73, D.79, D.90, D.91, D.94, D.95, D.103, D.110, D.116, D.140, D.150, D.155, D.170, D.176, D.180, D.188, D.192, D.196, D.197, D.220, D.232, D.240, D.250, D.260, D.300, D.306R, D.307, D.500R, D.501R)</w:t>
            </w:r>
            <w:r w:rsidRPr="00741BEE">
              <w:rPr>
                <w:rFonts w:asciiTheme="minorHAnsi" w:hAnsiTheme="minorHAnsi" w:cstheme="minorHAnsi"/>
                <w:i/>
                <w:iCs/>
                <w:sz w:val="22"/>
                <w:lang w:val="fr-FR"/>
              </w:rPr>
              <w:t>;</w:t>
            </w:r>
          </w:p>
          <w:p w14:paraId="31182E64" w14:textId="2B085468" w:rsidR="00074EB9" w:rsidRPr="00741BEE" w:rsidRDefault="00CA7BD8" w:rsidP="00074EB9">
            <w:pPr>
              <w:spacing w:before="0"/>
              <w:rPr>
                <w:rFonts w:asciiTheme="minorHAnsi" w:hAnsiTheme="minorHAnsi" w:cstheme="minorHAnsi"/>
                <w:i/>
                <w:iCs/>
                <w:sz w:val="22"/>
                <w:lang w:val="fr-FR"/>
              </w:rPr>
            </w:pPr>
            <w:r w:rsidRPr="00741BEE">
              <w:rPr>
                <w:rFonts w:asciiTheme="minorHAnsi" w:hAnsiTheme="minorHAnsi" w:cstheme="minorHAnsi"/>
                <w:sz w:val="22"/>
                <w:lang w:val="fr-FR"/>
              </w:rPr>
              <w:t>- </w:t>
            </w:r>
            <w:r w:rsidRPr="00741BEE">
              <w:rPr>
                <w:rFonts w:asciiTheme="minorHAnsi" w:hAnsiTheme="minorHAnsi" w:cstheme="minorHAnsi"/>
                <w:i/>
                <w:iCs/>
                <w:sz w:val="22"/>
                <w:lang w:val="fr-FR"/>
              </w:rPr>
              <w:t xml:space="preserve">ITU-T </w:t>
            </w:r>
            <w:proofErr w:type="spellStart"/>
            <w:r w:rsidRPr="00741BEE">
              <w:rPr>
                <w:rFonts w:asciiTheme="minorHAnsi" w:hAnsiTheme="minorHAnsi" w:cstheme="minorHAnsi"/>
                <w:i/>
                <w:iCs/>
                <w:sz w:val="22"/>
                <w:lang w:val="fr-FR"/>
              </w:rPr>
              <w:t>Recommendations</w:t>
            </w:r>
            <w:proofErr w:type="spellEnd"/>
            <w:r w:rsidRPr="00741BEE">
              <w:rPr>
                <w:rFonts w:asciiTheme="minorHAnsi" w:hAnsiTheme="minorHAnsi" w:cstheme="minorHAnsi"/>
                <w:i/>
                <w:iCs/>
                <w:sz w:val="22"/>
                <w:lang w:val="fr-FR"/>
              </w:rPr>
              <w:t xml:space="preserve"> </w:t>
            </w:r>
            <w:r w:rsidR="00074EB9" w:rsidRPr="00741BEE">
              <w:rPr>
                <w:rFonts w:asciiTheme="minorHAnsi" w:hAnsiTheme="minorHAnsi" w:cstheme="minorHAnsi"/>
                <w:i/>
                <w:iCs/>
                <w:sz w:val="22"/>
                <w:lang w:val="fr-FR"/>
              </w:rPr>
              <w:t>E.100–E.600</w:t>
            </w:r>
            <w:r w:rsidRPr="00741BEE">
              <w:rPr>
                <w:rFonts w:asciiTheme="minorHAnsi" w:hAnsiTheme="minorHAnsi" w:cstheme="minorHAnsi"/>
                <w:i/>
                <w:iCs/>
                <w:sz w:val="22"/>
                <w:lang w:val="fr-FR"/>
              </w:rPr>
              <w:t>;</w:t>
            </w:r>
          </w:p>
          <w:p w14:paraId="07B87039" w14:textId="42D6121B" w:rsidR="00074EB9" w:rsidRPr="00741BEE" w:rsidRDefault="00CA7BD8" w:rsidP="00074EB9">
            <w:pPr>
              <w:spacing w:before="0"/>
              <w:rPr>
                <w:rFonts w:asciiTheme="minorHAnsi" w:hAnsiTheme="minorHAnsi" w:cstheme="minorHAnsi"/>
                <w:i/>
                <w:iCs/>
                <w:sz w:val="22"/>
                <w:lang w:val="fr-FR"/>
              </w:rPr>
            </w:pPr>
            <w:r w:rsidRPr="00741BEE">
              <w:rPr>
                <w:rFonts w:asciiTheme="minorHAnsi" w:hAnsiTheme="minorHAnsi" w:cstheme="minorHAnsi"/>
                <w:i/>
                <w:iCs/>
                <w:sz w:val="22"/>
                <w:lang w:val="fr-FR"/>
              </w:rPr>
              <w:t xml:space="preserve">- ITU-T </w:t>
            </w:r>
            <w:proofErr w:type="spellStart"/>
            <w:r w:rsidRPr="00741BEE">
              <w:rPr>
                <w:rFonts w:asciiTheme="minorHAnsi" w:hAnsiTheme="minorHAnsi" w:cstheme="minorHAnsi"/>
                <w:i/>
                <w:iCs/>
                <w:sz w:val="22"/>
                <w:lang w:val="fr-FR"/>
              </w:rPr>
              <w:t>Recommendations</w:t>
            </w:r>
            <w:proofErr w:type="spellEnd"/>
            <w:r w:rsidRPr="00741BEE">
              <w:rPr>
                <w:rFonts w:asciiTheme="minorHAnsi" w:hAnsiTheme="minorHAnsi" w:cstheme="minorHAnsi"/>
                <w:i/>
                <w:iCs/>
                <w:sz w:val="22"/>
                <w:lang w:val="fr-FR"/>
              </w:rPr>
              <w:t xml:space="preserve"> </w:t>
            </w:r>
            <w:r w:rsidR="00074EB9" w:rsidRPr="00741BEE">
              <w:rPr>
                <w:rFonts w:asciiTheme="minorHAnsi" w:hAnsiTheme="minorHAnsi" w:cstheme="minorHAnsi"/>
                <w:i/>
                <w:iCs/>
                <w:sz w:val="22"/>
                <w:lang w:val="fr-FR"/>
              </w:rPr>
              <w:t>F.160–F.350</w:t>
            </w:r>
            <w:r w:rsidRPr="00741BEE">
              <w:rPr>
                <w:rFonts w:asciiTheme="minorHAnsi" w:hAnsiTheme="minorHAnsi" w:cstheme="minorHAnsi"/>
                <w:i/>
                <w:iCs/>
                <w:sz w:val="22"/>
                <w:lang w:val="fr-FR"/>
              </w:rPr>
              <w:t>;</w:t>
            </w:r>
          </w:p>
          <w:p w14:paraId="49B5EF88" w14:textId="4DABD781" w:rsidR="00074EB9" w:rsidRPr="00741BEE" w:rsidRDefault="00CA7BD8" w:rsidP="00074EB9">
            <w:pPr>
              <w:spacing w:before="0"/>
              <w:rPr>
                <w:rFonts w:asciiTheme="minorHAnsi" w:hAnsiTheme="minorHAnsi" w:cstheme="minorHAnsi"/>
                <w:i/>
                <w:iCs/>
                <w:sz w:val="22"/>
                <w:lang w:val="fr-FR"/>
              </w:rPr>
            </w:pPr>
            <w:r w:rsidRPr="00741BEE">
              <w:rPr>
                <w:rFonts w:asciiTheme="minorHAnsi" w:hAnsiTheme="minorHAnsi" w:cstheme="minorHAnsi"/>
                <w:i/>
                <w:iCs/>
                <w:sz w:val="22"/>
                <w:lang w:val="fr-FR"/>
              </w:rPr>
              <w:t xml:space="preserve">- ITU-T </w:t>
            </w:r>
            <w:proofErr w:type="spellStart"/>
            <w:r w:rsidRPr="00741BEE">
              <w:rPr>
                <w:rFonts w:asciiTheme="minorHAnsi" w:hAnsiTheme="minorHAnsi" w:cstheme="minorHAnsi"/>
                <w:i/>
                <w:iCs/>
                <w:sz w:val="22"/>
                <w:lang w:val="fr-FR"/>
              </w:rPr>
              <w:t>Recommendations</w:t>
            </w:r>
            <w:proofErr w:type="spellEnd"/>
            <w:r w:rsidRPr="00741BEE">
              <w:rPr>
                <w:rFonts w:asciiTheme="minorHAnsi" w:hAnsiTheme="minorHAnsi" w:cstheme="minorHAnsi"/>
                <w:i/>
                <w:iCs/>
                <w:sz w:val="22"/>
                <w:lang w:val="fr-FR"/>
              </w:rPr>
              <w:t xml:space="preserve"> </w:t>
            </w:r>
            <w:r w:rsidR="00074EB9" w:rsidRPr="00741BEE">
              <w:rPr>
                <w:rFonts w:asciiTheme="minorHAnsi" w:hAnsiTheme="minorHAnsi" w:cstheme="minorHAnsi"/>
                <w:i/>
                <w:iCs/>
                <w:sz w:val="22"/>
                <w:lang w:val="fr-FR"/>
              </w:rPr>
              <w:t>T.0–T.101, T.64, T.65–T.101, T.150–T.390, T.400–T.418, T.431–T.564</w:t>
            </w:r>
            <w:r w:rsidRPr="00741BEE">
              <w:rPr>
                <w:rFonts w:asciiTheme="minorHAnsi" w:hAnsiTheme="minorHAnsi" w:cstheme="minorHAnsi"/>
                <w:i/>
                <w:iCs/>
                <w:sz w:val="22"/>
                <w:lang w:val="fr-FR"/>
              </w:rPr>
              <w:t>;</w:t>
            </w:r>
          </w:p>
          <w:p w14:paraId="63B3106B" w14:textId="6F5D3652" w:rsidR="00074EB9" w:rsidRPr="00741BEE" w:rsidRDefault="00CA7BD8" w:rsidP="00074EB9">
            <w:pPr>
              <w:spacing w:before="0"/>
              <w:rPr>
                <w:rFonts w:asciiTheme="minorHAnsi" w:hAnsiTheme="minorHAnsi" w:cstheme="minorHAnsi"/>
                <w:i/>
                <w:iCs/>
                <w:sz w:val="22"/>
                <w:lang w:val="fr-FR"/>
              </w:rPr>
            </w:pPr>
            <w:r w:rsidRPr="00741BEE">
              <w:rPr>
                <w:rFonts w:asciiTheme="minorHAnsi" w:hAnsiTheme="minorHAnsi" w:cstheme="minorHAnsi"/>
                <w:i/>
                <w:iCs/>
                <w:sz w:val="22"/>
                <w:lang w:val="fr-FR"/>
              </w:rPr>
              <w:t xml:space="preserve">- ITU-T </w:t>
            </w:r>
            <w:proofErr w:type="spellStart"/>
            <w:r w:rsidRPr="00741BEE">
              <w:rPr>
                <w:rFonts w:asciiTheme="minorHAnsi" w:hAnsiTheme="minorHAnsi" w:cstheme="minorHAnsi"/>
                <w:i/>
                <w:iCs/>
                <w:sz w:val="22"/>
                <w:lang w:val="fr-FR"/>
              </w:rPr>
              <w:t>Recommendations</w:t>
            </w:r>
            <w:proofErr w:type="spellEnd"/>
            <w:r w:rsidR="00074EB9" w:rsidRPr="00741BEE">
              <w:rPr>
                <w:rFonts w:asciiTheme="minorHAnsi" w:hAnsiTheme="minorHAnsi" w:cstheme="minorHAnsi"/>
                <w:i/>
                <w:iCs/>
                <w:sz w:val="22"/>
                <w:lang w:val="fr-FR"/>
              </w:rPr>
              <w:t xml:space="preserve"> M.10–M.782, M.800–M.1375, M.1400</w:t>
            </w:r>
            <w:r w:rsidRPr="00741BEE">
              <w:rPr>
                <w:rFonts w:asciiTheme="minorHAnsi" w:hAnsiTheme="minorHAnsi" w:cstheme="minorHAnsi"/>
                <w:i/>
                <w:iCs/>
                <w:sz w:val="22"/>
                <w:lang w:val="fr-FR"/>
              </w:rPr>
              <w:t>;</w:t>
            </w:r>
          </w:p>
          <w:p w14:paraId="6789B4CE" w14:textId="09C651C8" w:rsidR="00074EB9" w:rsidRPr="00741BEE" w:rsidRDefault="00CA7BD8" w:rsidP="00074EB9">
            <w:pPr>
              <w:spacing w:before="0"/>
              <w:rPr>
                <w:rFonts w:asciiTheme="minorHAnsi" w:hAnsiTheme="minorHAnsi" w:cstheme="minorHAnsi"/>
                <w:i/>
                <w:iCs/>
                <w:sz w:val="22"/>
                <w:lang w:val="fr-FR"/>
              </w:rPr>
            </w:pPr>
            <w:r w:rsidRPr="00741BEE">
              <w:rPr>
                <w:rFonts w:asciiTheme="minorHAnsi" w:hAnsiTheme="minorHAnsi" w:cstheme="minorHAnsi"/>
                <w:i/>
                <w:iCs/>
                <w:sz w:val="22"/>
                <w:lang w:val="fr-FR"/>
              </w:rPr>
              <w:t xml:space="preserve">- ITU-T </w:t>
            </w:r>
            <w:proofErr w:type="spellStart"/>
            <w:r w:rsidRPr="00741BEE">
              <w:rPr>
                <w:rFonts w:asciiTheme="minorHAnsi" w:hAnsiTheme="minorHAnsi" w:cstheme="minorHAnsi"/>
                <w:i/>
                <w:iCs/>
                <w:sz w:val="22"/>
                <w:lang w:val="fr-FR"/>
              </w:rPr>
              <w:t>Recommendations</w:t>
            </w:r>
            <w:proofErr w:type="spellEnd"/>
            <w:r w:rsidRPr="00741BEE">
              <w:rPr>
                <w:rFonts w:asciiTheme="minorHAnsi" w:hAnsiTheme="minorHAnsi" w:cstheme="minorHAnsi"/>
                <w:i/>
                <w:iCs/>
                <w:sz w:val="22"/>
                <w:lang w:val="fr-FR"/>
              </w:rPr>
              <w:t xml:space="preserve"> </w:t>
            </w:r>
            <w:r w:rsidR="00074EB9" w:rsidRPr="00741BEE">
              <w:rPr>
                <w:rFonts w:asciiTheme="minorHAnsi" w:hAnsiTheme="minorHAnsi" w:cstheme="minorHAnsi"/>
                <w:i/>
                <w:iCs/>
                <w:sz w:val="22"/>
                <w:lang w:val="fr-FR"/>
              </w:rPr>
              <w:t>X.300–X.370</w:t>
            </w:r>
            <w:r w:rsidRPr="00741BEE">
              <w:rPr>
                <w:rFonts w:asciiTheme="minorHAnsi" w:hAnsiTheme="minorHAnsi" w:cstheme="minorHAnsi"/>
                <w:i/>
                <w:iCs/>
                <w:sz w:val="22"/>
                <w:lang w:val="fr-FR"/>
              </w:rPr>
              <w:t>;</w:t>
            </w:r>
          </w:p>
          <w:p w14:paraId="28EA3E2B" w14:textId="02C83238" w:rsidR="00074EB9" w:rsidRPr="00741BEE" w:rsidRDefault="00CA7BD8" w:rsidP="00074EB9">
            <w:pPr>
              <w:spacing w:before="0"/>
              <w:rPr>
                <w:rFonts w:asciiTheme="minorHAnsi" w:hAnsiTheme="minorHAnsi" w:cstheme="minorHAnsi"/>
                <w:i/>
                <w:iCs/>
                <w:sz w:val="22"/>
                <w:lang w:val="fr-FR"/>
              </w:rPr>
            </w:pPr>
            <w:r w:rsidRPr="00741BEE">
              <w:rPr>
                <w:rFonts w:asciiTheme="minorHAnsi" w:hAnsiTheme="minorHAnsi" w:cstheme="minorHAnsi"/>
                <w:i/>
                <w:iCs/>
                <w:sz w:val="22"/>
                <w:lang w:val="fr-FR"/>
              </w:rPr>
              <w:t xml:space="preserve">- ITU-T </w:t>
            </w:r>
            <w:proofErr w:type="spellStart"/>
            <w:r w:rsidRPr="00741BEE">
              <w:rPr>
                <w:rFonts w:asciiTheme="minorHAnsi" w:hAnsiTheme="minorHAnsi" w:cstheme="minorHAnsi"/>
                <w:i/>
                <w:iCs/>
                <w:sz w:val="22"/>
                <w:lang w:val="fr-FR"/>
              </w:rPr>
              <w:t>Recommendations</w:t>
            </w:r>
            <w:proofErr w:type="spellEnd"/>
            <w:r w:rsidRPr="00741BEE">
              <w:rPr>
                <w:rFonts w:asciiTheme="minorHAnsi" w:hAnsiTheme="minorHAnsi" w:cstheme="minorHAnsi"/>
                <w:i/>
                <w:iCs/>
                <w:sz w:val="22"/>
                <w:lang w:val="fr-FR"/>
              </w:rPr>
              <w:t xml:space="preserve"> </w:t>
            </w:r>
            <w:r w:rsidR="00074EB9" w:rsidRPr="00741BEE">
              <w:rPr>
                <w:rFonts w:asciiTheme="minorHAnsi" w:hAnsiTheme="minorHAnsi" w:cstheme="minorHAnsi"/>
                <w:i/>
                <w:iCs/>
                <w:sz w:val="22"/>
                <w:lang w:val="fr-FR"/>
              </w:rPr>
              <w:t>G.101–G.181, G.704</w:t>
            </w:r>
            <w:r w:rsidRPr="00741BEE">
              <w:rPr>
                <w:rFonts w:asciiTheme="minorHAnsi" w:hAnsiTheme="minorHAnsi" w:cstheme="minorHAnsi"/>
                <w:i/>
                <w:iCs/>
                <w:sz w:val="22"/>
                <w:lang w:val="fr-FR"/>
              </w:rPr>
              <w:t>;</w:t>
            </w:r>
          </w:p>
          <w:p w14:paraId="3D5FD0B6" w14:textId="7826D651" w:rsidR="00074EB9" w:rsidRPr="00741BEE" w:rsidRDefault="00CA7BD8" w:rsidP="00074EB9">
            <w:pPr>
              <w:spacing w:before="0"/>
              <w:rPr>
                <w:rFonts w:asciiTheme="minorHAnsi" w:hAnsiTheme="minorHAnsi" w:cstheme="minorHAnsi"/>
                <w:i/>
                <w:iCs/>
                <w:sz w:val="22"/>
                <w:lang w:val="fr-FR"/>
              </w:rPr>
            </w:pPr>
            <w:r w:rsidRPr="00741BEE">
              <w:rPr>
                <w:rFonts w:asciiTheme="minorHAnsi" w:hAnsiTheme="minorHAnsi" w:cstheme="minorHAnsi"/>
                <w:i/>
                <w:iCs/>
                <w:sz w:val="22"/>
                <w:lang w:val="fr-FR"/>
              </w:rPr>
              <w:t xml:space="preserve">- ITU-T </w:t>
            </w:r>
            <w:proofErr w:type="spellStart"/>
            <w:r w:rsidRPr="00741BEE">
              <w:rPr>
                <w:rFonts w:asciiTheme="minorHAnsi" w:hAnsiTheme="minorHAnsi" w:cstheme="minorHAnsi"/>
                <w:i/>
                <w:iCs/>
                <w:sz w:val="22"/>
                <w:lang w:val="fr-FR"/>
              </w:rPr>
              <w:t>Recommendations</w:t>
            </w:r>
            <w:proofErr w:type="spellEnd"/>
            <w:r w:rsidR="00074EB9" w:rsidRPr="00741BEE">
              <w:rPr>
                <w:rFonts w:asciiTheme="minorHAnsi" w:hAnsiTheme="minorHAnsi" w:cstheme="minorHAnsi"/>
                <w:i/>
                <w:iCs/>
                <w:sz w:val="22"/>
                <w:lang w:val="fr-FR"/>
              </w:rPr>
              <w:t xml:space="preserve"> Q.700–Q.716, Q.784–Q.788</w:t>
            </w:r>
            <w:r w:rsidRPr="00741BEE">
              <w:rPr>
                <w:rFonts w:asciiTheme="minorHAnsi" w:hAnsiTheme="minorHAnsi" w:cstheme="minorHAnsi"/>
                <w:i/>
                <w:iCs/>
                <w:sz w:val="22"/>
                <w:lang w:val="fr-FR"/>
              </w:rPr>
              <w:t>;</w:t>
            </w:r>
          </w:p>
          <w:p w14:paraId="1FD6AED6" w14:textId="62C2F298" w:rsidR="00074EB9" w:rsidRPr="00741BEE" w:rsidRDefault="00CA7BD8" w:rsidP="00074EB9">
            <w:pPr>
              <w:spacing w:before="0"/>
              <w:rPr>
                <w:rFonts w:asciiTheme="minorHAnsi" w:hAnsiTheme="minorHAnsi" w:cstheme="minorHAnsi"/>
                <w:i/>
                <w:iCs/>
                <w:sz w:val="22"/>
                <w:lang w:val="fr-FR"/>
              </w:rPr>
            </w:pPr>
            <w:r w:rsidRPr="00741BEE">
              <w:rPr>
                <w:rFonts w:asciiTheme="minorHAnsi" w:hAnsiTheme="minorHAnsi" w:cstheme="minorHAnsi"/>
                <w:i/>
                <w:iCs/>
                <w:sz w:val="22"/>
                <w:lang w:val="fr-FR"/>
              </w:rPr>
              <w:t xml:space="preserve">- ITU-T </w:t>
            </w:r>
            <w:proofErr w:type="spellStart"/>
            <w:r w:rsidRPr="00741BEE">
              <w:rPr>
                <w:rFonts w:asciiTheme="minorHAnsi" w:hAnsiTheme="minorHAnsi" w:cstheme="minorHAnsi"/>
                <w:i/>
                <w:iCs/>
                <w:sz w:val="22"/>
                <w:lang w:val="fr-FR"/>
              </w:rPr>
              <w:t>Recommendations</w:t>
            </w:r>
            <w:proofErr w:type="spellEnd"/>
            <w:r w:rsidR="00074EB9" w:rsidRPr="00741BEE">
              <w:rPr>
                <w:rFonts w:asciiTheme="minorHAnsi" w:hAnsiTheme="minorHAnsi" w:cstheme="minorHAnsi"/>
                <w:i/>
                <w:iCs/>
                <w:sz w:val="22"/>
                <w:lang w:val="fr-FR"/>
              </w:rPr>
              <w:t xml:space="preserve"> V.120</w:t>
            </w:r>
            <w:r w:rsidRPr="00741BEE">
              <w:rPr>
                <w:rFonts w:asciiTheme="minorHAnsi" w:hAnsiTheme="minorHAnsi" w:cstheme="minorHAnsi"/>
                <w:i/>
                <w:iCs/>
                <w:sz w:val="22"/>
                <w:lang w:val="fr-FR"/>
              </w:rPr>
              <w:t>;</w:t>
            </w:r>
          </w:p>
          <w:p w14:paraId="09FDFD9F" w14:textId="337B970D" w:rsidR="00074EB9" w:rsidRPr="00741BEE" w:rsidRDefault="00CA7BD8" w:rsidP="00074EB9">
            <w:pPr>
              <w:spacing w:before="0"/>
              <w:rPr>
                <w:rFonts w:asciiTheme="minorHAnsi" w:hAnsiTheme="minorHAnsi" w:cstheme="minorHAnsi"/>
                <w:i/>
                <w:iCs/>
                <w:sz w:val="22"/>
                <w:lang w:val="fr-FR"/>
              </w:rPr>
            </w:pPr>
            <w:r w:rsidRPr="00741BEE">
              <w:rPr>
                <w:rFonts w:asciiTheme="minorHAnsi" w:hAnsiTheme="minorHAnsi" w:cstheme="minorHAnsi"/>
                <w:i/>
                <w:iCs/>
                <w:sz w:val="22"/>
                <w:lang w:val="fr-FR"/>
              </w:rPr>
              <w:t xml:space="preserve">- ITU-T </w:t>
            </w:r>
            <w:proofErr w:type="spellStart"/>
            <w:r w:rsidRPr="00741BEE">
              <w:rPr>
                <w:rFonts w:asciiTheme="minorHAnsi" w:hAnsiTheme="minorHAnsi" w:cstheme="minorHAnsi"/>
                <w:i/>
                <w:iCs/>
                <w:sz w:val="22"/>
                <w:lang w:val="fr-FR"/>
              </w:rPr>
              <w:t>Recommendations</w:t>
            </w:r>
            <w:proofErr w:type="spellEnd"/>
            <w:r w:rsidR="00074EB9" w:rsidRPr="00741BEE">
              <w:rPr>
                <w:rFonts w:asciiTheme="minorHAnsi" w:hAnsiTheme="minorHAnsi" w:cstheme="minorHAnsi"/>
                <w:i/>
                <w:iCs/>
                <w:sz w:val="22"/>
                <w:lang w:val="fr-FR"/>
              </w:rPr>
              <w:t xml:space="preserve"> R.2–R.150, S.1–S.140, U.1–U.140</w:t>
            </w:r>
            <w:r w:rsidRPr="00741BEE">
              <w:rPr>
                <w:rFonts w:asciiTheme="minorHAnsi" w:hAnsiTheme="minorHAnsi" w:cstheme="minorHAnsi"/>
                <w:i/>
                <w:iCs/>
                <w:sz w:val="22"/>
                <w:lang w:val="fr-FR"/>
              </w:rPr>
              <w:t>;</w:t>
            </w:r>
          </w:p>
          <w:p w14:paraId="01EC8137" w14:textId="77777777" w:rsidR="00074EB9" w:rsidRPr="00741BEE" w:rsidRDefault="00CA7BD8" w:rsidP="00074EB9">
            <w:pPr>
              <w:spacing w:before="0"/>
              <w:rPr>
                <w:rFonts w:asciiTheme="minorHAnsi" w:hAnsiTheme="minorHAnsi" w:cstheme="minorHAnsi"/>
                <w:i/>
                <w:iCs/>
                <w:sz w:val="22"/>
                <w:lang w:val="fr-FR"/>
              </w:rPr>
            </w:pPr>
            <w:r w:rsidRPr="00741BEE">
              <w:rPr>
                <w:rFonts w:asciiTheme="minorHAnsi" w:hAnsiTheme="minorHAnsi" w:cstheme="minorHAnsi"/>
                <w:i/>
                <w:iCs/>
                <w:sz w:val="22"/>
                <w:lang w:val="fr-FR"/>
              </w:rPr>
              <w:t xml:space="preserve">- ITU-T </w:t>
            </w:r>
            <w:proofErr w:type="spellStart"/>
            <w:r w:rsidRPr="00741BEE">
              <w:rPr>
                <w:rFonts w:asciiTheme="minorHAnsi" w:hAnsiTheme="minorHAnsi" w:cstheme="minorHAnsi"/>
                <w:i/>
                <w:iCs/>
                <w:sz w:val="22"/>
                <w:lang w:val="fr-FR"/>
              </w:rPr>
              <w:t>Recommendations</w:t>
            </w:r>
            <w:proofErr w:type="spellEnd"/>
            <w:r w:rsidR="00074EB9" w:rsidRPr="00741BEE">
              <w:rPr>
                <w:rFonts w:asciiTheme="minorHAnsi" w:hAnsiTheme="minorHAnsi" w:cstheme="minorHAnsi"/>
                <w:i/>
                <w:iCs/>
                <w:sz w:val="22"/>
                <w:lang w:val="fr-FR"/>
              </w:rPr>
              <w:t xml:space="preserve"> Z.100, Z.110</w:t>
            </w:r>
            <w:r w:rsidRPr="00741BEE">
              <w:rPr>
                <w:rFonts w:asciiTheme="minorHAnsi" w:hAnsiTheme="minorHAnsi" w:cstheme="minorHAnsi"/>
                <w:i/>
                <w:iCs/>
                <w:sz w:val="22"/>
                <w:lang w:val="fr-FR"/>
              </w:rPr>
              <w:t>.</w:t>
            </w:r>
          </w:p>
          <w:p w14:paraId="6FF760E0" w14:textId="25F71564" w:rsidR="00F520F9" w:rsidRPr="00741BEE" w:rsidRDefault="00F520F9" w:rsidP="00074EB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4.2. Some operators noted that they indirectly use ITU</w:t>
            </w:r>
            <w:r w:rsidR="00A65830" w:rsidRPr="00741BEE">
              <w:rPr>
                <w:rFonts w:asciiTheme="minorHAnsi" w:hAnsiTheme="minorHAnsi" w:cstheme="minorHAnsi"/>
                <w:i/>
                <w:iCs/>
                <w:sz w:val="22"/>
                <w:lang w:val="en-US"/>
              </w:rPr>
              <w:t>-T</w:t>
            </w:r>
            <w:r w:rsidRPr="00741BEE">
              <w:rPr>
                <w:rFonts w:asciiTheme="minorHAnsi" w:hAnsiTheme="minorHAnsi" w:cstheme="minorHAnsi"/>
                <w:i/>
                <w:iCs/>
                <w:sz w:val="22"/>
                <w:lang w:val="en-US"/>
              </w:rPr>
              <w:t xml:space="preserve"> recommendations in international treaties.</w:t>
            </w:r>
          </w:p>
        </w:tc>
      </w:tr>
      <w:tr w:rsidR="00074EB9" w:rsidRPr="00741BEE" w14:paraId="15197D20" w14:textId="77777777" w:rsidTr="008F487D">
        <w:tc>
          <w:tcPr>
            <w:tcW w:w="3096" w:type="pct"/>
          </w:tcPr>
          <w:p w14:paraId="0D18EA43" w14:textId="77F60E7E" w:rsidR="00074EB9" w:rsidRPr="00741BEE" w:rsidRDefault="00F520F9" w:rsidP="00074EB9">
            <w:pPr>
              <w:pStyle w:val="msonormalmailrucssattributepostfix"/>
              <w:spacing w:before="0" w:beforeAutospacing="0" w:after="0" w:afterAutospacing="0"/>
              <w:jc w:val="both"/>
              <w:rPr>
                <w:rStyle w:val="Strong"/>
                <w:rFonts w:asciiTheme="minorHAnsi" w:hAnsiTheme="minorHAnsi" w:cstheme="minorHAnsi"/>
                <w:sz w:val="22"/>
                <w:szCs w:val="22"/>
                <w:lang w:val="en-US"/>
              </w:rPr>
            </w:pPr>
            <w:r w:rsidRPr="00741BEE">
              <w:rPr>
                <w:rStyle w:val="Strong"/>
                <w:rFonts w:asciiTheme="minorHAnsi" w:hAnsiTheme="minorHAnsi" w:cstheme="minorHAnsi"/>
                <w:sz w:val="22"/>
                <w:szCs w:val="22"/>
                <w:lang w:val="en-US"/>
              </w:rPr>
              <w:t xml:space="preserve">5. Are </w:t>
            </w:r>
            <w:proofErr w:type="gramStart"/>
            <w:r w:rsidRPr="00741BEE">
              <w:rPr>
                <w:rStyle w:val="Strong"/>
                <w:rFonts w:asciiTheme="minorHAnsi" w:hAnsiTheme="minorHAnsi" w:cstheme="minorHAnsi"/>
                <w:sz w:val="22"/>
                <w:szCs w:val="22"/>
                <w:lang w:val="en-US"/>
              </w:rPr>
              <w:t>there in your view</w:t>
            </w:r>
            <w:proofErr w:type="gramEnd"/>
            <w:r w:rsidRPr="00741BEE">
              <w:rPr>
                <w:rStyle w:val="Strong"/>
                <w:rFonts w:asciiTheme="minorHAnsi" w:hAnsiTheme="minorHAnsi" w:cstheme="minorHAnsi"/>
                <w:sz w:val="22"/>
                <w:szCs w:val="22"/>
                <w:lang w:val="en-US"/>
              </w:rPr>
              <w:t xml:space="preserve"> questions that should be covered by the ITRs in their future revision?</w:t>
            </w:r>
          </w:p>
        </w:tc>
        <w:tc>
          <w:tcPr>
            <w:tcW w:w="1904" w:type="pct"/>
          </w:tcPr>
          <w:p w14:paraId="26B25730" w14:textId="659401A4"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5.1. Most operators consider that the following issues </w:t>
            </w:r>
            <w:r w:rsidR="00A65830" w:rsidRPr="00741BEE">
              <w:rPr>
                <w:rFonts w:asciiTheme="minorHAnsi" w:hAnsiTheme="minorHAnsi" w:cstheme="minorHAnsi"/>
                <w:i/>
                <w:iCs/>
                <w:sz w:val="22"/>
                <w:lang w:val="en-US"/>
              </w:rPr>
              <w:t>should</w:t>
            </w:r>
            <w:r w:rsidRPr="00741BEE">
              <w:rPr>
                <w:rFonts w:asciiTheme="minorHAnsi" w:hAnsiTheme="minorHAnsi" w:cstheme="minorHAnsi"/>
                <w:i/>
                <w:iCs/>
                <w:sz w:val="22"/>
                <w:lang w:val="en-US"/>
              </w:rPr>
              <w:t xml:space="preserve"> be </w:t>
            </w:r>
            <w:proofErr w:type="gramStart"/>
            <w:r w:rsidRPr="00741BEE">
              <w:rPr>
                <w:rFonts w:asciiTheme="minorHAnsi" w:hAnsiTheme="minorHAnsi" w:cstheme="minorHAnsi"/>
                <w:i/>
                <w:iCs/>
                <w:sz w:val="22"/>
                <w:lang w:val="en-US"/>
              </w:rPr>
              <w:t>taken into account</w:t>
            </w:r>
            <w:proofErr w:type="gramEnd"/>
            <w:r w:rsidRPr="00741BEE">
              <w:rPr>
                <w:rFonts w:asciiTheme="minorHAnsi" w:hAnsiTheme="minorHAnsi" w:cstheme="minorHAnsi"/>
                <w:i/>
                <w:iCs/>
                <w:sz w:val="22"/>
                <w:lang w:val="en-US"/>
              </w:rPr>
              <w:t>:</w:t>
            </w:r>
          </w:p>
          <w:p w14:paraId="22C788AF" w14:textId="77777777"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misuse – fraud (actions related to the illegal appropriation and use of international telecommunication numbering, naming, addressing and identification resources, manipulation of the delivery of the calling subscriber number, calling subscriber line identification and identification of origin</w:t>
            </w:r>
            <w:proofErr w:type="gramStart"/>
            <w:r w:rsidRPr="00741BEE">
              <w:rPr>
                <w:rFonts w:asciiTheme="minorHAnsi" w:hAnsiTheme="minorHAnsi" w:cstheme="minorHAnsi"/>
                <w:i/>
                <w:iCs/>
                <w:sz w:val="22"/>
                <w:lang w:val="en-US"/>
              </w:rPr>
              <w:t>);</w:t>
            </w:r>
            <w:proofErr w:type="gramEnd"/>
          </w:p>
          <w:p w14:paraId="5BD3568C" w14:textId="77777777"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 principles of traffic </w:t>
            </w:r>
            <w:proofErr w:type="gramStart"/>
            <w:r w:rsidRPr="00741BEE">
              <w:rPr>
                <w:rFonts w:asciiTheme="minorHAnsi" w:hAnsiTheme="minorHAnsi" w:cstheme="minorHAnsi"/>
                <w:i/>
                <w:iCs/>
                <w:sz w:val="22"/>
                <w:lang w:val="en-US"/>
              </w:rPr>
              <w:t>management;</w:t>
            </w:r>
            <w:proofErr w:type="gramEnd"/>
          </w:p>
          <w:p w14:paraId="55AC22CF" w14:textId="6694110A"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classification of international telecommunication services to which the requirement of paragraph 6.3</w:t>
            </w:r>
            <w:r w:rsidR="006557A4" w:rsidRPr="00741BEE">
              <w:rPr>
                <w:rFonts w:asciiTheme="minorHAnsi" w:hAnsiTheme="minorHAnsi" w:cstheme="minorHAnsi"/>
                <w:i/>
                <w:iCs/>
                <w:sz w:val="22"/>
                <w:lang w:val="en-US"/>
              </w:rPr>
              <w:t xml:space="preserve"> is </w:t>
            </w:r>
            <w:proofErr w:type="gramStart"/>
            <w:r w:rsidR="006557A4" w:rsidRPr="00741BEE">
              <w:rPr>
                <w:rFonts w:asciiTheme="minorHAnsi" w:hAnsiTheme="minorHAnsi" w:cstheme="minorHAnsi"/>
                <w:i/>
                <w:iCs/>
                <w:sz w:val="22"/>
                <w:lang w:val="en-US"/>
              </w:rPr>
              <w:t>applied</w:t>
            </w:r>
            <w:r w:rsidRPr="00741BEE">
              <w:rPr>
                <w:rFonts w:asciiTheme="minorHAnsi" w:hAnsiTheme="minorHAnsi" w:cstheme="minorHAnsi"/>
                <w:i/>
                <w:iCs/>
                <w:sz w:val="22"/>
                <w:lang w:val="en-US"/>
              </w:rPr>
              <w:t>;</w:t>
            </w:r>
            <w:proofErr w:type="gramEnd"/>
          </w:p>
          <w:p w14:paraId="48658CE1" w14:textId="77777777"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 protection of users of international telecommunication services, </w:t>
            </w:r>
          </w:p>
          <w:p w14:paraId="47C032E5" w14:textId="381CEAB9"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 global harmonization of national numbers for access to emergency </w:t>
            </w:r>
            <w:proofErr w:type="gramStart"/>
            <w:r w:rsidRPr="00741BEE">
              <w:rPr>
                <w:rFonts w:asciiTheme="minorHAnsi" w:hAnsiTheme="minorHAnsi" w:cstheme="minorHAnsi"/>
                <w:i/>
                <w:iCs/>
                <w:sz w:val="22"/>
                <w:lang w:val="en-US"/>
              </w:rPr>
              <w:t>services;</w:t>
            </w:r>
            <w:proofErr w:type="gramEnd"/>
          </w:p>
          <w:p w14:paraId="336D50E9" w14:textId="03794451"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 ensuring the availability of emergency services calls to users from different regions, including issues of roaming when using data transmission </w:t>
            </w:r>
            <w:proofErr w:type="gramStart"/>
            <w:r w:rsidRPr="00741BEE">
              <w:rPr>
                <w:rFonts w:asciiTheme="minorHAnsi" w:hAnsiTheme="minorHAnsi" w:cstheme="minorHAnsi"/>
                <w:i/>
                <w:iCs/>
                <w:sz w:val="22"/>
                <w:lang w:val="en-US"/>
              </w:rPr>
              <w:t>networks;</w:t>
            </w:r>
            <w:proofErr w:type="gramEnd"/>
          </w:p>
          <w:p w14:paraId="03C5CCB2" w14:textId="77777777"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 general principles of tariffication and mutual settlements for international telecommunication </w:t>
            </w:r>
            <w:proofErr w:type="gramStart"/>
            <w:r w:rsidRPr="00741BEE">
              <w:rPr>
                <w:rFonts w:asciiTheme="minorHAnsi" w:hAnsiTheme="minorHAnsi" w:cstheme="minorHAnsi"/>
                <w:i/>
                <w:iCs/>
                <w:sz w:val="22"/>
                <w:lang w:val="en-US"/>
              </w:rPr>
              <w:t>services;</w:t>
            </w:r>
            <w:proofErr w:type="gramEnd"/>
          </w:p>
          <w:p w14:paraId="564A782B" w14:textId="77777777"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 mutual settlements for international telecommunication services in </w:t>
            </w:r>
            <w:proofErr w:type="gramStart"/>
            <w:r w:rsidRPr="00741BEE">
              <w:rPr>
                <w:rFonts w:asciiTheme="minorHAnsi" w:hAnsiTheme="minorHAnsi" w:cstheme="minorHAnsi"/>
                <w:i/>
                <w:iCs/>
                <w:sz w:val="22"/>
                <w:lang w:val="en-US"/>
              </w:rPr>
              <w:t>roaming;</w:t>
            </w:r>
            <w:proofErr w:type="gramEnd"/>
          </w:p>
          <w:p w14:paraId="01F0E99C" w14:textId="77777777"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 settlement of </w:t>
            </w:r>
            <w:proofErr w:type="gramStart"/>
            <w:r w:rsidRPr="00741BEE">
              <w:rPr>
                <w:rFonts w:asciiTheme="minorHAnsi" w:hAnsiTheme="minorHAnsi" w:cstheme="minorHAnsi"/>
                <w:i/>
                <w:iCs/>
                <w:sz w:val="22"/>
                <w:lang w:val="en-US"/>
              </w:rPr>
              <w:t>disputes;</w:t>
            </w:r>
            <w:proofErr w:type="gramEnd"/>
          </w:p>
          <w:p w14:paraId="123EACF0" w14:textId="77777777"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 clarifications on the timing (duration) of testing new organized (direct, transit) communication </w:t>
            </w:r>
            <w:proofErr w:type="gramStart"/>
            <w:r w:rsidRPr="00741BEE">
              <w:rPr>
                <w:rFonts w:asciiTheme="minorHAnsi" w:hAnsiTheme="minorHAnsi" w:cstheme="minorHAnsi"/>
                <w:i/>
                <w:iCs/>
                <w:sz w:val="22"/>
                <w:lang w:val="en-US"/>
              </w:rPr>
              <w:t>channels;</w:t>
            </w:r>
            <w:proofErr w:type="gramEnd"/>
          </w:p>
          <w:p w14:paraId="097D2D90" w14:textId="77777777"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standardization of approaches to the use of various methods of rounding the billing step (billing increment</w:t>
            </w:r>
            <w:proofErr w:type="gramStart"/>
            <w:r w:rsidRPr="00741BEE">
              <w:rPr>
                <w:rFonts w:asciiTheme="minorHAnsi" w:hAnsiTheme="minorHAnsi" w:cstheme="minorHAnsi"/>
                <w:i/>
                <w:iCs/>
                <w:sz w:val="22"/>
                <w:lang w:val="en-US"/>
              </w:rPr>
              <w:t>);</w:t>
            </w:r>
            <w:proofErr w:type="gramEnd"/>
          </w:p>
          <w:p w14:paraId="2249A489" w14:textId="77777777"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 standardization of approaches in terms of IFS/UIFN </w:t>
            </w:r>
            <w:proofErr w:type="gramStart"/>
            <w:r w:rsidRPr="00741BEE">
              <w:rPr>
                <w:rFonts w:asciiTheme="minorHAnsi" w:hAnsiTheme="minorHAnsi" w:cstheme="minorHAnsi"/>
                <w:i/>
                <w:iCs/>
                <w:sz w:val="22"/>
                <w:lang w:val="en-US"/>
              </w:rPr>
              <w:t>services;</w:t>
            </w:r>
            <w:proofErr w:type="gramEnd"/>
          </w:p>
          <w:p w14:paraId="7E39F096" w14:textId="77777777" w:rsidR="00F520F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xml:space="preserve">- development of recommendations in terms of the billing systems </w:t>
            </w:r>
            <w:proofErr w:type="gramStart"/>
            <w:r w:rsidRPr="00741BEE">
              <w:rPr>
                <w:rFonts w:asciiTheme="minorHAnsi" w:hAnsiTheme="minorHAnsi" w:cstheme="minorHAnsi"/>
                <w:i/>
                <w:iCs/>
                <w:sz w:val="22"/>
                <w:lang w:val="en-US"/>
              </w:rPr>
              <w:t>used;</w:t>
            </w:r>
            <w:proofErr w:type="gramEnd"/>
          </w:p>
          <w:p w14:paraId="37BE413C" w14:textId="77777777" w:rsidR="00074EB9"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 development of recommendations in terms of new services (for example, SMS, OTT services).</w:t>
            </w:r>
          </w:p>
          <w:p w14:paraId="591884B7" w14:textId="1F6E73E9" w:rsidR="000F4463" w:rsidRPr="00741BEE" w:rsidRDefault="00F520F9"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5.2. </w:t>
            </w:r>
            <w:r w:rsidR="000F4463" w:rsidRPr="00741BEE">
              <w:rPr>
                <w:rFonts w:asciiTheme="minorHAnsi" w:hAnsiTheme="minorHAnsi" w:cstheme="minorHAnsi"/>
                <w:i/>
                <w:iCs/>
                <w:sz w:val="22"/>
                <w:lang w:val="en-US"/>
              </w:rPr>
              <w:t>A significant number of operators also noted that further work is needed to update the provisions of the ITU-T Recommendation. In cases where in practice there are controversial issues, the solution of which is not directly reflected in the inter-operator agreement, the relevant ITU-T recommendations are always applied to achieve a mutual solution without the need to go to court. The cancellation of the ITRs may negatively affect telecommunications activities in terms of inter-operator interaction.</w:t>
            </w:r>
          </w:p>
          <w:p w14:paraId="52C35776" w14:textId="6CF8031D" w:rsidR="005D6B22" w:rsidRPr="00741BEE" w:rsidRDefault="000F4463"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5.3. </w:t>
            </w:r>
            <w:r w:rsidR="005D6B22" w:rsidRPr="00741BEE">
              <w:rPr>
                <w:rFonts w:asciiTheme="minorHAnsi" w:hAnsiTheme="minorHAnsi" w:cstheme="minorHAnsi"/>
                <w:i/>
                <w:iCs/>
                <w:sz w:val="22"/>
                <w:lang w:val="en-US"/>
              </w:rPr>
              <w:t xml:space="preserve">Some operators noted </w:t>
            </w:r>
            <w:r w:rsidR="000C4210" w:rsidRPr="00741BEE">
              <w:rPr>
                <w:rFonts w:asciiTheme="minorHAnsi" w:hAnsiTheme="minorHAnsi" w:cstheme="minorHAnsi"/>
                <w:i/>
                <w:iCs/>
                <w:sz w:val="22"/>
                <w:lang w:val="en-US"/>
              </w:rPr>
              <w:t>the p</w:t>
            </w:r>
            <w:r w:rsidR="005D6B22" w:rsidRPr="00741BEE">
              <w:rPr>
                <w:rFonts w:asciiTheme="minorHAnsi" w:hAnsiTheme="minorHAnsi" w:cstheme="minorHAnsi"/>
                <w:i/>
                <w:iCs/>
                <w:sz w:val="22"/>
                <w:lang w:val="en-US"/>
              </w:rPr>
              <w:t xml:space="preserve">ossibility of making mutual settlements for communication and Internet services regardless of the geopolitical situation and current </w:t>
            </w:r>
            <w:r w:rsidR="005D6B22" w:rsidRPr="00741BEE">
              <w:rPr>
                <w:rFonts w:asciiTheme="minorHAnsi" w:hAnsiTheme="minorHAnsi" w:cstheme="minorHAnsi"/>
                <w:i/>
                <w:iCs/>
                <w:sz w:val="22"/>
                <w:lang w:val="uz-Cyrl-UZ" w:eastAsia="ru-RU"/>
              </w:rPr>
              <w:t>unilateral</w:t>
            </w:r>
            <w:r w:rsidR="005D6B22" w:rsidRPr="00741BEE">
              <w:rPr>
                <w:rFonts w:asciiTheme="minorHAnsi" w:hAnsiTheme="minorHAnsi" w:cstheme="minorHAnsi"/>
                <w:i/>
                <w:iCs/>
                <w:sz w:val="22"/>
                <w:lang w:val="en-US"/>
              </w:rPr>
              <w:t xml:space="preserve"> sanctions regimes.</w:t>
            </w:r>
          </w:p>
          <w:p w14:paraId="0FDFBB1A" w14:textId="4831CA43" w:rsidR="00F520F9" w:rsidRPr="00741BEE" w:rsidRDefault="005D6B22" w:rsidP="00F520F9">
            <w:pPr>
              <w:spacing w:before="0"/>
              <w:rPr>
                <w:rFonts w:asciiTheme="minorHAnsi" w:hAnsiTheme="minorHAnsi" w:cstheme="minorHAnsi"/>
                <w:i/>
                <w:iCs/>
                <w:sz w:val="22"/>
                <w:lang w:val="en-US"/>
              </w:rPr>
            </w:pPr>
            <w:r w:rsidRPr="00741BEE">
              <w:rPr>
                <w:rFonts w:asciiTheme="minorHAnsi" w:hAnsiTheme="minorHAnsi" w:cstheme="minorHAnsi"/>
                <w:i/>
                <w:iCs/>
                <w:sz w:val="22"/>
                <w:lang w:val="en-US"/>
              </w:rPr>
              <w:t>5.4. </w:t>
            </w:r>
            <w:r w:rsidR="00F520F9" w:rsidRPr="00741BEE">
              <w:rPr>
                <w:rFonts w:asciiTheme="minorHAnsi" w:hAnsiTheme="minorHAnsi" w:cstheme="minorHAnsi"/>
                <w:i/>
                <w:iCs/>
                <w:sz w:val="22"/>
                <w:lang w:val="en-US"/>
              </w:rPr>
              <w:t>Some operators noted that it is not required</w:t>
            </w:r>
          </w:p>
        </w:tc>
      </w:tr>
      <w:tr w:rsidR="00074EB9" w:rsidRPr="00741BEE" w14:paraId="68788456" w14:textId="77777777" w:rsidTr="008F487D">
        <w:tc>
          <w:tcPr>
            <w:tcW w:w="3096" w:type="pct"/>
          </w:tcPr>
          <w:p w14:paraId="0DE1F10F" w14:textId="30E6F068" w:rsidR="00074EB9" w:rsidRPr="00741BEE" w:rsidRDefault="00074EB9" w:rsidP="00074EB9">
            <w:pPr>
              <w:pStyle w:val="msonormalmailrucssattributepostfix"/>
              <w:spacing w:before="0" w:beforeAutospacing="0" w:after="0" w:afterAutospacing="0"/>
              <w:jc w:val="both"/>
              <w:rPr>
                <w:rStyle w:val="Strong"/>
                <w:rFonts w:asciiTheme="minorHAnsi" w:hAnsiTheme="minorHAnsi" w:cstheme="minorHAnsi"/>
                <w:sz w:val="22"/>
                <w:szCs w:val="22"/>
                <w:lang w:val="en-US"/>
              </w:rPr>
            </w:pPr>
            <w:r w:rsidRPr="00741BEE">
              <w:rPr>
                <w:rStyle w:val="Strong"/>
                <w:rFonts w:asciiTheme="minorHAnsi" w:hAnsiTheme="minorHAnsi" w:cstheme="minorHAnsi"/>
                <w:sz w:val="22"/>
                <w:szCs w:val="22"/>
                <w:lang w:val="en-US"/>
              </w:rPr>
              <w:t>6. </w:t>
            </w:r>
            <w:r w:rsidR="001E281A" w:rsidRPr="00741BEE">
              <w:rPr>
                <w:rStyle w:val="Strong"/>
                <w:rFonts w:asciiTheme="minorHAnsi" w:hAnsiTheme="minorHAnsi" w:cstheme="minorHAnsi"/>
                <w:sz w:val="22"/>
                <w:szCs w:val="22"/>
                <w:lang w:val="en-US"/>
              </w:rPr>
              <w:t xml:space="preserve">Does your organization have information on any current problems and obstacles </w:t>
            </w:r>
            <w:proofErr w:type="gramStart"/>
            <w:r w:rsidR="001E281A" w:rsidRPr="00741BEE">
              <w:rPr>
                <w:rStyle w:val="Strong"/>
                <w:rFonts w:asciiTheme="minorHAnsi" w:hAnsiTheme="minorHAnsi" w:cstheme="minorHAnsi"/>
                <w:sz w:val="22"/>
                <w:szCs w:val="22"/>
                <w:lang w:val="en-US"/>
              </w:rPr>
              <w:t>with regard to</w:t>
            </w:r>
            <w:proofErr w:type="gramEnd"/>
            <w:r w:rsidR="001E281A" w:rsidRPr="00741BEE">
              <w:rPr>
                <w:rStyle w:val="Strong"/>
                <w:rFonts w:asciiTheme="minorHAnsi" w:hAnsiTheme="minorHAnsi" w:cstheme="minorHAnsi"/>
                <w:sz w:val="22"/>
                <w:szCs w:val="22"/>
                <w:lang w:val="en-US"/>
              </w:rPr>
              <w:t xml:space="preserve"> the application of provisions of ITRs 1988</w:t>
            </w:r>
            <w:r w:rsidRPr="00741BEE">
              <w:rPr>
                <w:rStyle w:val="FootnoteReference"/>
                <w:rFonts w:asciiTheme="minorHAnsi" w:hAnsiTheme="minorHAnsi" w:cstheme="minorHAnsi"/>
                <w:b/>
                <w:bCs/>
                <w:sz w:val="22"/>
                <w:szCs w:val="22"/>
              </w:rPr>
              <w:footnoteReference w:id="2"/>
            </w:r>
            <w:r w:rsidRPr="00741BEE">
              <w:rPr>
                <w:rStyle w:val="Strong"/>
                <w:rFonts w:asciiTheme="minorHAnsi" w:hAnsiTheme="minorHAnsi" w:cstheme="minorHAnsi"/>
                <w:sz w:val="22"/>
                <w:szCs w:val="22"/>
                <w:lang w:val="en-US"/>
              </w:rPr>
              <w:t xml:space="preserve"> </w:t>
            </w:r>
            <w:r w:rsidR="001E281A" w:rsidRPr="00741BEE">
              <w:rPr>
                <w:rStyle w:val="Strong"/>
                <w:rFonts w:asciiTheme="minorHAnsi" w:hAnsiTheme="minorHAnsi" w:cstheme="minorHAnsi"/>
                <w:sz w:val="22"/>
                <w:szCs w:val="22"/>
                <w:lang w:val="en-US"/>
              </w:rPr>
              <w:t>and ITRs 2012</w:t>
            </w:r>
            <w:r w:rsidRPr="00741BEE">
              <w:rPr>
                <w:rStyle w:val="FootnoteReference"/>
                <w:rFonts w:asciiTheme="minorHAnsi" w:hAnsiTheme="minorHAnsi" w:cstheme="minorHAnsi"/>
                <w:b/>
                <w:bCs/>
                <w:sz w:val="22"/>
                <w:szCs w:val="22"/>
              </w:rPr>
              <w:footnoteReference w:id="3"/>
            </w:r>
            <w:r w:rsidRPr="00741BEE">
              <w:rPr>
                <w:rStyle w:val="Strong"/>
                <w:rFonts w:asciiTheme="minorHAnsi" w:hAnsiTheme="minorHAnsi" w:cstheme="minorHAnsi"/>
                <w:sz w:val="22"/>
                <w:szCs w:val="22"/>
                <w:lang w:val="en-US"/>
              </w:rPr>
              <w:t xml:space="preserve"> </w:t>
            </w:r>
            <w:r w:rsidR="001E281A" w:rsidRPr="00741BEE">
              <w:rPr>
                <w:rStyle w:val="Strong"/>
                <w:rFonts w:asciiTheme="minorHAnsi" w:hAnsiTheme="minorHAnsi" w:cstheme="minorHAnsi"/>
                <w:sz w:val="22"/>
                <w:szCs w:val="22"/>
                <w:lang w:val="en-US"/>
              </w:rPr>
              <w:t>in relations with international partners applying different versions of the ITRs?</w:t>
            </w:r>
          </w:p>
        </w:tc>
        <w:tc>
          <w:tcPr>
            <w:tcW w:w="1904" w:type="pct"/>
          </w:tcPr>
          <w:p w14:paraId="6BC34C41" w14:textId="6855248B" w:rsidR="005D6B22" w:rsidRPr="00741BEE" w:rsidRDefault="005D6B22" w:rsidP="00074EB9">
            <w:pPr>
              <w:spacing w:before="0"/>
              <w:rPr>
                <w:rFonts w:asciiTheme="minorHAnsi" w:hAnsiTheme="minorHAnsi" w:cstheme="minorHAnsi"/>
                <w:i/>
                <w:iCs/>
                <w:sz w:val="22"/>
                <w:lang w:val="uz-Cyrl-UZ" w:eastAsia="ru-RU"/>
              </w:rPr>
            </w:pPr>
            <w:r w:rsidRPr="00741BEE">
              <w:rPr>
                <w:rFonts w:asciiTheme="minorHAnsi" w:hAnsiTheme="minorHAnsi" w:cstheme="minorHAnsi"/>
                <w:i/>
                <w:iCs/>
                <w:sz w:val="22"/>
                <w:lang w:val="uz-Cyrl-UZ" w:eastAsia="ru-RU"/>
              </w:rPr>
              <w:t xml:space="preserve">6.1. Some operators noted that they had encountered the impossibility of making payments for telecommunications and Internet services due to the policy of foreign banks </w:t>
            </w:r>
            <w:r w:rsidR="000C4210" w:rsidRPr="00741BEE">
              <w:rPr>
                <w:rFonts w:asciiTheme="minorHAnsi" w:hAnsiTheme="minorHAnsi" w:cstheme="minorHAnsi"/>
                <w:sz w:val="22"/>
              </w:rPr>
              <w:t xml:space="preserve"> </w:t>
            </w:r>
            <w:r w:rsidR="000C4210" w:rsidRPr="00741BEE">
              <w:rPr>
                <w:rFonts w:asciiTheme="minorHAnsi" w:hAnsiTheme="minorHAnsi" w:cstheme="minorHAnsi"/>
                <w:i/>
                <w:iCs/>
                <w:sz w:val="22"/>
                <w:lang w:val="uz-Cyrl-UZ" w:eastAsia="ru-RU"/>
              </w:rPr>
              <w:t>While the provision of such services is not subject to sanctions, payments for telecommunications services are restricted under unilateral sanctions.</w:t>
            </w:r>
          </w:p>
          <w:p w14:paraId="2BD36939" w14:textId="7A28BEF0" w:rsidR="00074EB9" w:rsidRPr="00741BEE" w:rsidRDefault="005D6B22" w:rsidP="00074EB9">
            <w:pPr>
              <w:spacing w:before="0"/>
              <w:rPr>
                <w:rFonts w:asciiTheme="minorHAnsi" w:hAnsiTheme="minorHAnsi" w:cstheme="minorHAnsi"/>
                <w:sz w:val="22"/>
                <w:u w:val="single"/>
                <w:lang w:val="en-US"/>
              </w:rPr>
            </w:pPr>
            <w:r w:rsidRPr="00741BEE">
              <w:rPr>
                <w:rFonts w:asciiTheme="minorHAnsi" w:hAnsiTheme="minorHAnsi" w:cstheme="minorHAnsi"/>
                <w:i/>
                <w:iCs/>
                <w:sz w:val="22"/>
                <w:lang w:val="uz-Cyrl-UZ" w:eastAsia="ru-RU"/>
              </w:rPr>
              <w:t>6.2. </w:t>
            </w:r>
            <w:r w:rsidR="001E281A" w:rsidRPr="00741BEE">
              <w:rPr>
                <w:rFonts w:asciiTheme="minorHAnsi" w:hAnsiTheme="minorHAnsi" w:cstheme="minorHAnsi"/>
                <w:i/>
                <w:iCs/>
                <w:sz w:val="22"/>
                <w:lang w:val="uz-Cyrl-UZ" w:eastAsia="ru-RU"/>
              </w:rPr>
              <w:t xml:space="preserve">In connection with the inclusion of the provisions of the Regulations in the text of international treaties </w:t>
            </w:r>
            <w:r w:rsidR="001E281A" w:rsidRPr="00741BEE">
              <w:rPr>
                <w:rFonts w:asciiTheme="minorHAnsi" w:hAnsiTheme="minorHAnsi" w:cstheme="minorHAnsi"/>
                <w:i/>
                <w:iCs/>
                <w:sz w:val="22"/>
                <w:lang w:val="en-US" w:eastAsia="ru-RU"/>
              </w:rPr>
              <w:t>m</w:t>
            </w:r>
            <w:r w:rsidR="001E281A" w:rsidRPr="00741BEE">
              <w:rPr>
                <w:rFonts w:asciiTheme="minorHAnsi" w:hAnsiTheme="minorHAnsi" w:cstheme="minorHAnsi"/>
                <w:i/>
                <w:iCs/>
                <w:sz w:val="22"/>
                <w:lang w:val="uz-Cyrl-UZ" w:eastAsia="ru-RU"/>
              </w:rPr>
              <w:t>ost operators responded that they had not encountered any difficulties in practice.</w:t>
            </w:r>
          </w:p>
        </w:tc>
      </w:tr>
      <w:tr w:rsidR="00074EB9" w:rsidRPr="00741BEE" w14:paraId="6D50C1A8" w14:textId="77777777" w:rsidTr="008F487D">
        <w:tc>
          <w:tcPr>
            <w:tcW w:w="3096" w:type="pct"/>
          </w:tcPr>
          <w:p w14:paraId="7279CA84" w14:textId="2567CA0E" w:rsidR="00B150C5" w:rsidRPr="00741BEE" w:rsidRDefault="001E281A" w:rsidP="00074EB9">
            <w:pPr>
              <w:pStyle w:val="msonormalmailrucssattributepostfix"/>
              <w:spacing w:before="0" w:beforeAutospacing="0" w:after="0" w:afterAutospacing="0"/>
              <w:jc w:val="both"/>
              <w:rPr>
                <w:rStyle w:val="Strong"/>
                <w:rFonts w:asciiTheme="minorHAnsi" w:hAnsiTheme="minorHAnsi" w:cstheme="minorHAnsi"/>
                <w:sz w:val="22"/>
                <w:szCs w:val="22"/>
                <w:lang w:val="en-US"/>
              </w:rPr>
            </w:pPr>
            <w:r w:rsidRPr="00741BEE">
              <w:rPr>
                <w:rStyle w:val="Strong"/>
                <w:rFonts w:asciiTheme="minorHAnsi" w:hAnsiTheme="minorHAnsi" w:cstheme="minorHAnsi"/>
                <w:sz w:val="22"/>
                <w:szCs w:val="22"/>
                <w:lang w:val="en-US"/>
              </w:rPr>
              <w:t xml:space="preserve">7. </w:t>
            </w:r>
            <w:r w:rsidR="00B150C5" w:rsidRPr="00741BEE">
              <w:rPr>
                <w:rStyle w:val="Strong"/>
                <w:rFonts w:asciiTheme="minorHAnsi" w:hAnsiTheme="minorHAnsi" w:cstheme="minorHAnsi"/>
                <w:sz w:val="22"/>
                <w:szCs w:val="22"/>
                <w:lang w:val="en-US"/>
              </w:rPr>
              <w:t>In your opinion,</w:t>
            </w:r>
            <w:r w:rsidRPr="00741BEE">
              <w:rPr>
                <w:rStyle w:val="Strong"/>
                <w:rFonts w:asciiTheme="minorHAnsi" w:hAnsiTheme="minorHAnsi" w:cstheme="minorHAnsi"/>
                <w:sz w:val="22"/>
                <w:szCs w:val="22"/>
                <w:lang w:val="en-US"/>
              </w:rPr>
              <w:t xml:space="preserve"> are</w:t>
            </w:r>
            <w:r w:rsidR="00B150C5" w:rsidRPr="00741BEE">
              <w:rPr>
                <w:rStyle w:val="Strong"/>
                <w:rFonts w:asciiTheme="minorHAnsi" w:hAnsiTheme="minorHAnsi" w:cstheme="minorHAnsi"/>
                <w:sz w:val="22"/>
                <w:szCs w:val="22"/>
                <w:lang w:val="en-US"/>
              </w:rPr>
              <w:t xml:space="preserve"> there</w:t>
            </w:r>
            <w:r w:rsidRPr="00741BEE">
              <w:rPr>
                <w:rStyle w:val="Strong"/>
                <w:rFonts w:asciiTheme="minorHAnsi" w:hAnsiTheme="minorHAnsi" w:cstheme="minorHAnsi"/>
                <w:sz w:val="22"/>
                <w:szCs w:val="22"/>
                <w:lang w:val="en-US"/>
              </w:rPr>
              <w:t xml:space="preserve"> any potential difficulties and/or risks associated with the cancellation of the international treaty – ITRs?</w:t>
            </w:r>
          </w:p>
        </w:tc>
        <w:tc>
          <w:tcPr>
            <w:tcW w:w="1904" w:type="pct"/>
          </w:tcPr>
          <w:p w14:paraId="2EAB336E" w14:textId="16367487" w:rsidR="008F487D" w:rsidRPr="00741BEE" w:rsidRDefault="008F487D" w:rsidP="008F487D">
            <w:pPr>
              <w:spacing w:before="0"/>
              <w:rPr>
                <w:rFonts w:asciiTheme="minorHAnsi" w:hAnsiTheme="minorHAnsi" w:cstheme="minorHAnsi"/>
                <w:sz w:val="22"/>
                <w:lang w:val="en-US"/>
              </w:rPr>
            </w:pPr>
            <w:r w:rsidRPr="00741BEE">
              <w:rPr>
                <w:rFonts w:asciiTheme="minorHAnsi" w:hAnsiTheme="minorHAnsi" w:cstheme="minorHAnsi"/>
                <w:sz w:val="22"/>
                <w:lang w:val="en-US"/>
              </w:rPr>
              <w:t xml:space="preserve">Most operators answered – Yes, the cancellation of the ITRs may entail </w:t>
            </w:r>
            <w:proofErr w:type="gramStart"/>
            <w:r w:rsidRPr="00741BEE">
              <w:rPr>
                <w:rFonts w:asciiTheme="minorHAnsi" w:hAnsiTheme="minorHAnsi" w:cstheme="minorHAnsi"/>
                <w:sz w:val="22"/>
                <w:lang w:val="en-US"/>
              </w:rPr>
              <w:t>a number of</w:t>
            </w:r>
            <w:proofErr w:type="gramEnd"/>
            <w:r w:rsidRPr="00741BEE">
              <w:rPr>
                <w:rFonts w:asciiTheme="minorHAnsi" w:hAnsiTheme="minorHAnsi" w:cstheme="minorHAnsi"/>
                <w:sz w:val="22"/>
                <w:lang w:val="en-US"/>
              </w:rPr>
              <w:t xml:space="preserve"> significant risks and difficulties. The most significant of them are the following:</w:t>
            </w:r>
          </w:p>
          <w:p w14:paraId="78E0BD8D" w14:textId="77777777" w:rsidR="008F487D" w:rsidRPr="00741BEE" w:rsidRDefault="008F487D" w:rsidP="008F487D">
            <w:pPr>
              <w:spacing w:before="0"/>
              <w:rPr>
                <w:rFonts w:asciiTheme="minorHAnsi" w:hAnsiTheme="minorHAnsi" w:cstheme="minorHAnsi"/>
                <w:sz w:val="22"/>
                <w:lang w:val="en-US"/>
              </w:rPr>
            </w:pPr>
            <w:r w:rsidRPr="00741BEE">
              <w:rPr>
                <w:rFonts w:asciiTheme="minorHAnsi" w:hAnsiTheme="minorHAnsi" w:cstheme="minorHAnsi"/>
                <w:sz w:val="22"/>
                <w:lang w:val="en-US"/>
              </w:rPr>
              <w:t>1. Yes, in case of the cancellation of the ITRs, we see significant risks associated with the complexity of justifying the need to include in international treaties the provisions that are currently contained in the ITRs.</w:t>
            </w:r>
          </w:p>
          <w:p w14:paraId="60D4CC12" w14:textId="77777777" w:rsidR="008F487D" w:rsidRPr="00741BEE" w:rsidRDefault="008F487D" w:rsidP="008F487D">
            <w:pPr>
              <w:spacing w:before="0"/>
              <w:rPr>
                <w:rFonts w:asciiTheme="minorHAnsi" w:hAnsiTheme="minorHAnsi" w:cstheme="minorHAnsi"/>
                <w:sz w:val="22"/>
                <w:lang w:val="en-US"/>
              </w:rPr>
            </w:pPr>
            <w:r w:rsidRPr="00741BEE">
              <w:rPr>
                <w:rFonts w:asciiTheme="minorHAnsi" w:hAnsiTheme="minorHAnsi" w:cstheme="minorHAnsi"/>
                <w:sz w:val="22"/>
                <w:lang w:val="en-US"/>
              </w:rPr>
              <w:t>2. Loss of legal grounds for offsetting.</w:t>
            </w:r>
          </w:p>
          <w:p w14:paraId="5EA5C67F" w14:textId="77777777" w:rsidR="008F487D" w:rsidRPr="00741BEE" w:rsidRDefault="008F487D" w:rsidP="008F487D">
            <w:pPr>
              <w:spacing w:before="0"/>
              <w:rPr>
                <w:rFonts w:asciiTheme="minorHAnsi" w:hAnsiTheme="minorHAnsi" w:cstheme="minorHAnsi"/>
                <w:sz w:val="22"/>
                <w:lang w:val="en-US"/>
              </w:rPr>
            </w:pPr>
            <w:r w:rsidRPr="00741BEE">
              <w:rPr>
                <w:rFonts w:asciiTheme="minorHAnsi" w:hAnsiTheme="minorHAnsi" w:cstheme="minorHAnsi"/>
                <w:sz w:val="22"/>
                <w:lang w:val="en-US"/>
              </w:rPr>
              <w:t>In international telecommunications practice, services are often provided by partners to each other on a reciprocal basis (import and export of traffic), and settlements are made based on the balance. The possibility of conducting offsetting is justified primarily by the provisions of the ITRs, since this form of settlement is not regulated at the level of national legislation. The cancellation of the ITRs will deprive operators of the legal basis for using such mechanisms.</w:t>
            </w:r>
          </w:p>
          <w:p w14:paraId="18BCEEED" w14:textId="77777777" w:rsidR="008F487D" w:rsidRPr="00741BEE" w:rsidRDefault="008F487D" w:rsidP="008F487D">
            <w:pPr>
              <w:spacing w:before="0"/>
              <w:rPr>
                <w:rFonts w:asciiTheme="minorHAnsi" w:hAnsiTheme="minorHAnsi" w:cstheme="minorHAnsi"/>
                <w:sz w:val="22"/>
                <w:lang w:val="en-US"/>
              </w:rPr>
            </w:pPr>
            <w:r w:rsidRPr="00741BEE">
              <w:rPr>
                <w:rFonts w:asciiTheme="minorHAnsi" w:hAnsiTheme="minorHAnsi" w:cstheme="minorHAnsi"/>
                <w:sz w:val="22"/>
                <w:lang w:val="en-US"/>
              </w:rPr>
              <w:t>2. Restrictions on the accounting of invoices and the deadlines for their submission.</w:t>
            </w:r>
          </w:p>
          <w:p w14:paraId="2326A615" w14:textId="19BF4D0F" w:rsidR="008F487D" w:rsidRPr="00741BEE" w:rsidRDefault="008F487D" w:rsidP="008F487D">
            <w:pPr>
              <w:spacing w:before="0"/>
              <w:rPr>
                <w:rFonts w:asciiTheme="minorHAnsi" w:hAnsiTheme="minorHAnsi" w:cstheme="minorHAnsi"/>
                <w:sz w:val="22"/>
                <w:lang w:val="en-US"/>
              </w:rPr>
            </w:pPr>
            <w:r w:rsidRPr="00741BEE">
              <w:rPr>
                <w:rFonts w:asciiTheme="minorHAnsi" w:hAnsiTheme="minorHAnsi" w:cstheme="minorHAnsi"/>
                <w:sz w:val="22"/>
                <w:lang w:val="en-US"/>
              </w:rPr>
              <w:t xml:space="preserve">For example, according to the requirements of the national </w:t>
            </w:r>
            <w:r w:rsidR="00B150C5" w:rsidRPr="00741BEE">
              <w:rPr>
                <w:rFonts w:asciiTheme="minorHAnsi" w:hAnsiTheme="minorHAnsi" w:cstheme="minorHAnsi"/>
                <w:sz w:val="22"/>
                <w:lang w:val="en-US"/>
              </w:rPr>
              <w:t>l</w:t>
            </w:r>
            <w:r w:rsidRPr="00741BEE">
              <w:rPr>
                <w:rFonts w:asciiTheme="minorHAnsi" w:hAnsiTheme="minorHAnsi" w:cstheme="minorHAnsi"/>
                <w:sz w:val="22"/>
                <w:lang w:val="en-US"/>
              </w:rPr>
              <w:t>egislation, all invoices for foreign economic transactions must be promptly entered into the Unified Electronic Information System of Foreign Economic Activity. At the same time, the provisions of the ITRs provide for the possibility of challenging invoices between the parties within 30 days. In the case of the cancellation of the ITRs, the possibility of referring to these provisions as a legal basis for deferring the entry of invoices will be lost.</w:t>
            </w:r>
          </w:p>
          <w:p w14:paraId="1CBE3F02" w14:textId="77777777" w:rsidR="008F487D" w:rsidRPr="00741BEE" w:rsidRDefault="008F487D" w:rsidP="008F487D">
            <w:pPr>
              <w:spacing w:before="0"/>
              <w:rPr>
                <w:rFonts w:asciiTheme="minorHAnsi" w:hAnsiTheme="minorHAnsi" w:cstheme="minorHAnsi"/>
                <w:sz w:val="22"/>
                <w:lang w:val="en-US"/>
              </w:rPr>
            </w:pPr>
            <w:r w:rsidRPr="00741BEE">
              <w:rPr>
                <w:rFonts w:asciiTheme="minorHAnsi" w:hAnsiTheme="minorHAnsi" w:cstheme="minorHAnsi"/>
                <w:sz w:val="22"/>
                <w:lang w:val="en-US"/>
              </w:rPr>
              <w:t>3. Risks of tax consequences.</w:t>
            </w:r>
          </w:p>
          <w:p w14:paraId="2A2BCC7E" w14:textId="4983FF3A" w:rsidR="00074EB9" w:rsidRPr="00741BEE" w:rsidRDefault="008F487D" w:rsidP="008F487D">
            <w:pPr>
              <w:spacing w:before="0"/>
              <w:rPr>
                <w:rFonts w:asciiTheme="minorHAnsi" w:hAnsiTheme="minorHAnsi" w:cstheme="minorHAnsi"/>
                <w:sz w:val="22"/>
                <w:lang w:val="en-US"/>
              </w:rPr>
            </w:pPr>
            <w:proofErr w:type="gramStart"/>
            <w:r w:rsidRPr="00741BEE">
              <w:rPr>
                <w:rFonts w:asciiTheme="minorHAnsi" w:hAnsiTheme="minorHAnsi" w:cstheme="minorHAnsi"/>
                <w:sz w:val="22"/>
                <w:lang w:val="en-US"/>
              </w:rPr>
              <w:t>A number of</w:t>
            </w:r>
            <w:proofErr w:type="gramEnd"/>
            <w:r w:rsidRPr="00741BEE">
              <w:rPr>
                <w:rFonts w:asciiTheme="minorHAnsi" w:hAnsiTheme="minorHAnsi" w:cstheme="minorHAnsi"/>
                <w:sz w:val="22"/>
                <w:lang w:val="en-US"/>
              </w:rPr>
              <w:t xml:space="preserve"> rules governing telecommunications settlements </w:t>
            </w:r>
            <w:proofErr w:type="gramStart"/>
            <w:r w:rsidRPr="00741BEE">
              <w:rPr>
                <w:rFonts w:asciiTheme="minorHAnsi" w:hAnsiTheme="minorHAnsi" w:cstheme="minorHAnsi"/>
                <w:sz w:val="22"/>
                <w:lang w:val="en-US"/>
              </w:rPr>
              <w:t>actually help</w:t>
            </w:r>
            <w:proofErr w:type="gramEnd"/>
            <w:r w:rsidRPr="00741BEE">
              <w:rPr>
                <w:rFonts w:asciiTheme="minorHAnsi" w:hAnsiTheme="minorHAnsi" w:cstheme="minorHAnsi"/>
                <w:sz w:val="22"/>
                <w:lang w:val="en-US"/>
              </w:rPr>
              <w:t xml:space="preserve"> to eliminate double taxation, especially in terms of recognizing mutual services and the correct distribution of income and expenses between the parties. Since these mechanisms are based on international recommendations (ITRs and relevant ITU-T Recommendations), the cancellation of the ITRs may give rise to risks of tax duplication.</w:t>
            </w:r>
          </w:p>
        </w:tc>
      </w:tr>
    </w:tbl>
    <w:p w14:paraId="123EA505" w14:textId="32A7FDBF" w:rsidR="008F487D" w:rsidRPr="00AC1E22" w:rsidRDefault="008F487D" w:rsidP="00C363B3">
      <w:pPr>
        <w:spacing w:before="480"/>
        <w:jc w:val="both"/>
        <w:rPr>
          <w:b/>
          <w:bCs/>
          <w:lang w:val="en-US"/>
        </w:rPr>
      </w:pPr>
      <w:r>
        <w:rPr>
          <w:b/>
          <w:bCs/>
          <w:lang w:val="en-US"/>
        </w:rPr>
        <w:t>I</w:t>
      </w:r>
      <w:r w:rsidR="00C363B3">
        <w:rPr>
          <w:b/>
          <w:bCs/>
          <w:lang w:val="en-US"/>
        </w:rPr>
        <w:t>I</w:t>
      </w:r>
      <w:r>
        <w:rPr>
          <w:b/>
          <w:bCs/>
          <w:lang w:val="en-US"/>
        </w:rPr>
        <w:t>I. Proposal</w:t>
      </w:r>
    </w:p>
    <w:p w14:paraId="4A591D64" w14:textId="5AFC0759" w:rsidR="008F487D" w:rsidRPr="00741BEE" w:rsidRDefault="008F487D" w:rsidP="008F487D">
      <w:pPr>
        <w:jc w:val="both"/>
        <w:rPr>
          <w:rFonts w:asciiTheme="minorHAnsi" w:hAnsiTheme="minorHAnsi" w:cstheme="minorHAnsi"/>
          <w:szCs w:val="24"/>
          <w:lang w:val="en-US"/>
        </w:rPr>
      </w:pPr>
      <w:r w:rsidRPr="008F487D">
        <w:rPr>
          <w:lang w:val="en-US"/>
        </w:rPr>
        <w:t xml:space="preserve">The Expert Group on the International Telecommunication Regulations is invited to include empirical data on the current use of the ITRs by RCC/CIS operating agencies and/or administrations and the proportion of global telecommunication services which now rely on the ITRs </w:t>
      </w:r>
      <w:r w:rsidR="00CE543D">
        <w:rPr>
          <w:lang w:val="en-US"/>
        </w:rPr>
        <w:t>in</w:t>
      </w:r>
      <w:r w:rsidR="00CE543D" w:rsidRPr="008F487D">
        <w:rPr>
          <w:lang w:val="en-US"/>
        </w:rPr>
        <w:t xml:space="preserve"> </w:t>
      </w:r>
      <w:r w:rsidRPr="008F487D">
        <w:rPr>
          <w:lang w:val="en-US"/>
        </w:rPr>
        <w:t xml:space="preserve">the EG-ITRs final report and to Council 2026 and provide this information for </w:t>
      </w:r>
      <w:r w:rsidRPr="00741BEE">
        <w:rPr>
          <w:rFonts w:asciiTheme="minorHAnsi" w:hAnsiTheme="minorHAnsi" w:cstheme="minorHAnsi"/>
          <w:szCs w:val="24"/>
          <w:lang w:val="en-US"/>
        </w:rPr>
        <w:t>examination and submission to the 2026 Plenipotentiary Conference with the Council's comments, in particular:</w:t>
      </w:r>
    </w:p>
    <w:p w14:paraId="5860670D" w14:textId="0A164608" w:rsidR="00C363B3" w:rsidRDefault="008F487D" w:rsidP="008F487D">
      <w:pPr>
        <w:jc w:val="both"/>
        <w:rPr>
          <w:rFonts w:asciiTheme="minorHAnsi" w:hAnsiTheme="minorHAnsi" w:cstheme="minorHAnsi"/>
          <w:szCs w:val="24"/>
          <w:shd w:val="clear" w:color="auto" w:fill="FFFFFF"/>
        </w:rPr>
      </w:pPr>
      <w:r w:rsidRPr="00741BEE">
        <w:rPr>
          <w:rFonts w:asciiTheme="minorHAnsi" w:hAnsiTheme="minorHAnsi" w:cstheme="minorHAnsi"/>
          <w:szCs w:val="24"/>
          <w:lang w:val="en-US"/>
        </w:rPr>
        <w:t xml:space="preserve">1. That RCC/CIS Member States include a reference to the ITRs in their interstate agreements, e.g. - </w:t>
      </w:r>
      <w:r w:rsidR="00CE543D" w:rsidRPr="00741BEE">
        <w:rPr>
          <w:rFonts w:asciiTheme="minorHAnsi" w:hAnsiTheme="minorHAnsi" w:cstheme="minorHAnsi"/>
          <w:szCs w:val="24"/>
          <w:shd w:val="clear" w:color="auto" w:fill="FFFFFF"/>
        </w:rPr>
        <w:t xml:space="preserve">Agreement on the terms and conditions for inter-operator settlements when providing international telecommunications services in CIS </w:t>
      </w:r>
      <w:r w:rsidR="00C363B3" w:rsidRPr="00741BEE">
        <w:rPr>
          <w:rFonts w:asciiTheme="minorHAnsi" w:hAnsiTheme="minorHAnsi" w:cstheme="minorHAnsi"/>
          <w:szCs w:val="24"/>
          <w:shd w:val="clear" w:color="auto" w:fill="FFFFFF"/>
        </w:rPr>
        <w:t xml:space="preserve">Member </w:t>
      </w:r>
      <w:r w:rsidR="00CE543D" w:rsidRPr="00741BEE">
        <w:rPr>
          <w:rFonts w:asciiTheme="minorHAnsi" w:hAnsiTheme="minorHAnsi" w:cstheme="minorHAnsi"/>
          <w:szCs w:val="24"/>
          <w:shd w:val="clear" w:color="auto" w:fill="FFFFFF"/>
        </w:rPr>
        <w:t>States dated October 30, 2015</w:t>
      </w:r>
    </w:p>
    <w:p w14:paraId="72446735" w14:textId="0DCBA407" w:rsidR="00500CA4" w:rsidRPr="00242C8F" w:rsidRDefault="008F487D" w:rsidP="008F487D">
      <w:pPr>
        <w:jc w:val="both"/>
        <w:rPr>
          <w:rFonts w:asciiTheme="minorHAnsi" w:hAnsiTheme="minorHAnsi" w:cstheme="minorHAnsi"/>
          <w:szCs w:val="24"/>
          <w:lang w:val="en-US"/>
        </w:rPr>
      </w:pPr>
      <w:r w:rsidRPr="00741BEE">
        <w:rPr>
          <w:rFonts w:asciiTheme="minorHAnsi" w:hAnsiTheme="minorHAnsi" w:cstheme="minorHAnsi"/>
          <w:szCs w:val="24"/>
          <w:lang w:val="en-US"/>
        </w:rPr>
        <w:t>2</w:t>
      </w:r>
      <w:proofErr w:type="gramStart"/>
      <w:r w:rsidRPr="00741BEE">
        <w:rPr>
          <w:rFonts w:asciiTheme="minorHAnsi" w:hAnsiTheme="minorHAnsi" w:cstheme="minorHAnsi"/>
          <w:szCs w:val="24"/>
          <w:lang w:val="en-US"/>
        </w:rPr>
        <w:t>. That telecommunications</w:t>
      </w:r>
      <w:proofErr w:type="gramEnd"/>
      <w:r w:rsidRPr="00741BEE">
        <w:rPr>
          <w:rFonts w:asciiTheme="minorHAnsi" w:hAnsiTheme="minorHAnsi" w:cstheme="minorHAnsi"/>
          <w:szCs w:val="24"/>
          <w:lang w:val="en-US"/>
        </w:rPr>
        <w:t xml:space="preserve"> operators apply the provisions of the ITRs directly and indirectly in their commercial agreements, as indicated in Table "Questionnaire on the applicability of the International Telecommunication Regulations (ITR</w:t>
      </w:r>
      <w:r w:rsidR="00CE543D" w:rsidRPr="00741BEE">
        <w:rPr>
          <w:rFonts w:asciiTheme="minorHAnsi" w:hAnsiTheme="minorHAnsi" w:cstheme="minorHAnsi"/>
          <w:szCs w:val="24"/>
          <w:lang w:val="en-US"/>
        </w:rPr>
        <w:t>s</w:t>
      </w:r>
      <w:r w:rsidRPr="00741BEE">
        <w:rPr>
          <w:rFonts w:asciiTheme="minorHAnsi" w:hAnsiTheme="minorHAnsi" w:cstheme="minorHAnsi"/>
          <w:szCs w:val="24"/>
          <w:lang w:val="en-US"/>
        </w:rPr>
        <w:t>) to the activities of telecommunication operators in the RCC/CIS region" in paragraph 2.2.</w:t>
      </w:r>
    </w:p>
    <w:p w14:paraId="453854E3" w14:textId="41BAF220" w:rsidR="00A514A4" w:rsidRPr="00147C54" w:rsidRDefault="00690A5B" w:rsidP="00C363B3">
      <w:pPr>
        <w:spacing w:before="600"/>
        <w:jc w:val="center"/>
      </w:pPr>
      <w:r>
        <w:t>______________</w:t>
      </w:r>
    </w:p>
    <w:sectPr w:rsidR="00A514A4" w:rsidRPr="00147C54"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31D7" w14:textId="77777777" w:rsidR="004B4F5F" w:rsidRDefault="004B4F5F">
      <w:r>
        <w:separator/>
      </w:r>
    </w:p>
  </w:endnote>
  <w:endnote w:type="continuationSeparator" w:id="0">
    <w:p w14:paraId="63AA498D" w14:textId="77777777" w:rsidR="004B4F5F" w:rsidRDefault="004B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0721C1A4" w14:textId="77777777" w:rsidTr="0042469C">
      <w:trPr>
        <w:jc w:val="center"/>
      </w:trPr>
      <w:tc>
        <w:tcPr>
          <w:tcW w:w="1803" w:type="dxa"/>
          <w:vAlign w:val="center"/>
        </w:tcPr>
        <w:p w14:paraId="796323F7" w14:textId="77777777" w:rsidR="00EE49E8" w:rsidRDefault="00EE49E8" w:rsidP="00EE49E8">
          <w:pPr>
            <w:pStyle w:val="Header"/>
            <w:jc w:val="left"/>
            <w:rPr>
              <w:noProof/>
            </w:rPr>
          </w:pPr>
        </w:p>
      </w:tc>
      <w:tc>
        <w:tcPr>
          <w:tcW w:w="8261" w:type="dxa"/>
        </w:tcPr>
        <w:p w14:paraId="6B67C5F2" w14:textId="17B31045" w:rsidR="00EE49E8" w:rsidRPr="00877BF2" w:rsidRDefault="00EE49E8" w:rsidP="00F73B2C">
          <w:pPr>
            <w:pStyle w:val="Header"/>
            <w:tabs>
              <w:tab w:val="left" w:pos="6592"/>
              <w:tab w:val="right" w:pos="8505"/>
              <w:tab w:val="right" w:pos="9639"/>
            </w:tabs>
            <w:jc w:val="left"/>
            <w:rPr>
              <w:rFonts w:ascii="Arial" w:hAnsi="Arial" w:cs="Arial"/>
              <w:b/>
              <w:bCs/>
              <w:szCs w:val="18"/>
              <w:lang w:val="es-ES"/>
            </w:rPr>
          </w:pPr>
          <w:r w:rsidRPr="005C13D4">
            <w:rPr>
              <w:bCs/>
              <w:lang w:val="fr-CH"/>
            </w:rPr>
            <w:tab/>
          </w:r>
          <w:r w:rsidR="00F73B2C">
            <w:rPr>
              <w:bCs/>
            </w:rPr>
            <w:t>EG-ITRs-</w:t>
          </w:r>
          <w:r w:rsidR="00690A5B">
            <w:rPr>
              <w:bCs/>
            </w:rPr>
            <w:t>5</w:t>
          </w:r>
          <w:r w:rsidR="00F73B2C">
            <w:rPr>
              <w:bCs/>
              <w:lang w:val="es-ES"/>
            </w:rPr>
            <w:t>/</w:t>
          </w:r>
          <w:r w:rsidR="0096256D">
            <w:rPr>
              <w:bCs/>
              <w:lang w:val="es-ES"/>
            </w:rPr>
            <w:t>9</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00DF26DC">
            <w:rPr>
              <w:noProof/>
              <w:lang w:val="es-ES"/>
            </w:rPr>
            <w:t>3</w:t>
          </w:r>
          <w:r>
            <w:rPr>
              <w:noProof/>
            </w:rPr>
            <w:fldChar w:fldCharType="end"/>
          </w:r>
        </w:p>
      </w:tc>
    </w:tr>
  </w:tbl>
  <w:p w14:paraId="350E534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908DC15" w14:textId="77777777" w:rsidTr="00A52C84">
      <w:trPr>
        <w:jc w:val="center"/>
      </w:trPr>
      <w:tc>
        <w:tcPr>
          <w:tcW w:w="3107" w:type="dxa"/>
          <w:vAlign w:val="center"/>
        </w:tcPr>
        <w:p w14:paraId="22F61ED8" w14:textId="29207A61"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570A165D" w14:textId="5F01F73F"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w:t>
          </w:r>
          <w:r w:rsidR="00690A5B">
            <w:rPr>
              <w:bCs/>
            </w:rPr>
            <w:t>5</w:t>
          </w:r>
          <w:r w:rsidR="00205D4E">
            <w:rPr>
              <w:bCs/>
              <w:lang w:val="es-ES"/>
            </w:rPr>
            <w:t>/</w:t>
          </w:r>
          <w:r w:rsidR="0096256D">
            <w:rPr>
              <w:bCs/>
              <w:lang w:val="es-ES"/>
            </w:rPr>
            <w:t>9</w:t>
          </w:r>
          <w:r w:rsidRPr="000F6AB8">
            <w:rPr>
              <w:bCs/>
              <w:lang w:val="es-ES"/>
            </w:rPr>
            <w:t>-E</w:t>
          </w:r>
          <w:r w:rsidRPr="000F6AB8">
            <w:rPr>
              <w:bCs/>
              <w:lang w:val="es-ES"/>
            </w:rPr>
            <w:tab/>
          </w:r>
          <w:r>
            <w:fldChar w:fldCharType="begin"/>
          </w:r>
          <w:r w:rsidRPr="000F6AB8">
            <w:rPr>
              <w:lang w:val="es-ES"/>
            </w:rPr>
            <w:instrText>PAGE</w:instrText>
          </w:r>
          <w:r>
            <w:fldChar w:fldCharType="separate"/>
          </w:r>
          <w:r w:rsidR="00DF26DC">
            <w:rPr>
              <w:noProof/>
              <w:lang w:val="es-ES"/>
            </w:rPr>
            <w:t>1</w:t>
          </w:r>
          <w:r>
            <w:rPr>
              <w:noProof/>
            </w:rPr>
            <w:fldChar w:fldCharType="end"/>
          </w:r>
        </w:p>
      </w:tc>
    </w:tr>
  </w:tbl>
  <w:p w14:paraId="23EFD37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5024" w14:textId="77777777" w:rsidR="004B4F5F" w:rsidRDefault="004B4F5F">
      <w:r>
        <w:t>____________________</w:t>
      </w:r>
    </w:p>
  </w:footnote>
  <w:footnote w:type="continuationSeparator" w:id="0">
    <w:p w14:paraId="4AD8A574" w14:textId="77777777" w:rsidR="004B4F5F" w:rsidRDefault="004B4F5F">
      <w:r>
        <w:continuationSeparator/>
      </w:r>
    </w:p>
  </w:footnote>
  <w:footnote w:id="1">
    <w:p w14:paraId="257B43CE" w14:textId="57A817CF" w:rsidR="00AC1E22" w:rsidRPr="00AC1E22" w:rsidRDefault="00AC1E22" w:rsidP="00C82D49">
      <w:pPr>
        <w:pStyle w:val="FootnoteText"/>
        <w:spacing w:before="40"/>
        <w:jc w:val="both"/>
        <w:rPr>
          <w:sz w:val="20"/>
          <w:lang w:val="en-US"/>
        </w:rPr>
      </w:pPr>
      <w:r w:rsidRPr="00242C8F">
        <w:rPr>
          <w:rStyle w:val="FootnoteReference"/>
        </w:rPr>
        <w:footnoteRef/>
      </w:r>
      <w:r w:rsidRPr="00242C8F">
        <w:t xml:space="preserve"> </w:t>
      </w:r>
      <w:r w:rsidR="0096256D">
        <w:tab/>
      </w:r>
      <w:r w:rsidRPr="00242C8F">
        <w:rPr>
          <w:sz w:val="20"/>
        </w:rPr>
        <w:t xml:space="preserve">This contribution was considered </w:t>
      </w:r>
      <w:r w:rsidRPr="00242C8F">
        <w:rPr>
          <w:sz w:val="20"/>
          <w:lang w:val="en-US"/>
        </w:rPr>
        <w:t>by</w:t>
      </w:r>
      <w:r w:rsidR="00B15801" w:rsidRPr="00242C8F">
        <w:rPr>
          <w:sz w:val="20"/>
          <w:lang w:val="en-US"/>
        </w:rPr>
        <w:t xml:space="preserve"> members of</w:t>
      </w:r>
      <w:r w:rsidRPr="00242C8F">
        <w:rPr>
          <w:sz w:val="20"/>
        </w:rPr>
        <w:t xml:space="preserve"> the RCC Telecommunication and </w:t>
      </w:r>
      <w:proofErr w:type="spellStart"/>
      <w:r w:rsidRPr="00242C8F">
        <w:rPr>
          <w:sz w:val="20"/>
        </w:rPr>
        <w:t>Infocommunications</w:t>
      </w:r>
      <w:proofErr w:type="spellEnd"/>
      <w:r w:rsidRPr="00242C8F">
        <w:rPr>
          <w:sz w:val="20"/>
        </w:rPr>
        <w:t xml:space="preserve"> Operators Board and at the joint meeting of the RCC Working Group on cooperation with the International Telecommunication Union and the RCC Commission on Coordination of International Cooperation (20-22 August 2025)</w:t>
      </w:r>
      <w:r w:rsidR="0096256D">
        <w:rPr>
          <w:sz w:val="20"/>
        </w:rPr>
        <w:t xml:space="preserve">: </w:t>
      </w:r>
      <w:r w:rsidR="0096256D" w:rsidRPr="0096256D">
        <w:rPr>
          <w:sz w:val="20"/>
        </w:rPr>
        <w:t xml:space="preserve">Regional Commonwealth in the Field of Communications (RCC), Communications Administrations of the Republic of Armenia, Republic of Belarus, Republic of Kazakhstan, Kyrgyz Republic, Russian Federation, Republic of Tajikistan, Turkmenistan, Republic of Uzbekistan; operators: Mobile TeleSystems JLLC(Belarus), Belarusian Telecommunications Network CJSC (Belarus), </w:t>
      </w:r>
      <w:proofErr w:type="spellStart"/>
      <w:r w:rsidR="0096256D" w:rsidRPr="0096256D">
        <w:rPr>
          <w:sz w:val="20"/>
        </w:rPr>
        <w:t>Aztelecom</w:t>
      </w:r>
      <w:proofErr w:type="spellEnd"/>
      <w:r w:rsidR="0096256D" w:rsidRPr="0096256D">
        <w:rPr>
          <w:sz w:val="20"/>
        </w:rPr>
        <w:t xml:space="preserve"> (Azerbaijan), JSC </w:t>
      </w:r>
      <w:proofErr w:type="spellStart"/>
      <w:r w:rsidR="0096256D" w:rsidRPr="0096256D">
        <w:rPr>
          <w:sz w:val="20"/>
        </w:rPr>
        <w:t>Kazakhtelecom</w:t>
      </w:r>
      <w:proofErr w:type="spellEnd"/>
      <w:r w:rsidR="0096256D" w:rsidRPr="0096256D">
        <w:rPr>
          <w:sz w:val="20"/>
        </w:rPr>
        <w:t xml:space="preserve"> (Kazakhstan), Rostelecom PJSC (Russia), </w:t>
      </w:r>
      <w:proofErr w:type="spellStart"/>
      <w:r w:rsidR="0096256D" w:rsidRPr="0096256D">
        <w:rPr>
          <w:sz w:val="20"/>
        </w:rPr>
        <w:t>Uztelecom</w:t>
      </w:r>
      <w:proofErr w:type="spellEnd"/>
      <w:r w:rsidR="0096256D" w:rsidRPr="0096256D">
        <w:rPr>
          <w:sz w:val="20"/>
        </w:rPr>
        <w:t xml:space="preserve"> JSC (Uzbekistan), MTC PJSC (Russia), T2 Mobile LLC (Russia), GNС Alfa (Armenia), Viva Armenia (Armenia), </w:t>
      </w:r>
      <w:proofErr w:type="spellStart"/>
      <w:r w:rsidR="0096256D" w:rsidRPr="0096256D">
        <w:rPr>
          <w:sz w:val="20"/>
        </w:rPr>
        <w:t>Ucom</w:t>
      </w:r>
      <w:proofErr w:type="spellEnd"/>
      <w:r w:rsidR="0096256D" w:rsidRPr="0096256D">
        <w:rPr>
          <w:sz w:val="20"/>
        </w:rPr>
        <w:t xml:space="preserve"> (Armenia), Telekom Armenia (Armenia), NUR Telecom LLC (Kyrgyzstan), Alfa Telecom CJSC (Kyrgyzstan), Sky Mobile LLC (Kyrgyzstan), </w:t>
      </w:r>
      <w:proofErr w:type="spellStart"/>
      <w:r w:rsidR="0096256D" w:rsidRPr="0096256D">
        <w:rPr>
          <w:sz w:val="20"/>
        </w:rPr>
        <w:t>Kyrgyztelecom</w:t>
      </w:r>
      <w:proofErr w:type="spellEnd"/>
      <w:r w:rsidR="0096256D" w:rsidRPr="0096256D">
        <w:rPr>
          <w:sz w:val="20"/>
        </w:rPr>
        <w:t xml:space="preserve"> OJSC (Kyrgyzstan), RPO RMTR OJSC (Kyrgyzstan), Saima Telecom CJSC (Kyrgyzstan), Inform Communications LLC (Kyrgyzstan)</w:t>
      </w:r>
      <w:r w:rsidRPr="00242C8F">
        <w:rPr>
          <w:sz w:val="20"/>
        </w:rPr>
        <w:t>.</w:t>
      </w:r>
      <w:r w:rsidRPr="00AC1E22">
        <w:rPr>
          <w:sz w:val="20"/>
        </w:rPr>
        <w:t xml:space="preserve"> </w:t>
      </w:r>
    </w:p>
  </w:footnote>
  <w:footnote w:id="2">
    <w:p w14:paraId="4E223999" w14:textId="125D1562" w:rsidR="00074EB9" w:rsidRPr="008F073A" w:rsidRDefault="00074EB9" w:rsidP="008F073A">
      <w:pPr>
        <w:pStyle w:val="FootnoteText"/>
        <w:spacing w:before="0"/>
        <w:ind w:left="255" w:hanging="255"/>
        <w:rPr>
          <w:sz w:val="20"/>
          <w:lang w:val="en-US"/>
        </w:rPr>
      </w:pPr>
      <w:r>
        <w:rPr>
          <w:rStyle w:val="FootnoteReference"/>
        </w:rPr>
        <w:footnoteRef/>
      </w:r>
      <w:r w:rsidR="00C363B3">
        <w:rPr>
          <w:lang w:val="en-US"/>
        </w:rPr>
        <w:tab/>
      </w:r>
      <w:r w:rsidR="008F487D" w:rsidRPr="008F073A">
        <w:rPr>
          <w:sz w:val="20"/>
          <w:lang w:val="en-US"/>
        </w:rPr>
        <w:t>ITRs 1988</w:t>
      </w:r>
      <w:r w:rsidRPr="008F073A">
        <w:rPr>
          <w:sz w:val="20"/>
          <w:lang w:val="en-US"/>
        </w:rPr>
        <w:t xml:space="preserve">: </w:t>
      </w:r>
      <w:hyperlink r:id="rId1" w:history="1">
        <w:r w:rsidRPr="008F073A">
          <w:rPr>
            <w:rStyle w:val="Hyperlink"/>
            <w:sz w:val="20"/>
          </w:rPr>
          <w:t>http</w:t>
        </w:r>
        <w:r w:rsidRPr="008F073A">
          <w:rPr>
            <w:rStyle w:val="Hyperlink"/>
            <w:sz w:val="20"/>
            <w:lang w:val="en-US"/>
          </w:rPr>
          <w:t>://</w:t>
        </w:r>
        <w:r w:rsidRPr="008F073A">
          <w:rPr>
            <w:rStyle w:val="Hyperlink"/>
            <w:sz w:val="20"/>
          </w:rPr>
          <w:t>handle</w:t>
        </w:r>
        <w:r w:rsidRPr="008F073A">
          <w:rPr>
            <w:rStyle w:val="Hyperlink"/>
            <w:sz w:val="20"/>
            <w:lang w:val="en-US"/>
          </w:rPr>
          <w:t>.</w:t>
        </w:r>
        <w:proofErr w:type="spellStart"/>
        <w:r w:rsidRPr="008F073A">
          <w:rPr>
            <w:rStyle w:val="Hyperlink"/>
            <w:sz w:val="20"/>
          </w:rPr>
          <w:t>itu</w:t>
        </w:r>
        <w:proofErr w:type="spellEnd"/>
        <w:r w:rsidRPr="008F073A">
          <w:rPr>
            <w:rStyle w:val="Hyperlink"/>
            <w:sz w:val="20"/>
            <w:lang w:val="en-US"/>
          </w:rPr>
          <w:t>.</w:t>
        </w:r>
        <w:r w:rsidRPr="008F073A">
          <w:rPr>
            <w:rStyle w:val="Hyperlink"/>
            <w:sz w:val="20"/>
          </w:rPr>
          <w:t>int</w:t>
        </w:r>
        <w:r w:rsidRPr="008F073A">
          <w:rPr>
            <w:rStyle w:val="Hyperlink"/>
            <w:sz w:val="20"/>
            <w:lang w:val="en-US"/>
          </w:rPr>
          <w:t>/11.1004/020.1000/1.1.48.</w:t>
        </w:r>
        <w:proofErr w:type="spellStart"/>
        <w:r w:rsidRPr="008F073A">
          <w:rPr>
            <w:rStyle w:val="Hyperlink"/>
            <w:sz w:val="20"/>
          </w:rPr>
          <w:t>ru</w:t>
        </w:r>
        <w:proofErr w:type="spellEnd"/>
        <w:r w:rsidRPr="008F073A">
          <w:rPr>
            <w:rStyle w:val="Hyperlink"/>
            <w:sz w:val="20"/>
            <w:lang w:val="en-US"/>
          </w:rPr>
          <w:t>.600</w:t>
        </w:r>
      </w:hyperlink>
    </w:p>
  </w:footnote>
  <w:footnote w:id="3">
    <w:p w14:paraId="12088E42" w14:textId="51E9B4D8" w:rsidR="00074EB9" w:rsidRPr="008F487D" w:rsidRDefault="00074EB9" w:rsidP="008F073A">
      <w:pPr>
        <w:pStyle w:val="FootnoteText"/>
        <w:spacing w:before="0"/>
        <w:ind w:left="255" w:hanging="255"/>
        <w:rPr>
          <w:lang w:val="en-US"/>
        </w:rPr>
      </w:pPr>
      <w:r w:rsidRPr="008F073A">
        <w:rPr>
          <w:rStyle w:val="FootnoteReference"/>
          <w:sz w:val="20"/>
        </w:rPr>
        <w:footnoteRef/>
      </w:r>
      <w:r w:rsidR="00C363B3">
        <w:rPr>
          <w:sz w:val="20"/>
          <w:lang w:val="en-US"/>
        </w:rPr>
        <w:tab/>
      </w:r>
      <w:r w:rsidR="008F487D" w:rsidRPr="008F073A">
        <w:rPr>
          <w:sz w:val="20"/>
          <w:lang w:val="en-US"/>
        </w:rPr>
        <w:t>ITRs 2012</w:t>
      </w:r>
      <w:r w:rsidRPr="008F073A">
        <w:rPr>
          <w:sz w:val="20"/>
          <w:lang w:val="en-US"/>
        </w:rPr>
        <w:t xml:space="preserve">: </w:t>
      </w:r>
      <w:hyperlink r:id="rId2" w:history="1">
        <w:r w:rsidRPr="008F073A">
          <w:rPr>
            <w:rStyle w:val="Hyperlink"/>
            <w:sz w:val="20"/>
          </w:rPr>
          <w:t>http</w:t>
        </w:r>
        <w:r w:rsidRPr="008F073A">
          <w:rPr>
            <w:rStyle w:val="Hyperlink"/>
            <w:sz w:val="20"/>
            <w:lang w:val="en-US"/>
          </w:rPr>
          <w:t>://</w:t>
        </w:r>
        <w:r w:rsidRPr="008F073A">
          <w:rPr>
            <w:rStyle w:val="Hyperlink"/>
            <w:sz w:val="20"/>
          </w:rPr>
          <w:t>handle</w:t>
        </w:r>
        <w:r w:rsidRPr="008F073A">
          <w:rPr>
            <w:rStyle w:val="Hyperlink"/>
            <w:sz w:val="20"/>
            <w:lang w:val="en-US"/>
          </w:rPr>
          <w:t>.</w:t>
        </w:r>
        <w:proofErr w:type="spellStart"/>
        <w:r w:rsidRPr="008F073A">
          <w:rPr>
            <w:rStyle w:val="Hyperlink"/>
            <w:sz w:val="20"/>
          </w:rPr>
          <w:t>itu</w:t>
        </w:r>
        <w:proofErr w:type="spellEnd"/>
        <w:r w:rsidRPr="008F073A">
          <w:rPr>
            <w:rStyle w:val="Hyperlink"/>
            <w:sz w:val="20"/>
            <w:lang w:val="en-US"/>
          </w:rPr>
          <w:t>.</w:t>
        </w:r>
        <w:r w:rsidRPr="008F073A">
          <w:rPr>
            <w:rStyle w:val="Hyperlink"/>
            <w:sz w:val="20"/>
          </w:rPr>
          <w:t>int</w:t>
        </w:r>
        <w:r w:rsidRPr="008F073A">
          <w:rPr>
            <w:rStyle w:val="Hyperlink"/>
            <w:sz w:val="20"/>
            <w:lang w:val="en-US"/>
          </w:rPr>
          <w:t>/11.1004/020.1000/1.42.48.</w:t>
        </w:r>
        <w:proofErr w:type="spellStart"/>
        <w:r w:rsidRPr="008F073A">
          <w:rPr>
            <w:rStyle w:val="Hyperlink"/>
            <w:sz w:val="20"/>
          </w:rPr>
          <w:t>ru</w:t>
        </w:r>
        <w:proofErr w:type="spellEnd"/>
        <w:r w:rsidRPr="008F073A">
          <w:rPr>
            <w:rStyle w:val="Hyperlink"/>
            <w:sz w:val="20"/>
            <w:lang w:val="en-US"/>
          </w:rPr>
          <w:t>.601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04331" w:rsidRPr="00784011" w14:paraId="06111FCC" w14:textId="77777777" w:rsidTr="002F314B">
      <w:trPr>
        <w:trHeight w:val="1304"/>
        <w:jc w:val="center"/>
      </w:trPr>
      <w:tc>
        <w:tcPr>
          <w:tcW w:w="6546" w:type="dxa"/>
        </w:tcPr>
        <w:bookmarkStart w:id="12" w:name="_Hlk133422111"/>
        <w:p w14:paraId="70D5ED7A" w14:textId="77777777" w:rsidR="00E04331" w:rsidRPr="009621F8" w:rsidRDefault="00E04331" w:rsidP="00E04331">
          <w:pPr>
            <w:pStyle w:val="Header"/>
            <w:jc w:val="left"/>
            <w:rPr>
              <w:rFonts w:ascii="Arial" w:hAnsi="Arial" w:cs="Arial"/>
              <w:b/>
              <w:bCs/>
              <w:color w:val="009CD6"/>
              <w:sz w:val="36"/>
              <w:szCs w:val="36"/>
            </w:rPr>
          </w:pPr>
          <w:r w:rsidRPr="00130599">
            <w:rPr>
              <w:rFonts w:ascii="Arial" w:hAnsi="Arial" w:cs="Arial"/>
              <w:b/>
              <w:bCs/>
              <w:noProof/>
              <w:color w:val="009CD6"/>
              <w:szCs w:val="18"/>
              <w:lang w:val="ru-RU" w:eastAsia="ru-RU"/>
            </w:rPr>
            <mc:AlternateContent>
              <mc:Choice Requires="wps">
                <w:drawing>
                  <wp:anchor distT="0" distB="0" distL="114300" distR="114300" simplePos="0" relativeHeight="251660288" behindDoc="0" locked="0" layoutInCell="1" allowOverlap="1" wp14:anchorId="6EDDCF1E" wp14:editId="4E5FAA62">
                    <wp:simplePos x="0" y="0"/>
                    <wp:positionH relativeFrom="column">
                      <wp:posOffset>1440815</wp:posOffset>
                    </wp:positionH>
                    <wp:positionV relativeFrom="paragraph">
                      <wp:posOffset>8583</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DDCF1E"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v:textbox>
                  </v:shape>
                </w:pict>
              </mc:Fallback>
            </mc:AlternateContent>
          </w:r>
          <w:r>
            <w:rPr>
              <w:rFonts w:ascii="Arial" w:hAnsi="Arial" w:cs="Arial"/>
              <w:b/>
              <w:bCs/>
              <w:noProof/>
              <w:color w:val="009CD6"/>
              <w:sz w:val="36"/>
              <w:szCs w:val="36"/>
              <w:lang w:val="ru-RU" w:eastAsia="ru-RU"/>
            </w:rPr>
            <w:drawing>
              <wp:inline distT="0" distB="0" distL="0" distR="0" wp14:anchorId="47184E70" wp14:editId="0A85FA8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A044D11" w14:textId="77777777" w:rsidR="00E04331" w:rsidRDefault="00E04331" w:rsidP="00E04331">
          <w:pPr>
            <w:pStyle w:val="Header"/>
            <w:jc w:val="right"/>
            <w:rPr>
              <w:rFonts w:ascii="Arial" w:hAnsi="Arial" w:cs="Arial"/>
              <w:b/>
              <w:bCs/>
              <w:color w:val="009CD6"/>
              <w:szCs w:val="18"/>
            </w:rPr>
          </w:pPr>
        </w:p>
        <w:p w14:paraId="720D66CE" w14:textId="77777777" w:rsidR="00E04331" w:rsidRDefault="00E04331" w:rsidP="00E04331">
          <w:pPr>
            <w:pStyle w:val="Header"/>
            <w:jc w:val="right"/>
            <w:rPr>
              <w:rFonts w:ascii="Arial" w:hAnsi="Arial" w:cs="Arial"/>
              <w:b/>
              <w:bCs/>
              <w:color w:val="009CD6"/>
              <w:szCs w:val="18"/>
            </w:rPr>
          </w:pPr>
        </w:p>
        <w:p w14:paraId="072DE0AE" w14:textId="77777777" w:rsidR="00E04331" w:rsidRPr="00784011" w:rsidRDefault="00E04331" w:rsidP="00E0433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2DACB1DA" w14:textId="3BBB4FC2" w:rsidR="00AD3606" w:rsidRPr="00E04331" w:rsidRDefault="00E04331" w:rsidP="00E04331">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50E9C139" wp14:editId="32A684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D2DE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56DC9"/>
    <w:multiLevelType w:val="multilevel"/>
    <w:tmpl w:val="1D4E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E1149"/>
    <w:multiLevelType w:val="multilevel"/>
    <w:tmpl w:val="7CEA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65E14"/>
    <w:multiLevelType w:val="multilevel"/>
    <w:tmpl w:val="EEB4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04603"/>
    <w:multiLevelType w:val="multilevel"/>
    <w:tmpl w:val="6BE8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61694"/>
    <w:multiLevelType w:val="multilevel"/>
    <w:tmpl w:val="BC20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40F71"/>
    <w:multiLevelType w:val="multilevel"/>
    <w:tmpl w:val="126C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21DC4"/>
    <w:multiLevelType w:val="multilevel"/>
    <w:tmpl w:val="4FA4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031026">
    <w:abstractNumId w:val="0"/>
  </w:num>
  <w:num w:numId="2" w16cid:durableId="1792288795">
    <w:abstractNumId w:val="2"/>
  </w:num>
  <w:num w:numId="3" w16cid:durableId="439107653">
    <w:abstractNumId w:val="5"/>
  </w:num>
  <w:num w:numId="4" w16cid:durableId="383986547">
    <w:abstractNumId w:val="6"/>
  </w:num>
  <w:num w:numId="5" w16cid:durableId="366030558">
    <w:abstractNumId w:val="4"/>
  </w:num>
  <w:num w:numId="6" w16cid:durableId="882252792">
    <w:abstractNumId w:val="3"/>
  </w:num>
  <w:num w:numId="7" w16cid:durableId="2107841947">
    <w:abstractNumId w:val="7"/>
  </w:num>
  <w:num w:numId="8" w16cid:durableId="173739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EAC"/>
    <w:rsid w:val="000028AD"/>
    <w:rsid w:val="000041A9"/>
    <w:rsid w:val="00004C8C"/>
    <w:rsid w:val="000120E4"/>
    <w:rsid w:val="000210D4"/>
    <w:rsid w:val="00046146"/>
    <w:rsid w:val="000522FA"/>
    <w:rsid w:val="00063016"/>
    <w:rsid w:val="00066795"/>
    <w:rsid w:val="00074EB9"/>
    <w:rsid w:val="00076AF6"/>
    <w:rsid w:val="00085CF2"/>
    <w:rsid w:val="000A1525"/>
    <w:rsid w:val="000B1705"/>
    <w:rsid w:val="000C3CB7"/>
    <w:rsid w:val="000C4210"/>
    <w:rsid w:val="000D75B2"/>
    <w:rsid w:val="000F1425"/>
    <w:rsid w:val="000F4463"/>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281A"/>
    <w:rsid w:val="001E5FE7"/>
    <w:rsid w:val="001F2EAC"/>
    <w:rsid w:val="00205D4E"/>
    <w:rsid w:val="002119FD"/>
    <w:rsid w:val="002130E0"/>
    <w:rsid w:val="00227AAB"/>
    <w:rsid w:val="00242C8F"/>
    <w:rsid w:val="0024360F"/>
    <w:rsid w:val="00244F7F"/>
    <w:rsid w:val="0025570E"/>
    <w:rsid w:val="002608B7"/>
    <w:rsid w:val="00264425"/>
    <w:rsid w:val="00265875"/>
    <w:rsid w:val="0027303B"/>
    <w:rsid w:val="0028109B"/>
    <w:rsid w:val="002940DD"/>
    <w:rsid w:val="002A2188"/>
    <w:rsid w:val="002B1F58"/>
    <w:rsid w:val="002C1C7A"/>
    <w:rsid w:val="002C54E2"/>
    <w:rsid w:val="002E0AC3"/>
    <w:rsid w:val="002F2D06"/>
    <w:rsid w:val="0030160F"/>
    <w:rsid w:val="00301AEE"/>
    <w:rsid w:val="003145DF"/>
    <w:rsid w:val="00320223"/>
    <w:rsid w:val="00322D0D"/>
    <w:rsid w:val="00342A56"/>
    <w:rsid w:val="00347F10"/>
    <w:rsid w:val="00361465"/>
    <w:rsid w:val="00362BFA"/>
    <w:rsid w:val="003877F5"/>
    <w:rsid w:val="003942D4"/>
    <w:rsid w:val="0039514F"/>
    <w:rsid w:val="003958A8"/>
    <w:rsid w:val="003B29C2"/>
    <w:rsid w:val="003C0903"/>
    <w:rsid w:val="003C20CA"/>
    <w:rsid w:val="003C2533"/>
    <w:rsid w:val="003D5A7F"/>
    <w:rsid w:val="003D635C"/>
    <w:rsid w:val="003D71D8"/>
    <w:rsid w:val="004016E2"/>
    <w:rsid w:val="0040435A"/>
    <w:rsid w:val="00416A24"/>
    <w:rsid w:val="0042059E"/>
    <w:rsid w:val="00431D9E"/>
    <w:rsid w:val="00433CE8"/>
    <w:rsid w:val="00434A5C"/>
    <w:rsid w:val="0045296E"/>
    <w:rsid w:val="004544D9"/>
    <w:rsid w:val="00460478"/>
    <w:rsid w:val="00472BAD"/>
    <w:rsid w:val="00484009"/>
    <w:rsid w:val="00490E72"/>
    <w:rsid w:val="00491157"/>
    <w:rsid w:val="004921C8"/>
    <w:rsid w:val="0049579B"/>
    <w:rsid w:val="00495B0B"/>
    <w:rsid w:val="004A1B8B"/>
    <w:rsid w:val="004B4F5F"/>
    <w:rsid w:val="004D1851"/>
    <w:rsid w:val="004D599D"/>
    <w:rsid w:val="004E06D1"/>
    <w:rsid w:val="004E2EA5"/>
    <w:rsid w:val="004E3AEB"/>
    <w:rsid w:val="00500CA4"/>
    <w:rsid w:val="0050223C"/>
    <w:rsid w:val="0050704E"/>
    <w:rsid w:val="00507750"/>
    <w:rsid w:val="005170FD"/>
    <w:rsid w:val="005243FF"/>
    <w:rsid w:val="005311D6"/>
    <w:rsid w:val="00536422"/>
    <w:rsid w:val="0054526E"/>
    <w:rsid w:val="005474F1"/>
    <w:rsid w:val="005536C2"/>
    <w:rsid w:val="00564FBC"/>
    <w:rsid w:val="005800BC"/>
    <w:rsid w:val="00582442"/>
    <w:rsid w:val="005A335D"/>
    <w:rsid w:val="005B0869"/>
    <w:rsid w:val="005C13D4"/>
    <w:rsid w:val="005C6037"/>
    <w:rsid w:val="005C77C0"/>
    <w:rsid w:val="005D6B22"/>
    <w:rsid w:val="005E2BD5"/>
    <w:rsid w:val="005E4F47"/>
    <w:rsid w:val="005F3269"/>
    <w:rsid w:val="00601575"/>
    <w:rsid w:val="00615961"/>
    <w:rsid w:val="00623AE3"/>
    <w:rsid w:val="006261F4"/>
    <w:rsid w:val="00636760"/>
    <w:rsid w:val="0064737F"/>
    <w:rsid w:val="006535F1"/>
    <w:rsid w:val="0065557D"/>
    <w:rsid w:val="006557A4"/>
    <w:rsid w:val="00660D50"/>
    <w:rsid w:val="00662984"/>
    <w:rsid w:val="00663050"/>
    <w:rsid w:val="006716BB"/>
    <w:rsid w:val="00690A5B"/>
    <w:rsid w:val="006973C8"/>
    <w:rsid w:val="006A4862"/>
    <w:rsid w:val="006B1859"/>
    <w:rsid w:val="006B6680"/>
    <w:rsid w:val="006B6DCC"/>
    <w:rsid w:val="006F7C5F"/>
    <w:rsid w:val="00701C70"/>
    <w:rsid w:val="00702DEF"/>
    <w:rsid w:val="007067EC"/>
    <w:rsid w:val="00706861"/>
    <w:rsid w:val="007247CF"/>
    <w:rsid w:val="00726B8C"/>
    <w:rsid w:val="00741BEE"/>
    <w:rsid w:val="0075051B"/>
    <w:rsid w:val="0077110E"/>
    <w:rsid w:val="00775655"/>
    <w:rsid w:val="007849D5"/>
    <w:rsid w:val="00793188"/>
    <w:rsid w:val="00794555"/>
    <w:rsid w:val="00794D34"/>
    <w:rsid w:val="007E103F"/>
    <w:rsid w:val="008019F3"/>
    <w:rsid w:val="00806E3C"/>
    <w:rsid w:val="00813E5E"/>
    <w:rsid w:val="00816C2C"/>
    <w:rsid w:val="0083581B"/>
    <w:rsid w:val="00855930"/>
    <w:rsid w:val="00860EED"/>
    <w:rsid w:val="00863874"/>
    <w:rsid w:val="00864AFF"/>
    <w:rsid w:val="00865925"/>
    <w:rsid w:val="00877BF2"/>
    <w:rsid w:val="00891503"/>
    <w:rsid w:val="008A2F06"/>
    <w:rsid w:val="008B4A6A"/>
    <w:rsid w:val="008C7E27"/>
    <w:rsid w:val="008F073A"/>
    <w:rsid w:val="008F3822"/>
    <w:rsid w:val="008F487D"/>
    <w:rsid w:val="008F7448"/>
    <w:rsid w:val="0090147A"/>
    <w:rsid w:val="0090389B"/>
    <w:rsid w:val="00913F0C"/>
    <w:rsid w:val="009173EF"/>
    <w:rsid w:val="00932906"/>
    <w:rsid w:val="00961860"/>
    <w:rsid w:val="00961B0B"/>
    <w:rsid w:val="0096256D"/>
    <w:rsid w:val="00962D33"/>
    <w:rsid w:val="009A6548"/>
    <w:rsid w:val="009B38C3"/>
    <w:rsid w:val="009C460C"/>
    <w:rsid w:val="009D46C7"/>
    <w:rsid w:val="009E17BD"/>
    <w:rsid w:val="009E485A"/>
    <w:rsid w:val="009F51EC"/>
    <w:rsid w:val="00A04CEC"/>
    <w:rsid w:val="00A1667B"/>
    <w:rsid w:val="00A27F92"/>
    <w:rsid w:val="00A32257"/>
    <w:rsid w:val="00A36D20"/>
    <w:rsid w:val="00A43C03"/>
    <w:rsid w:val="00A46CD0"/>
    <w:rsid w:val="00A514A4"/>
    <w:rsid w:val="00A52C84"/>
    <w:rsid w:val="00A55622"/>
    <w:rsid w:val="00A65830"/>
    <w:rsid w:val="00A77DD1"/>
    <w:rsid w:val="00A83502"/>
    <w:rsid w:val="00A87946"/>
    <w:rsid w:val="00AC1E22"/>
    <w:rsid w:val="00AD15B3"/>
    <w:rsid w:val="00AD3606"/>
    <w:rsid w:val="00AD4A3D"/>
    <w:rsid w:val="00AF1977"/>
    <w:rsid w:val="00AF6E49"/>
    <w:rsid w:val="00B04A67"/>
    <w:rsid w:val="00B0583C"/>
    <w:rsid w:val="00B150C5"/>
    <w:rsid w:val="00B15801"/>
    <w:rsid w:val="00B248BC"/>
    <w:rsid w:val="00B358B2"/>
    <w:rsid w:val="00B40A81"/>
    <w:rsid w:val="00B44910"/>
    <w:rsid w:val="00B72267"/>
    <w:rsid w:val="00B73DD1"/>
    <w:rsid w:val="00B76EB6"/>
    <w:rsid w:val="00B7737B"/>
    <w:rsid w:val="00B824C8"/>
    <w:rsid w:val="00B849D3"/>
    <w:rsid w:val="00B84B9D"/>
    <w:rsid w:val="00B85209"/>
    <w:rsid w:val="00BA3A51"/>
    <w:rsid w:val="00BC251A"/>
    <w:rsid w:val="00BD032B"/>
    <w:rsid w:val="00BD094B"/>
    <w:rsid w:val="00BE2640"/>
    <w:rsid w:val="00C01189"/>
    <w:rsid w:val="00C0581A"/>
    <w:rsid w:val="00C363B3"/>
    <w:rsid w:val="00C374DE"/>
    <w:rsid w:val="00C47AD4"/>
    <w:rsid w:val="00C50A7D"/>
    <w:rsid w:val="00C52D81"/>
    <w:rsid w:val="00C55198"/>
    <w:rsid w:val="00C725C6"/>
    <w:rsid w:val="00C76CA4"/>
    <w:rsid w:val="00C80BCF"/>
    <w:rsid w:val="00C81B52"/>
    <w:rsid w:val="00C82D49"/>
    <w:rsid w:val="00C922C7"/>
    <w:rsid w:val="00CA4AD6"/>
    <w:rsid w:val="00CA6393"/>
    <w:rsid w:val="00CA7BD8"/>
    <w:rsid w:val="00CB18FF"/>
    <w:rsid w:val="00CB24AA"/>
    <w:rsid w:val="00CD0C08"/>
    <w:rsid w:val="00CD3C91"/>
    <w:rsid w:val="00CE03FB"/>
    <w:rsid w:val="00CE433C"/>
    <w:rsid w:val="00CE543D"/>
    <w:rsid w:val="00CF0161"/>
    <w:rsid w:val="00CF08C4"/>
    <w:rsid w:val="00CF33F3"/>
    <w:rsid w:val="00D06183"/>
    <w:rsid w:val="00D10761"/>
    <w:rsid w:val="00D22C42"/>
    <w:rsid w:val="00D45669"/>
    <w:rsid w:val="00D464CC"/>
    <w:rsid w:val="00D522F6"/>
    <w:rsid w:val="00D62302"/>
    <w:rsid w:val="00D65041"/>
    <w:rsid w:val="00D67039"/>
    <w:rsid w:val="00D86E6C"/>
    <w:rsid w:val="00DB00D5"/>
    <w:rsid w:val="00DB1936"/>
    <w:rsid w:val="00DB384B"/>
    <w:rsid w:val="00DF0189"/>
    <w:rsid w:val="00DF26DC"/>
    <w:rsid w:val="00E04331"/>
    <w:rsid w:val="00E06FD5"/>
    <w:rsid w:val="00E10E80"/>
    <w:rsid w:val="00E124F0"/>
    <w:rsid w:val="00E227F3"/>
    <w:rsid w:val="00E2452B"/>
    <w:rsid w:val="00E4728B"/>
    <w:rsid w:val="00E545C6"/>
    <w:rsid w:val="00E60F04"/>
    <w:rsid w:val="00E63EFF"/>
    <w:rsid w:val="00E65B24"/>
    <w:rsid w:val="00E755F8"/>
    <w:rsid w:val="00E854E4"/>
    <w:rsid w:val="00E85B67"/>
    <w:rsid w:val="00E86DBF"/>
    <w:rsid w:val="00EB0D6F"/>
    <w:rsid w:val="00EB2232"/>
    <w:rsid w:val="00EB3336"/>
    <w:rsid w:val="00EC5337"/>
    <w:rsid w:val="00EC7AA7"/>
    <w:rsid w:val="00EC7C07"/>
    <w:rsid w:val="00EE04ED"/>
    <w:rsid w:val="00EE49E8"/>
    <w:rsid w:val="00F10B59"/>
    <w:rsid w:val="00F16BAB"/>
    <w:rsid w:val="00F2150A"/>
    <w:rsid w:val="00F231D8"/>
    <w:rsid w:val="00F44C00"/>
    <w:rsid w:val="00F45D2C"/>
    <w:rsid w:val="00F46C5F"/>
    <w:rsid w:val="00F520F9"/>
    <w:rsid w:val="00F632C0"/>
    <w:rsid w:val="00F66A26"/>
    <w:rsid w:val="00F73B2C"/>
    <w:rsid w:val="00F74694"/>
    <w:rsid w:val="00F86596"/>
    <w:rsid w:val="00F93FD4"/>
    <w:rsid w:val="00F94A63"/>
    <w:rsid w:val="00FA1C28"/>
    <w:rsid w:val="00FB1279"/>
    <w:rsid w:val="00FB36E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3C2AC"/>
  <w15:docId w15:val="{01D94A4B-A735-4BB8-9828-245A4675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C82D49"/>
    <w:pPr>
      <w:framePr w:hSpace="180" w:wrap="around" w:vAnchor="page" w:hAnchor="page" w:x="1821" w:y="2317"/>
      <w:spacing w:before="240"/>
    </w:pPr>
    <w:rPr>
      <w:b/>
      <w:spacing w:val="-4"/>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5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pPr>
    <w:rPr>
      <w:b w:val="0"/>
    </w:rPr>
  </w:style>
  <w:style w:type="paragraph" w:customStyle="1" w:styleId="Title2">
    <w:name w:val="Title 2"/>
    <w:basedOn w:val="Source"/>
    <w:next w:val="Title3"/>
    <w:rsid w:val="00813E5E"/>
    <w:pPr>
      <w:framePr w:wrap="around"/>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1">
    <w:name w:val="Неразрешенное упоминание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019F3"/>
    <w:rPr>
      <w:color w:val="666666"/>
    </w:rPr>
  </w:style>
  <w:style w:type="paragraph" w:customStyle="1" w:styleId="Reasons">
    <w:name w:val="Reasons"/>
    <w:basedOn w:val="Normal"/>
    <w:qFormat/>
    <w:rsid w:val="00690A5B"/>
  </w:style>
  <w:style w:type="character" w:customStyle="1" w:styleId="ms-rtethemeforecolor-2-0">
    <w:name w:val="ms-rtethemeforecolor-2-0"/>
    <w:basedOn w:val="DefaultParagraphFont"/>
    <w:rsid w:val="0024360F"/>
  </w:style>
  <w:style w:type="character" w:styleId="Strong">
    <w:name w:val="Strong"/>
    <w:basedOn w:val="DefaultParagraphFont"/>
    <w:uiPriority w:val="22"/>
    <w:qFormat/>
    <w:rsid w:val="00074EB9"/>
    <w:rPr>
      <w:b/>
      <w:bCs/>
    </w:rPr>
  </w:style>
  <w:style w:type="character" w:styleId="Emphasis">
    <w:name w:val="Emphasis"/>
    <w:basedOn w:val="DefaultParagraphFont"/>
    <w:uiPriority w:val="20"/>
    <w:qFormat/>
    <w:rsid w:val="00074EB9"/>
    <w:rPr>
      <w:i/>
      <w:iCs/>
    </w:rPr>
  </w:style>
  <w:style w:type="paragraph" w:customStyle="1" w:styleId="msonormalmailrucssattributepostfix">
    <w:name w:val="msonormal_mailru_css_attribute_postfix"/>
    <w:basedOn w:val="Normal"/>
    <w:rsid w:val="00074EB9"/>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Theme="minorHAnsi" w:hAnsi="Times New Roman"/>
      <w:szCs w:val="24"/>
      <w:lang w:val="ru-RU" w:eastAsia="ru-RU"/>
    </w:rPr>
  </w:style>
  <w:style w:type="character" w:customStyle="1" w:styleId="FootnoteTextChar">
    <w:name w:val="Footnote Text Char"/>
    <w:basedOn w:val="DefaultParagraphFont"/>
    <w:link w:val="FootnoteText"/>
    <w:uiPriority w:val="99"/>
    <w:rsid w:val="00074EB9"/>
    <w:rPr>
      <w:rFonts w:ascii="Calibri" w:hAnsi="Calibri"/>
      <w:sz w:val="24"/>
      <w:lang w:val="en-GB" w:eastAsia="en-US"/>
    </w:rPr>
  </w:style>
  <w:style w:type="paragraph" w:styleId="NormalWeb">
    <w:name w:val="Normal (Web)"/>
    <w:basedOn w:val="Normal"/>
    <w:uiPriority w:val="99"/>
    <w:unhideWhenUsed/>
    <w:rsid w:val="00074EB9"/>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ru-RU" w:eastAsia="ru-RU"/>
    </w:rPr>
  </w:style>
  <w:style w:type="paragraph" w:styleId="ListParagraph">
    <w:name w:val="List Paragraph"/>
    <w:basedOn w:val="Normal"/>
    <w:uiPriority w:val="34"/>
    <w:qFormat/>
    <w:rsid w:val="00F520F9"/>
    <w:pPr>
      <w:ind w:left="720"/>
      <w:contextualSpacing/>
    </w:pPr>
  </w:style>
  <w:style w:type="paragraph" w:styleId="BalloonText">
    <w:name w:val="Balloon Text"/>
    <w:basedOn w:val="Normal"/>
    <w:link w:val="BalloonTextChar"/>
    <w:semiHidden/>
    <w:unhideWhenUsed/>
    <w:rsid w:val="00B1580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1580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8-CLEGITR4-C-0008/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3-CL-C-0121/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46-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handle.itu.int/11.1004/020.1000/1.42.48.ru.601" TargetMode="External"/><Relationship Id="rId1" Type="http://schemas.openxmlformats.org/officeDocument/2006/relationships/hyperlink" Target="http://handle.itu.int/11.1004/020.1000/1.1.48.ru.6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076C-61FA-45EB-874D-BAE6DE983BA6}">
  <ds:schemaRefs>
    <ds:schemaRef ds:uri="1aaea1ea-72e4-4374-b05e-72e2f16fb7ae"/>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sharepoint/v3"/>
    <ds:schemaRef ds:uri="http://purl.org/dc/dcmitype/"/>
    <ds:schemaRef ds:uri="http://purl.org/dc/elements/1.1/"/>
  </ds:schemaRefs>
</ds:datastoreItem>
</file>

<file path=customXml/itemProps2.xml><?xml version="1.0" encoding="utf-8"?>
<ds:datastoreItem xmlns:ds="http://schemas.openxmlformats.org/officeDocument/2006/customXml" ds:itemID="{DC9F8836-709F-49B6-BB9D-5DF44E38B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E3FBE-0BA2-45CA-9A5E-870C47331A75}">
  <ds:schemaRefs>
    <ds:schemaRef ds:uri="http://schemas.microsoft.com/sharepoint/v3/contenttype/forms"/>
  </ds:schemaRefs>
</ds:datastoreItem>
</file>

<file path=customXml/itemProps4.xml><?xml version="1.0" encoding="utf-8"?>
<ds:datastoreItem xmlns:ds="http://schemas.openxmlformats.org/officeDocument/2006/customXml" ds:itemID="{A4F0C9BE-BD7A-4370-BD8C-1515C8CE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2001</Words>
  <Characters>12125</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14098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RCC - Empirical data on the current use of the ITRs by operating agencies (telecommunication operators) and/or administrations in RCC/CIS Member States</dc:title>
  <dc:subject>ITU Expert Group on ITRs</dc:subject>
  <dc:creator>GBS</dc:creator>
  <cp:keywords>EG-ITRs</cp:keywords>
  <dc:description/>
  <cp:lastModifiedBy>GBS</cp:lastModifiedBy>
  <cp:revision>2</cp:revision>
  <dcterms:created xsi:type="dcterms:W3CDTF">2025-09-16T13:23:00Z</dcterms:created>
  <dcterms:modified xsi:type="dcterms:W3CDTF">2025-09-16T13:23:00Z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cd48eee453f674bc903590a1a2c229099ee633913d2bb2dc1e8b4f037247fa54</vt:lpwstr>
  </property>
  <property fmtid="{D5CDD505-2E9C-101B-9397-08002B2CF9AE}" pid="3" name="ContentTypeId">
    <vt:lpwstr>0x0101001E46BE2403204D4E844191C3480CD35B</vt:lpwstr>
  </property>
</Properties>
</file>