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22B156E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EAC941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3377C89" w14:textId="1DCCE992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>
              <w:rPr>
                <w:b/>
                <w:lang w:val="fr-CH"/>
              </w:rPr>
              <w:t>EG-ITRs</w:t>
            </w:r>
            <w:r w:rsidRPr="00A52C84">
              <w:rPr>
                <w:b/>
                <w:lang w:val="fr-CH"/>
              </w:rPr>
              <w:t>-</w:t>
            </w:r>
            <w:r w:rsidR="00690A5B">
              <w:rPr>
                <w:b/>
                <w:lang w:val="fr-CH"/>
              </w:rPr>
              <w:t>5</w:t>
            </w:r>
            <w:r w:rsidR="00F66A26">
              <w:rPr>
                <w:b/>
                <w:lang w:val="fr-FR"/>
              </w:rPr>
              <w:t>/</w:t>
            </w:r>
            <w:r w:rsidR="00BE305D">
              <w:rPr>
                <w:b/>
                <w:lang w:val="fr-FR"/>
              </w:rPr>
              <w:t>8</w:t>
            </w:r>
          </w:p>
        </w:tc>
      </w:tr>
      <w:tr w:rsidR="00AD3606" w:rsidRPr="00147C54" w14:paraId="61875235" w14:textId="77777777" w:rsidTr="00AD3606">
        <w:trPr>
          <w:cantSplit/>
        </w:trPr>
        <w:tc>
          <w:tcPr>
            <w:tcW w:w="3969" w:type="dxa"/>
            <w:vMerge/>
          </w:tcPr>
          <w:p w14:paraId="085FD288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F1C737C" w14:textId="64E74A69" w:rsidR="00AD3606" w:rsidRPr="00147C54" w:rsidRDefault="00BE305D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28 August 2025</w:t>
            </w:r>
          </w:p>
        </w:tc>
      </w:tr>
      <w:tr w:rsidR="00AD3606" w:rsidRPr="00147C54" w14:paraId="4CB20DAE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1F69A641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331BCDC7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2D6275CD" w14:textId="77777777" w:rsidTr="00AD3606">
        <w:trPr>
          <w:cantSplit/>
          <w:trHeight w:val="23"/>
        </w:trPr>
        <w:tc>
          <w:tcPr>
            <w:tcW w:w="3969" w:type="dxa"/>
          </w:tcPr>
          <w:p w14:paraId="65C3A380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D6456CB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0BA17FC5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54DFAF6" w14:textId="7319B2A4" w:rsidR="00AD3606" w:rsidRPr="00147C54" w:rsidRDefault="00663050" w:rsidP="00F72CC4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9D024E">
              <w:t xml:space="preserve">Contribution </w:t>
            </w:r>
            <w:r>
              <w:t>by</w:t>
            </w:r>
            <w:r w:rsidR="00F72CC4">
              <w:t xml:space="preserve"> Egypt</w:t>
            </w:r>
            <w:r w:rsidR="00BE305D">
              <w:t xml:space="preserve"> (Arab Republic of)</w:t>
            </w:r>
          </w:p>
        </w:tc>
      </w:tr>
      <w:tr w:rsidR="00AD3606" w:rsidRPr="00147C54" w14:paraId="5AD84A43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DAF5838" w14:textId="5A289AED" w:rsidR="00AD3606" w:rsidRPr="00147C54" w:rsidRDefault="00BE305D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POSSIBLE WAYS FORWARD ON THE ITRS</w:t>
            </w:r>
          </w:p>
        </w:tc>
      </w:tr>
      <w:tr w:rsidR="00AD3606" w:rsidRPr="00147C54" w14:paraId="62E0E595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6A5D816" w14:textId="77777777" w:rsidR="00AD3606" w:rsidRPr="00147C54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135FA57A" w14:textId="77777777" w:rsidR="00F72CC4" w:rsidRPr="00F72CC4" w:rsidRDefault="00F72CC4" w:rsidP="00F72CC4">
            <w:pPr>
              <w:spacing w:before="160"/>
              <w:jc w:val="both"/>
            </w:pPr>
            <w:r w:rsidRPr="00F72CC4">
              <w:t>To acknowledge the work of the Expert Group on the International Telecommunication Regulations, highlight the ongoing lack of consensus on the future of the ITRs, and discuss the possible ways forward.</w:t>
            </w:r>
          </w:p>
          <w:p w14:paraId="575BF8DC" w14:textId="77777777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7E66EAF5" w14:textId="77777777" w:rsidR="00663050" w:rsidRPr="004D648B" w:rsidRDefault="00663050" w:rsidP="00F72CC4">
            <w:pPr>
              <w:spacing w:before="160"/>
              <w:rPr>
                <w:b/>
                <w:bCs/>
                <w:szCs w:val="24"/>
              </w:rPr>
            </w:pPr>
            <w:r w:rsidRPr="00F7413F">
              <w:t>The Expert Group on the International Telecommunication Regulations is invited to</w:t>
            </w:r>
            <w:r w:rsidR="00F72CC4">
              <w:t xml:space="preserve"> </w:t>
            </w:r>
            <w:r w:rsidR="00F72CC4" w:rsidRPr="00F72CC4">
              <w:rPr>
                <w:b/>
                <w:bCs/>
              </w:rPr>
              <w:t>consider</w:t>
            </w:r>
            <w:r w:rsidR="00F72CC4">
              <w:t xml:space="preserve"> </w:t>
            </w:r>
            <w:r w:rsidRPr="00F7413F">
              <w:t>this document.</w:t>
            </w:r>
          </w:p>
          <w:p w14:paraId="4D50AD71" w14:textId="77777777" w:rsidR="00AD3606" w:rsidRPr="00CD3C91" w:rsidRDefault="00CD3C91" w:rsidP="00CD3C91">
            <w:r>
              <w:t>_______________</w:t>
            </w:r>
          </w:p>
          <w:p w14:paraId="2B1AAC62" w14:textId="77777777" w:rsidR="00AD3606" w:rsidRPr="00147C54" w:rsidRDefault="00AD3606" w:rsidP="00F72CC4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 w:rsidR="00301AE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953E765" w14:textId="77777777" w:rsidR="00AD3606" w:rsidRPr="00E85B67" w:rsidRDefault="00F72CC4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EG-ITRs 4</w:t>
            </w:r>
            <w:r w:rsidRPr="00F72CC4">
              <w:rPr>
                <w:i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i/>
                <w:iCs/>
                <w:sz w:val="22"/>
                <w:szCs w:val="22"/>
              </w:rPr>
              <w:t xml:space="preserve"> meeting report</w:t>
            </w:r>
          </w:p>
        </w:tc>
      </w:tr>
    </w:tbl>
    <w:p w14:paraId="68D46170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36AAFD80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58CBDBFC" w14:textId="77777777" w:rsidR="00500CA4" w:rsidRPr="00F72CC4" w:rsidRDefault="00500CA4" w:rsidP="002D660E">
      <w:pPr>
        <w:rPr>
          <w:b/>
          <w:bCs/>
          <w:u w:val="single"/>
        </w:rPr>
      </w:pPr>
      <w:r w:rsidRPr="00F72CC4">
        <w:rPr>
          <w:b/>
          <w:bCs/>
          <w:u w:val="single"/>
        </w:rPr>
        <w:lastRenderedPageBreak/>
        <w:t>Summary of the proposal for the meeting report</w:t>
      </w:r>
      <w:r w:rsidR="00F72CC4" w:rsidRPr="00F72CC4">
        <w:rPr>
          <w:b/>
          <w:bCs/>
          <w:u w:val="single"/>
        </w:rPr>
        <w:t>:</w:t>
      </w:r>
    </w:p>
    <w:p w14:paraId="1FC32D23" w14:textId="77777777" w:rsidR="00F72CC4" w:rsidRDefault="00F72CC4" w:rsidP="00F72CC4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line with Annex 2 of the fourth meeting report, the possible ways forward on the </w:t>
      </w:r>
      <w:proofErr w:type="gramStart"/>
      <w:r>
        <w:rPr>
          <w:rFonts w:asciiTheme="minorHAnsi" w:hAnsiTheme="minorHAnsi" w:cstheme="minorHAnsi"/>
        </w:rPr>
        <w:t>ITRs,</w:t>
      </w:r>
      <w:proofErr w:type="gramEnd"/>
      <w:r>
        <w:rPr>
          <w:rFonts w:asciiTheme="minorHAnsi" w:hAnsiTheme="minorHAnsi" w:cstheme="minorHAnsi"/>
        </w:rPr>
        <w:t xml:space="preserve"> include:</w:t>
      </w:r>
    </w:p>
    <w:p w14:paraId="1DA76259" w14:textId="31354148" w:rsidR="00F72CC4" w:rsidRDefault="00F72CC4" w:rsidP="00BE305D">
      <w:pPr>
        <w:pStyle w:val="enumlev1"/>
        <w:tabs>
          <w:tab w:val="clear" w:pos="567"/>
          <w:tab w:val="left" w:pos="0"/>
        </w:tabs>
        <w:ind w:hanging="709"/>
        <w:jc w:val="both"/>
      </w:pPr>
      <w:r>
        <w:rPr>
          <w:lang w:val="en-US"/>
        </w:rPr>
        <w:t>“</w:t>
      </w:r>
      <w:r w:rsidR="00BE305D">
        <w:rPr>
          <w:lang w:val="en-US"/>
        </w:rPr>
        <w:tab/>
      </w:r>
      <w:r>
        <w:t>a)</w:t>
      </w:r>
      <w:r w:rsidR="00BE305D">
        <w:tab/>
      </w:r>
      <w:r>
        <w:t>suspend discussions on the ITRs until such time as there is consensus on how to proceed</w:t>
      </w:r>
    </w:p>
    <w:p w14:paraId="3974A083" w14:textId="77777777" w:rsidR="00F72CC4" w:rsidRDefault="00F72CC4" w:rsidP="00F72CC4">
      <w:pPr>
        <w:pStyle w:val="enumlev1"/>
        <w:jc w:val="both"/>
      </w:pPr>
      <w:r>
        <w:t>b)</w:t>
      </w:r>
      <w:r>
        <w:tab/>
        <w:t xml:space="preserve">convene another EG-ITRs </w:t>
      </w:r>
      <w:proofErr w:type="gramStart"/>
      <w:r>
        <w:t>in order to</w:t>
      </w:r>
      <w:proofErr w:type="gramEnd"/>
      <w:r>
        <w:t xml:space="preserve"> attempt to find a consensus on how to proceed</w:t>
      </w:r>
    </w:p>
    <w:p w14:paraId="4A3E9390" w14:textId="77777777" w:rsidR="00F72CC4" w:rsidRDefault="00F72CC4" w:rsidP="00F72CC4">
      <w:pPr>
        <w:pStyle w:val="enumlev1"/>
        <w:jc w:val="both"/>
      </w:pPr>
      <w:r>
        <w:t>c)</w:t>
      </w:r>
      <w:r>
        <w:tab/>
        <w:t xml:space="preserve">convene a WCIT, and its preparatory process, </w:t>
      </w:r>
      <w:proofErr w:type="gramStart"/>
      <w:r>
        <w:t>in order to</w:t>
      </w:r>
      <w:proofErr w:type="gramEnd"/>
      <w:r>
        <w:t xml:space="preserve"> revise the ITRs</w:t>
      </w:r>
    </w:p>
    <w:p w14:paraId="5DAFCA36" w14:textId="77777777" w:rsidR="00F72CC4" w:rsidRDefault="00F72CC4" w:rsidP="00F72CC4">
      <w:pPr>
        <w:pStyle w:val="enumlev1"/>
        <w:jc w:val="both"/>
      </w:pPr>
      <w:r>
        <w:t>d)</w:t>
      </w:r>
      <w:r>
        <w:tab/>
        <w:t>convene a mini-WCIT back-to-back with the WTSA, to abrogate the substance of the ITRs, or, if possible, to abrogate the ITRs entirely.”</w:t>
      </w:r>
    </w:p>
    <w:p w14:paraId="3BED5DB9" w14:textId="77777777" w:rsidR="00F72CC4" w:rsidRDefault="00F72CC4" w:rsidP="00F72CC4">
      <w:pPr>
        <w:pStyle w:val="enumlev1"/>
        <w:jc w:val="both"/>
      </w:pPr>
    </w:p>
    <w:p w14:paraId="1C314F76" w14:textId="305DB02A" w:rsidR="00F72CC4" w:rsidRDefault="00F72CC4" w:rsidP="00BE305D">
      <w:pPr>
        <w:pStyle w:val="enumlev1"/>
        <w:tabs>
          <w:tab w:val="clear" w:pos="567"/>
        </w:tabs>
        <w:ind w:left="0" w:firstLine="0"/>
        <w:jc w:val="both"/>
      </w:pPr>
      <w:r>
        <w:t xml:space="preserve">Egypt proposes that </w:t>
      </w:r>
      <w:r w:rsidR="00BE305D">
        <w:t xml:space="preserve">the 2026 </w:t>
      </w:r>
      <w:r>
        <w:t>ITU Plenipotentiary Conference should discuss these possible ways forward, and determine which way is most suitable for the ITRs.</w:t>
      </w:r>
    </w:p>
    <w:p w14:paraId="2AC21FC2" w14:textId="77777777" w:rsidR="00F72CC4" w:rsidRPr="0083578E" w:rsidRDefault="00F72CC4" w:rsidP="00500CA4">
      <w:pPr>
        <w:rPr>
          <w:highlight w:val="yellow"/>
        </w:rPr>
      </w:pPr>
    </w:p>
    <w:p w14:paraId="744930A9" w14:textId="77777777" w:rsidR="00F72CC4" w:rsidRPr="00F72CC4" w:rsidRDefault="00F72CC4" w:rsidP="00F72CC4">
      <w:pPr>
        <w:pStyle w:val="NormalWeb"/>
        <w:jc w:val="both"/>
        <w:rPr>
          <w:rFonts w:asciiTheme="minorHAnsi" w:hAnsiTheme="minorHAnsi" w:cstheme="minorHAnsi"/>
          <w:b/>
          <w:bCs/>
          <w:u w:val="single"/>
        </w:rPr>
      </w:pPr>
      <w:r w:rsidRPr="00F72CC4">
        <w:rPr>
          <w:rFonts w:asciiTheme="minorHAnsi" w:hAnsiTheme="minorHAnsi" w:cstheme="minorHAnsi"/>
          <w:b/>
          <w:bCs/>
          <w:u w:val="single"/>
        </w:rPr>
        <w:t xml:space="preserve">Proposal: </w:t>
      </w:r>
    </w:p>
    <w:p w14:paraId="36DCC5C5" w14:textId="77777777" w:rsidR="00F72CC4" w:rsidRDefault="00F72CC4" w:rsidP="00F72CC4">
      <w:pPr>
        <w:pStyle w:val="NormalWeb"/>
        <w:jc w:val="both"/>
        <w:rPr>
          <w:rFonts w:asciiTheme="minorHAnsi" w:hAnsiTheme="minorHAnsi" w:cstheme="minorHAnsi"/>
          <w:rtl/>
        </w:rPr>
      </w:pPr>
      <w:r w:rsidRPr="008F1E70">
        <w:rPr>
          <w:rFonts w:asciiTheme="minorHAnsi" w:hAnsiTheme="minorHAnsi" w:cstheme="minorHAnsi"/>
        </w:rPr>
        <w:t xml:space="preserve">Egypt wishes to express its appreciation for the efforts undertaken within the Expert Group on the ITRs (EG-ITRs) over the past study period. </w:t>
      </w:r>
    </w:p>
    <w:p w14:paraId="4E9BF281" w14:textId="77777777" w:rsidR="00F72CC4" w:rsidRPr="008F1E70" w:rsidRDefault="00F72CC4" w:rsidP="00F72CC4">
      <w:pPr>
        <w:pStyle w:val="NormalWeb"/>
        <w:jc w:val="both"/>
        <w:rPr>
          <w:rFonts w:asciiTheme="minorHAnsi" w:hAnsiTheme="minorHAnsi" w:cstheme="minorHAnsi"/>
        </w:rPr>
      </w:pPr>
      <w:r w:rsidRPr="008F1E70">
        <w:rPr>
          <w:rFonts w:asciiTheme="minorHAnsi" w:hAnsiTheme="minorHAnsi" w:cstheme="minorHAnsi"/>
        </w:rPr>
        <w:t xml:space="preserve">We commend the efforts made to engage </w:t>
      </w:r>
      <w:r>
        <w:rPr>
          <w:rFonts w:asciiTheme="minorHAnsi" w:hAnsiTheme="minorHAnsi" w:cstheme="minorHAnsi"/>
        </w:rPr>
        <w:t>members</w:t>
      </w:r>
      <w:r w:rsidRPr="008F1E70">
        <w:rPr>
          <w:rFonts w:asciiTheme="minorHAnsi" w:hAnsiTheme="minorHAnsi" w:cstheme="minorHAnsi"/>
        </w:rPr>
        <w:t xml:space="preserve"> and bridge differing perspectives with a view to achieving consensus. We also recognize the contributions </w:t>
      </w:r>
      <w:r>
        <w:rPr>
          <w:rFonts w:asciiTheme="minorHAnsi" w:hAnsiTheme="minorHAnsi" w:cstheme="minorHAnsi"/>
        </w:rPr>
        <w:t xml:space="preserve">and active participation </w:t>
      </w:r>
      <w:r w:rsidRPr="008F1E70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members</w:t>
      </w:r>
      <w:r w:rsidRPr="008F1E70">
        <w:rPr>
          <w:rFonts w:asciiTheme="minorHAnsi" w:hAnsiTheme="minorHAnsi" w:cstheme="minorHAnsi"/>
        </w:rPr>
        <w:t xml:space="preserve"> who engaged under the agreed Terms of Reference.</w:t>
      </w:r>
    </w:p>
    <w:p w14:paraId="4FB313D5" w14:textId="77777777" w:rsidR="00F72CC4" w:rsidRDefault="00F72CC4" w:rsidP="00F72CC4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Egypt has been a strong supporter of the ITRs since the beginning of the review process of the 1988 version. We participated in all Expert Groups, the Council Working Group on WCIT-12, and WCIT itself. During </w:t>
      </w:r>
      <w:proofErr w:type="gramStart"/>
      <w:r>
        <w:rPr>
          <w:rFonts w:asciiTheme="minorHAnsi" w:hAnsiTheme="minorHAnsi" w:cstheme="minorHAnsi"/>
        </w:rPr>
        <w:t>all of</w:t>
      </w:r>
      <w:proofErr w:type="gramEnd"/>
      <w:r>
        <w:rPr>
          <w:rFonts w:asciiTheme="minorHAnsi" w:hAnsiTheme="minorHAnsi" w:cstheme="minorHAnsi"/>
        </w:rPr>
        <w:t xml:space="preserve"> our interventions and written contributions we highlighted the importance of the ITRs, and the importance of having one single version of the treaty.  </w:t>
      </w:r>
    </w:p>
    <w:p w14:paraId="240CAB78" w14:textId="77777777" w:rsidR="00F72CC4" w:rsidRPr="008F1E70" w:rsidRDefault="00F72CC4" w:rsidP="00F72CC4">
      <w:pPr>
        <w:pStyle w:val="NormalWeb"/>
        <w:jc w:val="both"/>
        <w:rPr>
          <w:rFonts w:asciiTheme="minorHAnsi" w:hAnsiTheme="minorHAnsi" w:cstheme="minorHAnsi"/>
        </w:rPr>
      </w:pPr>
      <w:r w:rsidRPr="008F1E70">
        <w:rPr>
          <w:rFonts w:asciiTheme="minorHAnsi" w:hAnsiTheme="minorHAnsi" w:cstheme="minorHAnsi"/>
        </w:rPr>
        <w:t>As reflected in the discussions held during the group</w:t>
      </w:r>
      <w:r>
        <w:rPr>
          <w:rFonts w:asciiTheme="minorHAnsi" w:hAnsiTheme="minorHAnsi" w:cstheme="minorHAnsi"/>
        </w:rPr>
        <w:t>’</w:t>
      </w:r>
      <w:r w:rsidRPr="008F1E70">
        <w:rPr>
          <w:rFonts w:asciiTheme="minorHAnsi" w:hAnsiTheme="minorHAnsi" w:cstheme="minorHAnsi"/>
        </w:rPr>
        <w:t>s meetings, particularly on topics such as the impact of new trends in telecommunications, the empirical data regarding current use, and the broader relevance of the ITRs</w:t>
      </w:r>
      <w:proofErr w:type="gramStart"/>
      <w:r w:rsidRPr="008F1E70">
        <w:rPr>
          <w:rFonts w:asciiTheme="minorHAnsi" w:hAnsiTheme="minorHAnsi" w:cstheme="minorHAnsi"/>
        </w:rPr>
        <w:t>, still</w:t>
      </w:r>
      <w:proofErr w:type="gramEnd"/>
      <w:r w:rsidRPr="008F1E70">
        <w:rPr>
          <w:rFonts w:asciiTheme="minorHAnsi" w:hAnsiTheme="minorHAnsi" w:cstheme="minorHAnsi"/>
        </w:rPr>
        <w:t xml:space="preserve"> divergent views remain. While some </w:t>
      </w:r>
      <w:r>
        <w:rPr>
          <w:rFonts w:asciiTheme="minorHAnsi" w:hAnsiTheme="minorHAnsi" w:cstheme="minorHAnsi"/>
        </w:rPr>
        <w:t>members</w:t>
      </w:r>
      <w:r w:rsidRPr="008F1E70">
        <w:rPr>
          <w:rFonts w:asciiTheme="minorHAnsi" w:hAnsiTheme="minorHAnsi" w:cstheme="minorHAnsi"/>
        </w:rPr>
        <w:t xml:space="preserve"> continue to support the ITRs as a relevant treaty instrument, others have indicated that they no longer consider t</w:t>
      </w:r>
      <w:r>
        <w:rPr>
          <w:rFonts w:asciiTheme="minorHAnsi" w:hAnsiTheme="minorHAnsi" w:cstheme="minorHAnsi"/>
        </w:rPr>
        <w:t xml:space="preserve">he ITRs necessary or applicable. </w:t>
      </w:r>
    </w:p>
    <w:p w14:paraId="151AF350" w14:textId="77777777" w:rsidR="00F72CC4" w:rsidRDefault="00F72CC4" w:rsidP="00F72CC4">
      <w:pPr>
        <w:pStyle w:val="NormalWeb"/>
        <w:jc w:val="both"/>
        <w:rPr>
          <w:rFonts w:asciiTheme="minorHAnsi" w:hAnsiTheme="minorHAnsi" w:cstheme="minorHAnsi"/>
        </w:rPr>
      </w:pPr>
      <w:r w:rsidRPr="008F1E70">
        <w:rPr>
          <w:rFonts w:asciiTheme="minorHAnsi" w:hAnsiTheme="minorHAnsi" w:cstheme="minorHAnsi"/>
        </w:rPr>
        <w:t>Despite multiple rounds of discussions and thoughtful contributions addressing various elements within the Terms of Reference,</w:t>
      </w:r>
      <w:r>
        <w:rPr>
          <w:rFonts w:asciiTheme="minorHAnsi" w:hAnsiTheme="minorHAnsi" w:cstheme="minorHAnsi"/>
        </w:rPr>
        <w:t xml:space="preserve"> consensus has not been reached. </w:t>
      </w:r>
    </w:p>
    <w:p w14:paraId="45F4F9F0" w14:textId="153BF794" w:rsidR="00F72CC4" w:rsidRPr="00102AD7" w:rsidRDefault="00F72CC4" w:rsidP="002D660E">
      <w:pPr>
        <w:pStyle w:val="NormalWeb"/>
        <w:jc w:val="both"/>
        <w:rPr>
          <w:rFonts w:asciiTheme="minorHAnsi" w:hAnsiTheme="minorHAnsi" w:cstheme="minorHAnsi"/>
        </w:rPr>
      </w:pPr>
      <w:r w:rsidRPr="008F1E70">
        <w:rPr>
          <w:rFonts w:asciiTheme="minorHAnsi" w:hAnsiTheme="minorHAnsi" w:cstheme="minorHAnsi"/>
        </w:rPr>
        <w:t xml:space="preserve">In this context, and considering the current impasse, Egypt believes it is time for the ITU Council to consider a </w:t>
      </w:r>
      <w:r w:rsidR="002D660E">
        <w:rPr>
          <w:rFonts w:asciiTheme="minorHAnsi" w:hAnsiTheme="minorHAnsi" w:cstheme="minorHAnsi"/>
        </w:rPr>
        <w:t>different</w:t>
      </w:r>
      <w:r w:rsidRPr="008F1E70">
        <w:rPr>
          <w:rFonts w:asciiTheme="minorHAnsi" w:hAnsiTheme="minorHAnsi" w:cstheme="minorHAnsi"/>
        </w:rPr>
        <w:t xml:space="preserve"> path forward. It may be appropriate to explore the necessary steps that would allow the Union to address the status of the ITRs in a manner that preserves ITU's institutional integrity.</w:t>
      </w:r>
      <w:r w:rsidRPr="00102AD7">
        <w:rPr>
          <w:rFonts w:asciiTheme="minorHAnsi" w:hAnsiTheme="minorHAnsi" w:cstheme="minorHAnsi"/>
        </w:rPr>
        <w:t xml:space="preserve"> </w:t>
      </w:r>
    </w:p>
    <w:p w14:paraId="622536AA" w14:textId="77777777" w:rsidR="00F72CC4" w:rsidRDefault="00F72CC4" w:rsidP="00F72CC4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Therefore, and in line with Annex 2 of the fourth meeting report, the possible ways forward on the </w:t>
      </w:r>
      <w:proofErr w:type="gramStart"/>
      <w:r>
        <w:rPr>
          <w:rFonts w:asciiTheme="minorHAnsi" w:hAnsiTheme="minorHAnsi" w:cstheme="minorHAnsi"/>
        </w:rPr>
        <w:t>ITRs,</w:t>
      </w:r>
      <w:proofErr w:type="gramEnd"/>
      <w:r>
        <w:rPr>
          <w:rFonts w:asciiTheme="minorHAnsi" w:hAnsiTheme="minorHAnsi" w:cstheme="minorHAnsi"/>
        </w:rPr>
        <w:t xml:space="preserve"> include:</w:t>
      </w:r>
    </w:p>
    <w:p w14:paraId="48AF06BA" w14:textId="34ED5584" w:rsidR="00F72CC4" w:rsidRDefault="00F72CC4" w:rsidP="00BE305D">
      <w:pPr>
        <w:pStyle w:val="enumlev1"/>
        <w:tabs>
          <w:tab w:val="clear" w:pos="567"/>
          <w:tab w:val="left" w:pos="0"/>
        </w:tabs>
        <w:ind w:hanging="709"/>
        <w:jc w:val="both"/>
      </w:pPr>
      <w:r>
        <w:rPr>
          <w:lang w:val="en-US"/>
        </w:rPr>
        <w:lastRenderedPageBreak/>
        <w:t>“</w:t>
      </w:r>
      <w:r w:rsidR="00BE305D">
        <w:rPr>
          <w:lang w:val="en-US"/>
        </w:rPr>
        <w:tab/>
      </w:r>
      <w:r>
        <w:t>a)</w:t>
      </w:r>
      <w:r w:rsidR="00BE305D">
        <w:tab/>
      </w:r>
      <w:r>
        <w:t>suspend discussions on the ITRs until such time as there is consensus on how to proceed</w:t>
      </w:r>
    </w:p>
    <w:p w14:paraId="7DA1E7C8" w14:textId="77777777" w:rsidR="00F72CC4" w:rsidRDefault="00F72CC4" w:rsidP="00F72CC4">
      <w:pPr>
        <w:pStyle w:val="enumlev1"/>
        <w:jc w:val="both"/>
      </w:pPr>
      <w:r>
        <w:t>b)</w:t>
      </w:r>
      <w:r>
        <w:tab/>
        <w:t xml:space="preserve">convene another EG-ITRs </w:t>
      </w:r>
      <w:proofErr w:type="gramStart"/>
      <w:r>
        <w:t>in order to</w:t>
      </w:r>
      <w:proofErr w:type="gramEnd"/>
      <w:r>
        <w:t xml:space="preserve"> attempt to find a consensus on how to proceed</w:t>
      </w:r>
    </w:p>
    <w:p w14:paraId="4745D82B" w14:textId="77777777" w:rsidR="00F72CC4" w:rsidRDefault="00F72CC4" w:rsidP="00F72CC4">
      <w:pPr>
        <w:pStyle w:val="enumlev1"/>
        <w:jc w:val="both"/>
      </w:pPr>
      <w:r>
        <w:t>c)</w:t>
      </w:r>
      <w:r>
        <w:tab/>
        <w:t xml:space="preserve">convene a WCIT, and its preparatory process, </w:t>
      </w:r>
      <w:proofErr w:type="gramStart"/>
      <w:r>
        <w:t>in order to</w:t>
      </w:r>
      <w:proofErr w:type="gramEnd"/>
      <w:r>
        <w:t xml:space="preserve"> revise the ITRs</w:t>
      </w:r>
    </w:p>
    <w:p w14:paraId="5D82D4D8" w14:textId="77777777" w:rsidR="00F72CC4" w:rsidRDefault="00F72CC4" w:rsidP="00F72CC4">
      <w:pPr>
        <w:pStyle w:val="enumlev1"/>
        <w:jc w:val="both"/>
      </w:pPr>
      <w:r>
        <w:t>d)</w:t>
      </w:r>
      <w:r>
        <w:tab/>
        <w:t>convene a mini-WCIT back-to-back with the WTSA, to abrogate the substance of the ITRs, or, if possible, to abrogate the ITRs entirely.”</w:t>
      </w:r>
    </w:p>
    <w:p w14:paraId="7F2C3988" w14:textId="77777777" w:rsidR="00F72CC4" w:rsidRDefault="00F72CC4" w:rsidP="00F72CC4">
      <w:pPr>
        <w:pStyle w:val="enumlev1"/>
        <w:jc w:val="both"/>
      </w:pPr>
    </w:p>
    <w:p w14:paraId="5EA81928" w14:textId="14FC0F95" w:rsidR="00F72CC4" w:rsidRDefault="00F72CC4" w:rsidP="00BE305D">
      <w:pPr>
        <w:pStyle w:val="enumlev1"/>
        <w:tabs>
          <w:tab w:val="clear" w:pos="567"/>
        </w:tabs>
        <w:ind w:left="0" w:firstLine="0"/>
        <w:jc w:val="both"/>
      </w:pPr>
      <w:r>
        <w:t xml:space="preserve">Egypt proposes that </w:t>
      </w:r>
      <w:r w:rsidR="00BE305D">
        <w:t xml:space="preserve">the 2026 </w:t>
      </w:r>
      <w:r>
        <w:t>ITU Plenipotentiary Conference should discuss these possible ways forward, and determine which way is most suitable for the ITRs.</w:t>
      </w:r>
    </w:p>
    <w:p w14:paraId="50406983" w14:textId="77777777" w:rsidR="00A514A4" w:rsidRPr="00147C54" w:rsidRDefault="00690A5B" w:rsidP="00BE305D">
      <w:pPr>
        <w:spacing w:before="600"/>
        <w:jc w:val="center"/>
      </w:pPr>
      <w:r>
        <w:t>______________</w:t>
      </w:r>
    </w:p>
    <w:sectPr w:rsidR="00A514A4" w:rsidRPr="00147C54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CE96" w14:textId="77777777" w:rsidR="00A65B6A" w:rsidRDefault="00A65B6A">
      <w:r>
        <w:separator/>
      </w:r>
    </w:p>
  </w:endnote>
  <w:endnote w:type="continuationSeparator" w:id="0">
    <w:p w14:paraId="06584382" w14:textId="77777777" w:rsidR="00A65B6A" w:rsidRDefault="00A6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115CAF91" w14:textId="77777777" w:rsidTr="0042469C">
      <w:trPr>
        <w:jc w:val="center"/>
      </w:trPr>
      <w:tc>
        <w:tcPr>
          <w:tcW w:w="1803" w:type="dxa"/>
          <w:vAlign w:val="center"/>
        </w:tcPr>
        <w:p w14:paraId="603C075E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9F399B5" w14:textId="75751D3F" w:rsidR="00EE49E8" w:rsidRPr="00877BF2" w:rsidRDefault="00EE49E8" w:rsidP="00F73B2C">
          <w:pPr>
            <w:pStyle w:val="Header"/>
            <w:tabs>
              <w:tab w:val="left" w:pos="659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F73B2C">
            <w:rPr>
              <w:bCs/>
            </w:rPr>
            <w:t>EG-ITRs-</w:t>
          </w:r>
          <w:r w:rsidR="00690A5B">
            <w:rPr>
              <w:bCs/>
            </w:rPr>
            <w:t>5</w:t>
          </w:r>
          <w:r w:rsidR="00F73B2C">
            <w:rPr>
              <w:bCs/>
              <w:lang w:val="es-ES"/>
            </w:rPr>
            <w:t>/</w:t>
          </w:r>
          <w:r w:rsidR="00BE305D">
            <w:rPr>
              <w:bCs/>
              <w:lang w:val="es-ES"/>
            </w:rPr>
            <w:t>8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="008B429A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2BC7F610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526C7008" w14:textId="77777777" w:rsidTr="00A52C84">
      <w:trPr>
        <w:jc w:val="center"/>
      </w:trPr>
      <w:tc>
        <w:tcPr>
          <w:tcW w:w="3107" w:type="dxa"/>
          <w:vAlign w:val="center"/>
        </w:tcPr>
        <w:p w14:paraId="2D50D65C" w14:textId="77777777" w:rsidR="00EE49E8" w:rsidRPr="0025570E" w:rsidRDefault="0025570E" w:rsidP="00EE49E8">
          <w:pPr>
            <w:pStyle w:val="Header"/>
            <w:jc w:val="left"/>
            <w:rPr>
              <w:noProof/>
              <w:u w:val="single"/>
            </w:rPr>
          </w:pPr>
          <w:hyperlink r:id="rId1" w:history="1">
            <w:r w:rsidRPr="0025570E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113C53ED" w14:textId="5566E3BD" w:rsidR="00EE49E8" w:rsidRPr="000F6AB8" w:rsidRDefault="00EE49E8" w:rsidP="00F73B2C">
          <w:pPr>
            <w:pStyle w:val="Header"/>
            <w:tabs>
              <w:tab w:val="left" w:pos="529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F73B2C">
            <w:rPr>
              <w:bCs/>
            </w:rPr>
            <w:t>EG-ITRs-</w:t>
          </w:r>
          <w:r w:rsidR="00690A5B">
            <w:rPr>
              <w:bCs/>
            </w:rPr>
            <w:t>5</w:t>
          </w:r>
          <w:r w:rsidR="00205D4E">
            <w:rPr>
              <w:bCs/>
              <w:lang w:val="es-ES"/>
            </w:rPr>
            <w:t>/</w:t>
          </w:r>
          <w:r w:rsidR="00BE305D">
            <w:rPr>
              <w:bCs/>
              <w:lang w:val="es-ES"/>
            </w:rPr>
            <w:t>8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="002D660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512C0F1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72CF" w14:textId="77777777" w:rsidR="00A65B6A" w:rsidRDefault="00A65B6A">
      <w:r>
        <w:t>____________________</w:t>
      </w:r>
    </w:p>
  </w:footnote>
  <w:footnote w:type="continuationSeparator" w:id="0">
    <w:p w14:paraId="2CCFC5A4" w14:textId="77777777" w:rsidR="00A65B6A" w:rsidRDefault="00A6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E04331" w:rsidRPr="00784011" w14:paraId="788EBE31" w14:textId="77777777" w:rsidTr="002F314B">
      <w:trPr>
        <w:trHeight w:val="1304"/>
        <w:jc w:val="center"/>
      </w:trPr>
      <w:tc>
        <w:tcPr>
          <w:tcW w:w="6546" w:type="dxa"/>
        </w:tcPr>
        <w:p w14:paraId="3D1B07AD" w14:textId="77777777" w:rsidR="00E04331" w:rsidRPr="009621F8" w:rsidRDefault="00E04331" w:rsidP="00E04331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1EAEAF" wp14:editId="41205C4C">
                    <wp:simplePos x="0" y="0"/>
                    <wp:positionH relativeFrom="column">
                      <wp:posOffset>1440815</wp:posOffset>
                    </wp:positionH>
                    <wp:positionV relativeFrom="paragraph">
                      <wp:posOffset>8583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8077ED" w14:textId="77777777" w:rsidR="00E04331" w:rsidRDefault="00E04331" w:rsidP="00EB3336">
                                <w:pPr>
                                  <w:spacing w:before="0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the International Telecommunication Regulations</w:t>
                                </w:r>
                                <w:r>
                                  <w:br/>
                                </w:r>
                                <w:r w:rsidR="00690A5B">
                                  <w:rPr>
                                    <w:sz w:val="20"/>
                                  </w:rPr>
                                  <w:t>Fifth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EB3336">
                                  <w:rPr>
                                    <w:sz w:val="20"/>
                                  </w:rPr>
                                  <w:t xml:space="preserve">meeting – </w:t>
                                </w:r>
                                <w:r w:rsidR="00EB3336" w:rsidRPr="00EB3336">
                                  <w:rPr>
                                    <w:sz w:val="20"/>
                                  </w:rPr>
                                  <w:t>From 11 to 12 (a.m.)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1EAE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4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sbcEON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798077ED" w14:textId="77777777" w:rsidR="00E04331" w:rsidRDefault="00E04331" w:rsidP="00EB3336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>
                            <w:br/>
                          </w:r>
                          <w:r w:rsidR="00690A5B">
                            <w:rPr>
                              <w:sz w:val="20"/>
                            </w:rPr>
                            <w:t>Fifth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EB3336">
                            <w:rPr>
                              <w:sz w:val="20"/>
                            </w:rPr>
                            <w:t xml:space="preserve">meeting – </w:t>
                          </w:r>
                          <w:r w:rsidR="00EB3336" w:rsidRPr="00EB3336">
                            <w:rPr>
                              <w:sz w:val="20"/>
                            </w:rPr>
                            <w:t>From 11 to 12 (a.m.)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eastAsia="en-GB"/>
            </w:rPr>
            <w:drawing>
              <wp:inline distT="0" distB="0" distL="0" distR="0" wp14:anchorId="118198AB" wp14:editId="33CA8F6B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1025B5A" w14:textId="77777777" w:rsidR="00E04331" w:rsidRDefault="00E04331" w:rsidP="00E04331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2776DED" w14:textId="77777777" w:rsidR="00E04331" w:rsidRDefault="00E04331" w:rsidP="00E04331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AC0FBF6" w14:textId="77777777" w:rsidR="00E04331" w:rsidRPr="00784011" w:rsidRDefault="00E04331" w:rsidP="00E04331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172355FD" w14:textId="77777777" w:rsidR="00AD3606" w:rsidRPr="00E04331" w:rsidRDefault="00E04331" w:rsidP="00E04331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CD7A8" wp14:editId="251A356E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AAA78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704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AC"/>
    <w:rsid w:val="000041A9"/>
    <w:rsid w:val="00004C8C"/>
    <w:rsid w:val="000120E4"/>
    <w:rsid w:val="000210D4"/>
    <w:rsid w:val="00046146"/>
    <w:rsid w:val="00063016"/>
    <w:rsid w:val="00066795"/>
    <w:rsid w:val="00076AF6"/>
    <w:rsid w:val="00085CF2"/>
    <w:rsid w:val="000A1525"/>
    <w:rsid w:val="000B1705"/>
    <w:rsid w:val="000D75B2"/>
    <w:rsid w:val="000F6AB8"/>
    <w:rsid w:val="001121F5"/>
    <w:rsid w:val="00130599"/>
    <w:rsid w:val="00131E18"/>
    <w:rsid w:val="001400DC"/>
    <w:rsid w:val="00140CE1"/>
    <w:rsid w:val="00147C54"/>
    <w:rsid w:val="0017539C"/>
    <w:rsid w:val="00175AC2"/>
    <w:rsid w:val="0017609F"/>
    <w:rsid w:val="001A7D1D"/>
    <w:rsid w:val="001B0595"/>
    <w:rsid w:val="001B51DD"/>
    <w:rsid w:val="001C628E"/>
    <w:rsid w:val="001E0F7B"/>
    <w:rsid w:val="001E0FBE"/>
    <w:rsid w:val="001E5FE7"/>
    <w:rsid w:val="001F2EAC"/>
    <w:rsid w:val="00205D4E"/>
    <w:rsid w:val="002119FD"/>
    <w:rsid w:val="002130E0"/>
    <w:rsid w:val="00227AAB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D660E"/>
    <w:rsid w:val="002E0AC3"/>
    <w:rsid w:val="002F2D06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5A7F"/>
    <w:rsid w:val="003D635C"/>
    <w:rsid w:val="003D71D8"/>
    <w:rsid w:val="004016E2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06D1"/>
    <w:rsid w:val="004E2EA5"/>
    <w:rsid w:val="004E3AEB"/>
    <w:rsid w:val="00500CA4"/>
    <w:rsid w:val="0050223C"/>
    <w:rsid w:val="00507750"/>
    <w:rsid w:val="005170FD"/>
    <w:rsid w:val="005243FF"/>
    <w:rsid w:val="005311D6"/>
    <w:rsid w:val="00536422"/>
    <w:rsid w:val="0054526E"/>
    <w:rsid w:val="005536C2"/>
    <w:rsid w:val="00564FBC"/>
    <w:rsid w:val="005800BC"/>
    <w:rsid w:val="00582442"/>
    <w:rsid w:val="005A335D"/>
    <w:rsid w:val="005B0869"/>
    <w:rsid w:val="005C13D4"/>
    <w:rsid w:val="005C77C0"/>
    <w:rsid w:val="005E2BD5"/>
    <w:rsid w:val="005E4F47"/>
    <w:rsid w:val="005F3269"/>
    <w:rsid w:val="00601575"/>
    <w:rsid w:val="00615961"/>
    <w:rsid w:val="00623AE3"/>
    <w:rsid w:val="006261F4"/>
    <w:rsid w:val="0064737F"/>
    <w:rsid w:val="006535F1"/>
    <w:rsid w:val="0065557D"/>
    <w:rsid w:val="00660D50"/>
    <w:rsid w:val="00662984"/>
    <w:rsid w:val="00663050"/>
    <w:rsid w:val="006716BB"/>
    <w:rsid w:val="00690A5B"/>
    <w:rsid w:val="006973C8"/>
    <w:rsid w:val="006A4862"/>
    <w:rsid w:val="006B1859"/>
    <w:rsid w:val="006B6680"/>
    <w:rsid w:val="006B6DCC"/>
    <w:rsid w:val="00701C70"/>
    <w:rsid w:val="00702DEF"/>
    <w:rsid w:val="007067EC"/>
    <w:rsid w:val="00706861"/>
    <w:rsid w:val="007247CF"/>
    <w:rsid w:val="00726B8C"/>
    <w:rsid w:val="0075051B"/>
    <w:rsid w:val="0077110E"/>
    <w:rsid w:val="00775655"/>
    <w:rsid w:val="007849D5"/>
    <w:rsid w:val="00793188"/>
    <w:rsid w:val="00794D34"/>
    <w:rsid w:val="008019F3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91503"/>
    <w:rsid w:val="008A2F06"/>
    <w:rsid w:val="008B429A"/>
    <w:rsid w:val="008B4A6A"/>
    <w:rsid w:val="008C7E27"/>
    <w:rsid w:val="008F3822"/>
    <w:rsid w:val="008F7448"/>
    <w:rsid w:val="0090147A"/>
    <w:rsid w:val="0090389B"/>
    <w:rsid w:val="00913F0C"/>
    <w:rsid w:val="009173EF"/>
    <w:rsid w:val="00932906"/>
    <w:rsid w:val="00961860"/>
    <w:rsid w:val="00961B0B"/>
    <w:rsid w:val="00962D33"/>
    <w:rsid w:val="009B38C3"/>
    <w:rsid w:val="009D46C7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65B6A"/>
    <w:rsid w:val="00A83502"/>
    <w:rsid w:val="00AD15B3"/>
    <w:rsid w:val="00AD3606"/>
    <w:rsid w:val="00AD4A3D"/>
    <w:rsid w:val="00AF1977"/>
    <w:rsid w:val="00AF6E49"/>
    <w:rsid w:val="00B04A67"/>
    <w:rsid w:val="00B0583C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E2640"/>
    <w:rsid w:val="00BE305D"/>
    <w:rsid w:val="00C01189"/>
    <w:rsid w:val="00C0581A"/>
    <w:rsid w:val="00C374DE"/>
    <w:rsid w:val="00C47AD4"/>
    <w:rsid w:val="00C52D81"/>
    <w:rsid w:val="00C55198"/>
    <w:rsid w:val="00C725C6"/>
    <w:rsid w:val="00C80BCF"/>
    <w:rsid w:val="00C81B52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08C4"/>
    <w:rsid w:val="00CF33F3"/>
    <w:rsid w:val="00D06183"/>
    <w:rsid w:val="00D22C4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F0189"/>
    <w:rsid w:val="00E04331"/>
    <w:rsid w:val="00E06FD5"/>
    <w:rsid w:val="00E10E80"/>
    <w:rsid w:val="00E124F0"/>
    <w:rsid w:val="00E227F3"/>
    <w:rsid w:val="00E309CF"/>
    <w:rsid w:val="00E4728B"/>
    <w:rsid w:val="00E545C6"/>
    <w:rsid w:val="00E60F04"/>
    <w:rsid w:val="00E63EFF"/>
    <w:rsid w:val="00E65B24"/>
    <w:rsid w:val="00E854E4"/>
    <w:rsid w:val="00E85B67"/>
    <w:rsid w:val="00E86DBF"/>
    <w:rsid w:val="00EB0D6F"/>
    <w:rsid w:val="00EB2232"/>
    <w:rsid w:val="00EB3336"/>
    <w:rsid w:val="00EC5337"/>
    <w:rsid w:val="00EC7C07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66A26"/>
    <w:rsid w:val="00F72CC4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CE1ED1"/>
  <w15:docId w15:val="{01D94A4B-A735-4BB8-9828-245A467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19F3"/>
    <w:rPr>
      <w:color w:val="666666"/>
    </w:rPr>
  </w:style>
  <w:style w:type="paragraph" w:customStyle="1" w:styleId="Reasons">
    <w:name w:val="Reasons"/>
    <w:basedOn w:val="Normal"/>
    <w:qFormat/>
    <w:rsid w:val="00690A5B"/>
  </w:style>
  <w:style w:type="paragraph" w:styleId="NormalWeb">
    <w:name w:val="Normal (Web)"/>
    <w:basedOn w:val="Normal"/>
    <w:uiPriority w:val="99"/>
    <w:semiHidden/>
    <w:unhideWhenUsed/>
    <w:rsid w:val="00F72C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78227-E7F7-4872-A5C7-FA5591647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3076C-61FA-45EB-874D-BAE6DE983BA6}">
  <ds:schemaRefs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5E3FBE-0BA2-45CA-9A5E-870C47331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F8836-709F-49B6-BB9D-5DF44E38B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Egypt - Possible ways forward on the ITRs</dc:title>
  <dc:subject>ITU Expert Group on ITRs</dc:subject>
  <dc:creator>GBS</dc:creator>
  <cp:keywords>EG-ITRs</cp:keywords>
  <dc:description/>
  <cp:lastModifiedBy>GBS</cp:lastModifiedBy>
  <cp:revision>2</cp:revision>
  <dcterms:created xsi:type="dcterms:W3CDTF">2025-08-29T12:03:00Z</dcterms:created>
  <dcterms:modified xsi:type="dcterms:W3CDTF">2025-08-29T12:03:00Z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cd48eee453f674bc903590a1a2c229099ee633913d2bb2dc1e8b4f037247fa54</vt:lpwstr>
  </property>
  <property fmtid="{D5CDD505-2E9C-101B-9397-08002B2CF9AE}" pid="3" name="ContentTypeId">
    <vt:lpwstr>0x0101001E46BE2403204D4E844191C3480CD35B</vt:lpwstr>
  </property>
</Properties>
</file>