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79C9FC97" w14:textId="77777777" w:rsidTr="00AD3606">
        <w:trPr>
          <w:cantSplit/>
          <w:trHeight w:val="23"/>
        </w:trPr>
        <w:tc>
          <w:tcPr>
            <w:tcW w:w="3969" w:type="dxa"/>
            <w:vMerge w:val="restart"/>
            <w:tcMar>
              <w:left w:w="0" w:type="dxa"/>
            </w:tcMar>
          </w:tcPr>
          <w:p w14:paraId="3C67D106"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5CAA287" w14:textId="48DC078F" w:rsidR="00AD3606" w:rsidRPr="00301AEE" w:rsidRDefault="00E85B67" w:rsidP="00472BAD">
            <w:pPr>
              <w:tabs>
                <w:tab w:val="left" w:pos="851"/>
              </w:tabs>
              <w:spacing w:before="0" w:line="240" w:lineRule="atLeast"/>
              <w:jc w:val="right"/>
              <w:rPr>
                <w:b/>
                <w:lang w:val="fr-FR"/>
              </w:rPr>
            </w:pPr>
            <w:r w:rsidRPr="00A52C84">
              <w:rPr>
                <w:b/>
                <w:lang w:val="fr-CH"/>
              </w:rPr>
              <w:t xml:space="preserve">Document </w:t>
            </w:r>
            <w:proofErr w:type="spellStart"/>
            <w:r>
              <w:rPr>
                <w:b/>
                <w:lang w:val="fr-CH"/>
              </w:rPr>
              <w:t>EG</w:t>
            </w:r>
            <w:proofErr w:type="spellEnd"/>
            <w:r>
              <w:rPr>
                <w:b/>
                <w:lang w:val="fr-CH"/>
              </w:rPr>
              <w:t>-</w:t>
            </w:r>
            <w:proofErr w:type="spellStart"/>
            <w:r>
              <w:rPr>
                <w:b/>
                <w:lang w:val="fr-CH"/>
              </w:rPr>
              <w:t>ITRs</w:t>
            </w:r>
            <w:proofErr w:type="spellEnd"/>
            <w:r w:rsidRPr="00A52C84">
              <w:rPr>
                <w:b/>
                <w:lang w:val="fr-CH"/>
              </w:rPr>
              <w:t>-</w:t>
            </w:r>
            <w:r>
              <w:rPr>
                <w:b/>
                <w:lang w:val="fr-CH"/>
              </w:rPr>
              <w:t>4</w:t>
            </w:r>
            <w:r w:rsidR="00F66A26">
              <w:rPr>
                <w:b/>
                <w:lang w:val="fr-FR"/>
              </w:rPr>
              <w:t>/</w:t>
            </w:r>
            <w:r w:rsidR="00F3674C">
              <w:rPr>
                <w:b/>
                <w:lang w:val="fr-FR"/>
              </w:rPr>
              <w:t>9</w:t>
            </w:r>
          </w:p>
        </w:tc>
      </w:tr>
      <w:tr w:rsidR="00AD3606" w:rsidRPr="00147C54" w14:paraId="2E227EC6" w14:textId="77777777" w:rsidTr="00AD3606">
        <w:trPr>
          <w:cantSplit/>
        </w:trPr>
        <w:tc>
          <w:tcPr>
            <w:tcW w:w="3969" w:type="dxa"/>
            <w:vMerge/>
          </w:tcPr>
          <w:p w14:paraId="54EC2E41"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03B76821" w14:textId="083AB4D8" w:rsidR="00AD3606" w:rsidRPr="00147C54" w:rsidRDefault="00F3674C" w:rsidP="00AD3606">
            <w:pPr>
              <w:tabs>
                <w:tab w:val="left" w:pos="851"/>
              </w:tabs>
              <w:spacing w:before="0"/>
              <w:jc w:val="right"/>
              <w:rPr>
                <w:b/>
              </w:rPr>
            </w:pPr>
            <w:r>
              <w:rPr>
                <w:b/>
              </w:rPr>
              <w:t>24 February 2025</w:t>
            </w:r>
          </w:p>
        </w:tc>
      </w:tr>
      <w:tr w:rsidR="00AD3606" w:rsidRPr="00147C54" w14:paraId="694FB5C3" w14:textId="77777777" w:rsidTr="00AD3606">
        <w:trPr>
          <w:cantSplit/>
          <w:trHeight w:val="23"/>
        </w:trPr>
        <w:tc>
          <w:tcPr>
            <w:tcW w:w="3969" w:type="dxa"/>
            <w:vMerge/>
          </w:tcPr>
          <w:p w14:paraId="7C664206"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79FFE70C"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56F33670" w14:textId="77777777" w:rsidTr="00AD3606">
        <w:trPr>
          <w:cantSplit/>
          <w:trHeight w:val="23"/>
        </w:trPr>
        <w:tc>
          <w:tcPr>
            <w:tcW w:w="3969" w:type="dxa"/>
          </w:tcPr>
          <w:p w14:paraId="31FCE42A" w14:textId="77777777" w:rsidR="00472BAD" w:rsidRPr="00147C54" w:rsidRDefault="00472BAD" w:rsidP="00AD3606">
            <w:pPr>
              <w:tabs>
                <w:tab w:val="left" w:pos="851"/>
              </w:tabs>
              <w:spacing w:line="240" w:lineRule="atLeast"/>
              <w:rPr>
                <w:b/>
              </w:rPr>
            </w:pPr>
          </w:p>
        </w:tc>
        <w:tc>
          <w:tcPr>
            <w:tcW w:w="5245" w:type="dxa"/>
          </w:tcPr>
          <w:p w14:paraId="4DC9EF6E" w14:textId="77777777" w:rsidR="00472BAD" w:rsidRPr="00147C54" w:rsidRDefault="00472BAD" w:rsidP="00AD3606">
            <w:pPr>
              <w:tabs>
                <w:tab w:val="left" w:pos="851"/>
              </w:tabs>
              <w:spacing w:before="0" w:line="240" w:lineRule="atLeast"/>
              <w:jc w:val="right"/>
              <w:rPr>
                <w:b/>
              </w:rPr>
            </w:pPr>
          </w:p>
        </w:tc>
      </w:tr>
      <w:tr w:rsidR="00AD3606" w:rsidRPr="00147C54" w14:paraId="77E136EE" w14:textId="77777777" w:rsidTr="00AD3606">
        <w:trPr>
          <w:cantSplit/>
        </w:trPr>
        <w:tc>
          <w:tcPr>
            <w:tcW w:w="9214" w:type="dxa"/>
            <w:gridSpan w:val="2"/>
            <w:tcMar>
              <w:left w:w="0" w:type="dxa"/>
            </w:tcMar>
          </w:tcPr>
          <w:p w14:paraId="4B7C3A9B" w14:textId="219036F1" w:rsidR="00AD3606" w:rsidRPr="00147C54" w:rsidRDefault="00F3674C" w:rsidP="00E4728B">
            <w:pPr>
              <w:pStyle w:val="Source"/>
              <w:framePr w:hSpace="0" w:wrap="auto" w:vAnchor="margin" w:hAnchor="text" w:xAlign="left" w:yAlign="inline"/>
            </w:pPr>
            <w:bookmarkStart w:id="8" w:name="dsource" w:colFirst="0" w:colLast="0"/>
            <w:bookmarkEnd w:id="7"/>
            <w:r>
              <w:t>Chair, EG-ITRs</w:t>
            </w:r>
          </w:p>
        </w:tc>
      </w:tr>
      <w:tr w:rsidR="00AD3606" w:rsidRPr="00147C54" w14:paraId="60BC365E" w14:textId="77777777" w:rsidTr="00AD3606">
        <w:trPr>
          <w:cantSplit/>
        </w:trPr>
        <w:tc>
          <w:tcPr>
            <w:tcW w:w="9214" w:type="dxa"/>
            <w:gridSpan w:val="2"/>
            <w:tcMar>
              <w:left w:w="0" w:type="dxa"/>
            </w:tcMar>
          </w:tcPr>
          <w:p w14:paraId="16053483" w14:textId="35D18665" w:rsidR="00AD3606" w:rsidRPr="00147C54" w:rsidRDefault="00F3674C" w:rsidP="00E4728B">
            <w:pPr>
              <w:pStyle w:val="Subtitle"/>
              <w:framePr w:hSpace="0" w:wrap="auto" w:xAlign="left" w:yAlign="inline"/>
            </w:pPr>
            <w:bookmarkStart w:id="9" w:name="dtitle1" w:colFirst="0" w:colLast="0"/>
            <w:bookmarkEnd w:id="8"/>
            <w:r w:rsidRPr="00F3674C">
              <w:t>REPORT OF THE FOURTH MEETING OF THE EXPERT GROUP ON THE INTERNATIONAL TELECOMMUNICATION REGULATIONS</w:t>
            </w:r>
            <w:r>
              <w:t xml:space="preserve"> </w:t>
            </w:r>
            <w:r w:rsidRPr="00F3674C">
              <w:t>(EG-ITRs)</w:t>
            </w:r>
            <w:r>
              <w:t xml:space="preserve"> –</w:t>
            </w:r>
            <w:r w:rsidRPr="00F3674C">
              <w:t xml:space="preserve"> 2023-2026 </w:t>
            </w:r>
          </w:p>
        </w:tc>
      </w:tr>
    </w:tbl>
    <w:p w14:paraId="2A7A88DD"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39E15197"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19AACB51" w14:textId="77777777" w:rsidR="00F3674C" w:rsidRPr="00F41777" w:rsidRDefault="00F3674C" w:rsidP="00F3674C">
      <w:pPr>
        <w:pStyle w:val="Heading1"/>
      </w:pPr>
      <w:r w:rsidRPr="00962BD6">
        <w:lastRenderedPageBreak/>
        <w:t>1</w:t>
      </w:r>
      <w:r w:rsidRPr="00962BD6">
        <w:tab/>
      </w:r>
      <w:r w:rsidRPr="00F41777">
        <w:t>Introduction</w:t>
      </w:r>
    </w:p>
    <w:p w14:paraId="4846A6AF" w14:textId="1A633FC8" w:rsidR="00F3674C" w:rsidRPr="00962BD6" w:rsidRDefault="00F3674C" w:rsidP="0020444A">
      <w:pPr>
        <w:jc w:val="both"/>
      </w:pPr>
      <w:r w:rsidRPr="00962BD6">
        <w:rPr>
          <w:b/>
          <w:bCs/>
        </w:rPr>
        <w:t>1.1</w:t>
      </w:r>
      <w:r w:rsidRPr="00962BD6">
        <w:rPr>
          <w:b/>
          <w:bCs/>
        </w:rPr>
        <w:tab/>
      </w:r>
      <w:r w:rsidRPr="00962BD6">
        <w:t xml:space="preserve">The </w:t>
      </w:r>
      <w:r>
        <w:t>fourth</w:t>
      </w:r>
      <w:r w:rsidRPr="00962BD6">
        <w:t xml:space="preserve"> meeting of the</w:t>
      </w:r>
      <w:r w:rsidRPr="00962BD6">
        <w:rPr>
          <w:b/>
          <w:bCs/>
        </w:rPr>
        <w:t xml:space="preserve"> </w:t>
      </w:r>
      <w:r w:rsidR="008C6213" w:rsidRPr="008C6213">
        <w:t xml:space="preserve">Expert Group on the International Telecommunication Regulations </w:t>
      </w:r>
      <w:r w:rsidR="008C6213">
        <w:t>(</w:t>
      </w:r>
      <w:r w:rsidRPr="00962BD6">
        <w:t>EG-ITRs</w:t>
      </w:r>
      <w:r w:rsidR="008C6213">
        <w:t>),</w:t>
      </w:r>
      <w:r w:rsidRPr="00962BD6">
        <w:t xml:space="preserve"> 2023-2026</w:t>
      </w:r>
      <w:r w:rsidR="008C6213">
        <w:t>,</w:t>
      </w:r>
      <w:r w:rsidRPr="00962BD6">
        <w:t xml:space="preserve"> was held on </w:t>
      </w:r>
      <w:r>
        <w:t xml:space="preserve">20-21 February </w:t>
      </w:r>
      <w:r w:rsidRPr="00962BD6">
        <w:t>202</w:t>
      </w:r>
      <w:r>
        <w:t>5</w:t>
      </w:r>
      <w:r w:rsidRPr="00962BD6">
        <w:t xml:space="preserve">. </w:t>
      </w:r>
    </w:p>
    <w:p w14:paraId="5975739F" w14:textId="315408E0" w:rsidR="00F3674C" w:rsidRPr="00962BD6" w:rsidRDefault="00F3674C" w:rsidP="00F3674C">
      <w:pPr>
        <w:jc w:val="both"/>
        <w:rPr>
          <w:rFonts w:cs="Calibri"/>
          <w:szCs w:val="24"/>
        </w:rPr>
      </w:pPr>
      <w:r w:rsidRPr="00962BD6">
        <w:rPr>
          <w:rFonts w:cs="Calibri"/>
          <w:b/>
          <w:bCs/>
          <w:szCs w:val="24"/>
        </w:rPr>
        <w:t>1.2</w:t>
      </w:r>
      <w:r w:rsidRPr="00962BD6">
        <w:rPr>
          <w:rFonts w:cs="Calibri"/>
          <w:szCs w:val="24"/>
        </w:rPr>
        <w:tab/>
        <w:t xml:space="preserve">On </w:t>
      </w:r>
      <w:r w:rsidRPr="0020444A">
        <w:t>behalf</w:t>
      </w:r>
      <w:r w:rsidRPr="00962BD6">
        <w:rPr>
          <w:rFonts w:cs="Calibri"/>
          <w:szCs w:val="24"/>
        </w:rPr>
        <w:t xml:space="preserve"> of the Secretary-General</w:t>
      </w:r>
      <w:r w:rsidR="007F4E06">
        <w:rPr>
          <w:rFonts w:cs="Calibri"/>
          <w:szCs w:val="24"/>
        </w:rPr>
        <w:t>,</w:t>
      </w:r>
      <w:r w:rsidRPr="00962BD6">
        <w:rPr>
          <w:rFonts w:cs="Calibri"/>
          <w:szCs w:val="24"/>
        </w:rPr>
        <w:t xml:space="preserve"> Ms</w:t>
      </w:r>
      <w:r>
        <w:rPr>
          <w:rFonts w:cs="Calibri"/>
          <w:szCs w:val="24"/>
        </w:rPr>
        <w:t> </w:t>
      </w:r>
      <w:r w:rsidRPr="00962BD6">
        <w:rPr>
          <w:rFonts w:cs="Calibri"/>
          <w:szCs w:val="24"/>
        </w:rPr>
        <w:t>Doreen Bogdan-Martin, the Director</w:t>
      </w:r>
      <w:r w:rsidR="007F4E06">
        <w:rPr>
          <w:rFonts w:cs="Calibri"/>
          <w:szCs w:val="24"/>
        </w:rPr>
        <w:t xml:space="preserve"> of the</w:t>
      </w:r>
      <w:r w:rsidRPr="00962BD6">
        <w:rPr>
          <w:rFonts w:cs="Calibri"/>
          <w:szCs w:val="24"/>
        </w:rPr>
        <w:t xml:space="preserve"> Telecommunication Standardisation Bureau (TSB), Mr</w:t>
      </w:r>
      <w:r>
        <w:rPr>
          <w:rFonts w:cs="Calibri"/>
          <w:szCs w:val="24"/>
        </w:rPr>
        <w:t> </w:t>
      </w:r>
      <w:r w:rsidRPr="00962BD6">
        <w:rPr>
          <w:rFonts w:cs="Calibri"/>
          <w:szCs w:val="24"/>
        </w:rPr>
        <w:t xml:space="preserve">Seizo Onoe, welcomed the participants to the </w:t>
      </w:r>
      <w:r>
        <w:rPr>
          <w:rFonts w:cs="Calibri"/>
          <w:szCs w:val="24"/>
        </w:rPr>
        <w:t>fourth</w:t>
      </w:r>
      <w:r w:rsidRPr="00962BD6">
        <w:rPr>
          <w:rFonts w:cs="Calibri"/>
          <w:szCs w:val="24"/>
        </w:rPr>
        <w:t xml:space="preserve"> meeting of EG-ITRs (2023-2026). He commended the members on their </w:t>
      </w:r>
      <w:r>
        <w:rPr>
          <w:rFonts w:cs="Calibri"/>
          <w:szCs w:val="24"/>
        </w:rPr>
        <w:t>support</w:t>
      </w:r>
      <w:r w:rsidRPr="00962BD6">
        <w:rPr>
          <w:rFonts w:cs="Calibri"/>
          <w:szCs w:val="24"/>
        </w:rPr>
        <w:t xml:space="preserve"> and commitment to the work of the Group and urged </w:t>
      </w:r>
      <w:r>
        <w:rPr>
          <w:rFonts w:cs="Calibri"/>
          <w:szCs w:val="24"/>
        </w:rPr>
        <w:t xml:space="preserve">them </w:t>
      </w:r>
      <w:r w:rsidRPr="00962BD6">
        <w:rPr>
          <w:rFonts w:cs="Calibri"/>
          <w:szCs w:val="24"/>
        </w:rPr>
        <w:t xml:space="preserve">to continue working together </w:t>
      </w:r>
      <w:r>
        <w:rPr>
          <w:rFonts w:cs="Calibri"/>
          <w:szCs w:val="24"/>
        </w:rPr>
        <w:t xml:space="preserve">with </w:t>
      </w:r>
      <w:r w:rsidRPr="00962BD6">
        <w:rPr>
          <w:rFonts w:cs="Calibri"/>
          <w:szCs w:val="24"/>
        </w:rPr>
        <w:t>the spirit of consensus and collaboration.</w:t>
      </w:r>
    </w:p>
    <w:p w14:paraId="09E171C2" w14:textId="77777777" w:rsidR="00F3674C" w:rsidRPr="00962BD6" w:rsidRDefault="00F3674C" w:rsidP="00F3674C">
      <w:pPr>
        <w:jc w:val="both"/>
        <w:rPr>
          <w:rFonts w:cs="Calibri"/>
          <w:szCs w:val="24"/>
        </w:rPr>
      </w:pPr>
      <w:r w:rsidRPr="00962BD6">
        <w:rPr>
          <w:rFonts w:cs="Calibri"/>
          <w:b/>
          <w:szCs w:val="24"/>
        </w:rPr>
        <w:t>1.3</w:t>
      </w:r>
      <w:r w:rsidRPr="00962BD6">
        <w:rPr>
          <w:rFonts w:cs="Calibri"/>
          <w:szCs w:val="24"/>
        </w:rPr>
        <w:tab/>
        <w:t xml:space="preserve">The Chair thanked the TSB Director for his presence and support for the meeting and stressed the importance of constructively considering the proposals presented to the Group and </w:t>
      </w:r>
      <w:r>
        <w:rPr>
          <w:rFonts w:cs="Calibri"/>
          <w:szCs w:val="24"/>
        </w:rPr>
        <w:t xml:space="preserve">using this meeting productively and efficiently to agree </w:t>
      </w:r>
      <w:r w:rsidRPr="00962BD6">
        <w:rPr>
          <w:rFonts w:cs="Calibri"/>
          <w:szCs w:val="24"/>
        </w:rPr>
        <w:t>on a way forward</w:t>
      </w:r>
      <w:r>
        <w:rPr>
          <w:rFonts w:cs="Calibri"/>
          <w:szCs w:val="24"/>
        </w:rPr>
        <w:t xml:space="preserve"> with respect to the structure of the Final Report of the Group to Council 2026</w:t>
      </w:r>
      <w:r w:rsidRPr="00962BD6">
        <w:rPr>
          <w:rFonts w:cs="Calibri"/>
          <w:szCs w:val="24"/>
        </w:rPr>
        <w:t xml:space="preserve">. </w:t>
      </w:r>
    </w:p>
    <w:p w14:paraId="28D5CE89" w14:textId="77777777" w:rsidR="00F3674C" w:rsidRPr="00962BD6" w:rsidRDefault="00F3674C" w:rsidP="00F3674C">
      <w:pPr>
        <w:pStyle w:val="Heading1"/>
        <w:rPr>
          <w:bCs/>
        </w:rPr>
      </w:pPr>
      <w:r w:rsidRPr="00962BD6">
        <w:t>2</w:t>
      </w:r>
      <w:r w:rsidRPr="00962BD6">
        <w:tab/>
        <w:t>Adoption of the Agenda and allocation of documents</w:t>
      </w:r>
    </w:p>
    <w:p w14:paraId="2D6113F2" w14:textId="0EEA1E4C" w:rsidR="00F3674C" w:rsidRPr="00962BD6" w:rsidRDefault="00F3674C" w:rsidP="00F3674C">
      <w:pPr>
        <w:jc w:val="both"/>
        <w:rPr>
          <w:rFonts w:cs="Calibri"/>
          <w:szCs w:val="24"/>
        </w:rPr>
      </w:pPr>
      <w:r w:rsidRPr="00962BD6">
        <w:rPr>
          <w:rFonts w:cs="Calibri"/>
          <w:szCs w:val="24"/>
        </w:rPr>
        <w:t xml:space="preserve">The </w:t>
      </w:r>
      <w:r w:rsidRPr="0020444A">
        <w:t>Agenda</w:t>
      </w:r>
      <w:r w:rsidRPr="00962BD6">
        <w:rPr>
          <w:rFonts w:cs="Calibri"/>
          <w:szCs w:val="24"/>
        </w:rPr>
        <w:t xml:space="preserve"> (</w:t>
      </w:r>
      <w:r w:rsidR="007F4E06">
        <w:rPr>
          <w:rFonts w:cs="Calibri"/>
          <w:szCs w:val="24"/>
        </w:rPr>
        <w:t xml:space="preserve">Doc. </w:t>
      </w:r>
      <w:hyperlink r:id="rId8" w:history="1">
        <w:r w:rsidRPr="00A307FF">
          <w:rPr>
            <w:rStyle w:val="Hyperlink"/>
          </w:rPr>
          <w:t>EG-ITRs-4/1(</w:t>
        </w:r>
        <w:proofErr w:type="spellStart"/>
        <w:r w:rsidRPr="00A307FF">
          <w:rPr>
            <w:rStyle w:val="Hyperlink"/>
          </w:rPr>
          <w:t>Rev.1</w:t>
        </w:r>
        <w:proofErr w:type="spellEnd"/>
        <w:r w:rsidRPr="00A307FF">
          <w:rPr>
            <w:rStyle w:val="Hyperlink"/>
          </w:rPr>
          <w:t>)</w:t>
        </w:r>
      </w:hyperlink>
      <w:r w:rsidRPr="00962BD6">
        <w:rPr>
          <w:rFonts w:cs="Calibri"/>
          <w:szCs w:val="24"/>
        </w:rPr>
        <w:t xml:space="preserve">) was presented by the Chair. </w:t>
      </w:r>
      <w:r>
        <w:rPr>
          <w:rFonts w:cs="Calibri"/>
          <w:szCs w:val="24"/>
        </w:rPr>
        <w:t xml:space="preserve">The </w:t>
      </w:r>
      <w:r w:rsidRPr="00962BD6">
        <w:rPr>
          <w:rFonts w:cs="Calibri"/>
          <w:szCs w:val="24"/>
        </w:rPr>
        <w:t>Agenda was adopted.</w:t>
      </w:r>
    </w:p>
    <w:p w14:paraId="0046EAE8" w14:textId="779430B3" w:rsidR="00F3674C" w:rsidRPr="00962BD6" w:rsidRDefault="00F3674C" w:rsidP="00F3674C">
      <w:pPr>
        <w:pStyle w:val="Heading1"/>
      </w:pPr>
      <w:r w:rsidRPr="00962BD6">
        <w:t>3</w:t>
      </w:r>
      <w:r w:rsidRPr="00962BD6">
        <w:tab/>
      </w:r>
      <w:r w:rsidRPr="00A307FF">
        <w:t>Introduction/</w:t>
      </w:r>
      <w:r w:rsidR="005B4918" w:rsidRPr="00A307FF">
        <w:t xml:space="preserve">discussion </w:t>
      </w:r>
      <w:r w:rsidRPr="00A307FF">
        <w:t>of general contributions from Member States and Sector Members</w:t>
      </w:r>
    </w:p>
    <w:p w14:paraId="3BAE7E67" w14:textId="7C418C63" w:rsidR="00F3674C" w:rsidRPr="00962BD6" w:rsidRDefault="00F3674C" w:rsidP="00F3674C">
      <w:pPr>
        <w:jc w:val="both"/>
      </w:pPr>
      <w:r w:rsidRPr="00962BD6">
        <w:t xml:space="preserve">The EG-ITRs examined </w:t>
      </w:r>
      <w:r w:rsidRPr="008C6213">
        <w:rPr>
          <w:rFonts w:cs="Calibri"/>
          <w:szCs w:val="24"/>
        </w:rPr>
        <w:t>the</w:t>
      </w:r>
      <w:r w:rsidRPr="00962BD6">
        <w:t xml:space="preserve"> various contributions (in the order listed in the agenda), which were noted by the Group. The summaries of the contributions (as submitted by the authors of the documents</w:t>
      </w:r>
      <w:r w:rsidR="008C6213">
        <w:t>,</w:t>
      </w:r>
      <w:r w:rsidRPr="00962BD6">
        <w:t>) along with the corresponding discussions</w:t>
      </w:r>
      <w:r w:rsidR="008C6213">
        <w:t>,</w:t>
      </w:r>
      <w:r w:rsidRPr="00962BD6">
        <w:t xml:space="preserve"> are provided below.</w:t>
      </w:r>
    </w:p>
    <w:p w14:paraId="30341122" w14:textId="77777777" w:rsidR="00F3674C" w:rsidRPr="008C6213" w:rsidRDefault="00F3674C" w:rsidP="008C6213">
      <w:pPr>
        <w:pStyle w:val="Heading2"/>
      </w:pPr>
      <w:r w:rsidRPr="00962BD6">
        <w:rPr>
          <w:rFonts w:cs="Calibri"/>
          <w:bCs/>
          <w:szCs w:val="24"/>
        </w:rPr>
        <w:t>3.1</w:t>
      </w:r>
      <w:r w:rsidRPr="00962BD6">
        <w:rPr>
          <w:rFonts w:cs="Calibri"/>
          <w:bCs/>
          <w:szCs w:val="24"/>
        </w:rPr>
        <w:tab/>
        <w:t xml:space="preserve">Contribution </w:t>
      </w:r>
      <w:hyperlink r:id="rId9" w:history="1">
        <w:r w:rsidRPr="00A307FF">
          <w:rPr>
            <w:rStyle w:val="Hyperlink"/>
          </w:rPr>
          <w:t>EG-ITRs-4/2</w:t>
        </w:r>
      </w:hyperlink>
      <w:r w:rsidRPr="00962BD6">
        <w:rPr>
          <w:rFonts w:cs="Calibri"/>
          <w:bCs/>
          <w:szCs w:val="24"/>
        </w:rPr>
        <w:t>, Hill</w:t>
      </w:r>
      <w:r>
        <w:rPr>
          <w:rFonts w:cs="Calibri"/>
          <w:bCs/>
          <w:szCs w:val="24"/>
        </w:rPr>
        <w:t xml:space="preserve"> </w:t>
      </w:r>
    </w:p>
    <w:p w14:paraId="588213CD" w14:textId="77777777" w:rsidR="00F3674C" w:rsidRPr="008C6213" w:rsidRDefault="00F3674C" w:rsidP="008C6213">
      <w:pPr>
        <w:pStyle w:val="Heading3"/>
      </w:pPr>
      <w:r w:rsidRPr="008C6213">
        <w:t>3.1.1</w:t>
      </w:r>
      <w:r w:rsidRPr="008C6213">
        <w:tab/>
        <w:t>Summary of contribution</w:t>
      </w:r>
    </w:p>
    <w:p w14:paraId="113E8022" w14:textId="77777777" w:rsidR="00F3674C" w:rsidRPr="00204E80" w:rsidRDefault="00F3674C" w:rsidP="008C6213">
      <w:pPr>
        <w:jc w:val="both"/>
        <w:rPr>
          <w:bCs/>
          <w:szCs w:val="24"/>
          <w:lang w:val="en-US"/>
        </w:rPr>
      </w:pPr>
      <w:r>
        <w:rPr>
          <w:rFonts w:cs="Calibri"/>
          <w:bCs/>
          <w:szCs w:val="24"/>
        </w:rPr>
        <w:t>Some contributions have stated that operators do not use the ITRs</w:t>
      </w:r>
      <w:r>
        <w:t>. Indeed most operators do not explicitly refer to the ITRs in their commercial contracts, however they rely on the ITRs in order to avoid having to use the accounting rate system. Transparency would be improved if all Member States could agree to the provisions of Article 8 of the 2012 ITRs.</w:t>
      </w:r>
    </w:p>
    <w:p w14:paraId="25C657F8" w14:textId="77777777" w:rsidR="00F3674C" w:rsidRDefault="00F3674C" w:rsidP="008C6213">
      <w:pPr>
        <w:pStyle w:val="Heading3"/>
      </w:pPr>
      <w:r>
        <w:t>3.1.2</w:t>
      </w:r>
      <w:r>
        <w:tab/>
      </w:r>
      <w:r w:rsidRPr="00962BD6">
        <w:t>Discussion</w:t>
      </w:r>
    </w:p>
    <w:p w14:paraId="452980BD" w14:textId="77777777" w:rsidR="00F3674C" w:rsidRPr="00D55ED1" w:rsidRDefault="00F3674C" w:rsidP="00D55ED1">
      <w:pPr>
        <w:pStyle w:val="enumlev1"/>
        <w:jc w:val="both"/>
      </w:pPr>
      <w:r w:rsidRPr="00D55ED1">
        <w:t>a)</w:t>
      </w:r>
      <w:r w:rsidRPr="00D55ED1">
        <w:tab/>
        <w:t>Some members expressed support for the proposal stating that agreement by the Group in this respect would help improve transparency as operators rely on this article and it is important for their work, highlighting that contributions in previous meetings have demonstrated how operators in several regions are facing problems when engaging with countries that do use the 1988 ITRs. Some other members were of the view that no examples have been submitted where the existence of two treaties presented any obstacle or problems for the electronic telecommunication industry, and that the current situation is transparent enough due to easy availability of both treaties to everyone.</w:t>
      </w:r>
    </w:p>
    <w:p w14:paraId="643C9C9D" w14:textId="73826028" w:rsidR="00F3674C" w:rsidRPr="00D55ED1" w:rsidRDefault="00F3674C" w:rsidP="00D55ED1">
      <w:pPr>
        <w:pStyle w:val="enumlev1"/>
        <w:jc w:val="both"/>
      </w:pPr>
      <w:r w:rsidRPr="00D55ED1">
        <w:t>b)</w:t>
      </w:r>
      <w:r w:rsidRPr="00D55ED1">
        <w:tab/>
        <w:t xml:space="preserve">Some members were of the view that there is agreement in the meeting that the concept of special arrangements is important to everyone and, unlike previous meetings, where discussions were had over whether the ITRs are used or applicable or </w:t>
      </w:r>
      <w:r w:rsidRPr="00D55ED1">
        <w:lastRenderedPageBreak/>
        <w:t>relevant to the issues that exist in the telecommunications sector today, this discussion has demonstrated that the ITRs remain relevant and need to be updated to address current issues. Some members reiterated that transparency is sufficient in the current situation</w:t>
      </w:r>
      <w:r w:rsidR="005B4918">
        <w:t>,</w:t>
      </w:r>
      <w:r w:rsidRPr="00D55ED1">
        <w:t xml:space="preserve"> with operators having access to both versions of the treaty and are experiencing no issues in this respect. These members further noted than any revisions to the ITRs are outside the mandate of this Group.</w:t>
      </w:r>
    </w:p>
    <w:p w14:paraId="04511798" w14:textId="77777777" w:rsidR="00F3674C" w:rsidRPr="00D55ED1" w:rsidRDefault="00F3674C" w:rsidP="00D55ED1">
      <w:pPr>
        <w:pStyle w:val="enumlev1"/>
        <w:jc w:val="both"/>
      </w:pPr>
      <w:r w:rsidRPr="00D55ED1">
        <w:t>c)</w:t>
      </w:r>
      <w:r w:rsidRPr="00D55ED1">
        <w:tab/>
        <w:t xml:space="preserve">A member requested that the following sections of the contribution be reflected in the report as they are a statement of fact: </w:t>
      </w:r>
    </w:p>
    <w:p w14:paraId="3602CC8E" w14:textId="642557CA" w:rsidR="00F3674C" w:rsidRPr="00EE4AC4" w:rsidRDefault="00D55ED1" w:rsidP="00D55ED1">
      <w:pPr>
        <w:pStyle w:val="enumlev2"/>
      </w:pPr>
      <w:r>
        <w:t>–</w:t>
      </w:r>
      <w:r>
        <w:tab/>
      </w:r>
      <w:r w:rsidR="00F3674C" w:rsidRPr="00EE4AC4">
        <w:t>12</w:t>
      </w:r>
      <w:r w:rsidR="00F3674C" w:rsidRPr="00EE4AC4">
        <w:tab/>
        <w:t xml:space="preserve">However, not all ITU Member States have adopted the 2012 ITRs. </w:t>
      </w:r>
    </w:p>
    <w:p w14:paraId="246E2F1E" w14:textId="5B35D9D6" w:rsidR="00F3674C" w:rsidRPr="00EE4AC4" w:rsidRDefault="00D55ED1" w:rsidP="00D55ED1">
      <w:pPr>
        <w:pStyle w:val="enumlev2"/>
      </w:pPr>
      <w:r>
        <w:t>–</w:t>
      </w:r>
      <w:r>
        <w:tab/>
      </w:r>
      <w:r w:rsidR="00F3674C" w:rsidRPr="00EE4AC4">
        <w:t>13</w:t>
      </w:r>
      <w:r>
        <w:tab/>
      </w:r>
      <w:r w:rsidR="00F3674C" w:rsidRPr="00EE4AC4">
        <w:t>So, the Member States that have not adopted the 2012 ITRs do rely on the Special Arrangements provision (Article 9 of the 1988 ITRs) in order to avoid having to impose the accounting rate system on certain operators (recognized private operating agencies).</w:t>
      </w:r>
    </w:p>
    <w:p w14:paraId="321248F9" w14:textId="201A465A" w:rsidR="00F3674C" w:rsidRDefault="00D55ED1" w:rsidP="00D55ED1">
      <w:pPr>
        <w:pStyle w:val="enumlev2"/>
      </w:pPr>
      <w:r>
        <w:t>–</w:t>
      </w:r>
      <w:r>
        <w:tab/>
      </w:r>
      <w:r w:rsidR="00F3674C" w:rsidRPr="00EE4AC4">
        <w:t>14</w:t>
      </w:r>
      <w:r w:rsidR="00F3674C" w:rsidRPr="00EE4AC4">
        <w:tab/>
        <w:t>Thus, some operators in those Members States implicitly use the 1988 ITRs in order to avoid having to use the accounting rate system.</w:t>
      </w:r>
    </w:p>
    <w:p w14:paraId="02863F58" w14:textId="77777777" w:rsidR="00F3674C" w:rsidRPr="00C12313" w:rsidRDefault="00F3674C" w:rsidP="00D55ED1">
      <w:pPr>
        <w:pStyle w:val="enumlev1"/>
        <w:jc w:val="both"/>
      </w:pPr>
      <w:r w:rsidRPr="00C12313">
        <w:t>d)</w:t>
      </w:r>
      <w:r w:rsidRPr="00C12313">
        <w:tab/>
        <w:t>The Chair noted that</w:t>
      </w:r>
      <w:r>
        <w:t>,</w:t>
      </w:r>
      <w:r w:rsidRPr="00C12313">
        <w:t xml:space="preserve"> despite the lack of consensus on this contribution, it is </w:t>
      </w:r>
      <w:r>
        <w:t>not disputed</w:t>
      </w:r>
      <w:r w:rsidRPr="00C12313">
        <w:t xml:space="preserve"> that special arrangements are </w:t>
      </w:r>
      <w:r>
        <w:t>an element</w:t>
      </w:r>
      <w:r w:rsidRPr="00C12313">
        <w:t>.</w:t>
      </w:r>
      <w:r>
        <w:t xml:space="preserve"> </w:t>
      </w:r>
      <w:r w:rsidRPr="00F41777">
        <w:t>The contribution was noted.</w:t>
      </w:r>
    </w:p>
    <w:p w14:paraId="7338BFFF" w14:textId="77777777" w:rsidR="00F3674C" w:rsidRDefault="00F3674C" w:rsidP="00F3674C">
      <w:pPr>
        <w:pStyle w:val="Heading2"/>
      </w:pPr>
      <w:r w:rsidRPr="00962BD6">
        <w:t>3.2</w:t>
      </w:r>
      <w:r w:rsidRPr="00962BD6">
        <w:tab/>
      </w:r>
      <w:r w:rsidRPr="00962BD6">
        <w:rPr>
          <w:rFonts w:cs="Calibri"/>
          <w:bCs/>
          <w:szCs w:val="24"/>
        </w:rPr>
        <w:t xml:space="preserve">Contribution </w:t>
      </w:r>
      <w:hyperlink r:id="rId10" w:history="1">
        <w:r w:rsidRPr="00A307FF">
          <w:rPr>
            <w:rStyle w:val="Hyperlink"/>
            <w:rFonts w:cs="Calibri"/>
            <w:bCs/>
            <w:szCs w:val="24"/>
          </w:rPr>
          <w:t>EG-ITRs-4/6</w:t>
        </w:r>
      </w:hyperlink>
      <w:r>
        <w:rPr>
          <w:rFonts w:cs="Calibri"/>
          <w:bCs/>
          <w:szCs w:val="24"/>
        </w:rPr>
        <w:t xml:space="preserve">, </w:t>
      </w:r>
      <w:r w:rsidRPr="00962BD6">
        <w:rPr>
          <w:rFonts w:cs="Calibri"/>
          <w:bCs/>
          <w:szCs w:val="24"/>
        </w:rPr>
        <w:t>Hill</w:t>
      </w:r>
    </w:p>
    <w:p w14:paraId="632AA035" w14:textId="77777777" w:rsidR="00F3674C" w:rsidRDefault="00F3674C" w:rsidP="008C6213">
      <w:pPr>
        <w:pStyle w:val="Heading3"/>
      </w:pPr>
      <w:r>
        <w:t>3.2.1</w:t>
      </w:r>
      <w:r>
        <w:tab/>
        <w:t>Summary</w:t>
      </w:r>
    </w:p>
    <w:p w14:paraId="75510ADC" w14:textId="0EB29171" w:rsidR="00F3674C" w:rsidRPr="00204E80" w:rsidRDefault="00F3674C" w:rsidP="00D55ED1">
      <w:pPr>
        <w:jc w:val="both"/>
        <w:rPr>
          <w:lang w:val="en-US"/>
        </w:rPr>
      </w:pPr>
      <w:r w:rsidRPr="00144C89">
        <w:t xml:space="preserve">In light of </w:t>
      </w:r>
      <w:r w:rsidR="005B4918">
        <w:t xml:space="preserve">the progress made, it is proposed to modify the agreed work plan to move the </w:t>
      </w:r>
      <w:r>
        <w:t>preparation of the final report forward by one meeting.</w:t>
      </w:r>
    </w:p>
    <w:p w14:paraId="411A928F" w14:textId="77777777" w:rsidR="00F3674C" w:rsidRDefault="00F3674C" w:rsidP="008C6213">
      <w:pPr>
        <w:pStyle w:val="Heading3"/>
      </w:pPr>
      <w:r>
        <w:t>3.2.2</w:t>
      </w:r>
      <w:r>
        <w:tab/>
        <w:t>Discussion</w:t>
      </w:r>
      <w:r w:rsidRPr="00962BD6">
        <w:t xml:space="preserve"> </w:t>
      </w:r>
    </w:p>
    <w:p w14:paraId="33753C82" w14:textId="5E603B2E" w:rsidR="00F3674C" w:rsidRPr="000A30AB" w:rsidRDefault="00F3674C" w:rsidP="00D55ED1">
      <w:pPr>
        <w:pStyle w:val="enumlev1"/>
        <w:jc w:val="both"/>
      </w:pPr>
      <w:r w:rsidRPr="000A30AB">
        <w:t>a)</w:t>
      </w:r>
      <w:r w:rsidRPr="000A30AB">
        <w:tab/>
        <w:t xml:space="preserve">Members supported the proposal to begin deliberating on the Final Report of this Group to Council 2026 at this meeting to provide sufficient time for members to discuss and agree on its structure and content but suggested that the Work Plan </w:t>
      </w:r>
      <w:r>
        <w:t xml:space="preserve">continue to </w:t>
      </w:r>
      <w:r w:rsidRPr="000A30AB">
        <w:t>retain the 6</w:t>
      </w:r>
      <w:r w:rsidRPr="000B04FA">
        <w:rPr>
          <w:vertAlign w:val="superscript"/>
        </w:rPr>
        <w:t>th</w:t>
      </w:r>
      <w:r w:rsidRPr="000A30AB">
        <w:t xml:space="preserve"> meeting </w:t>
      </w:r>
      <w:r>
        <w:t xml:space="preserve">of the Group </w:t>
      </w:r>
      <w:r w:rsidRPr="000A30AB">
        <w:t>at this stage. Depending on progress on the report by the 5th meeting, a decision could be made</w:t>
      </w:r>
      <w:r>
        <w:t xml:space="preserve"> then</w:t>
      </w:r>
      <w:r w:rsidRPr="000A30AB">
        <w:t xml:space="preserve"> whether the 6</w:t>
      </w:r>
      <w:r w:rsidRPr="000B04FA">
        <w:rPr>
          <w:vertAlign w:val="superscript"/>
        </w:rPr>
        <w:t>th</w:t>
      </w:r>
      <w:r w:rsidRPr="000A30AB">
        <w:t xml:space="preserve"> meeting is required or not. </w:t>
      </w:r>
    </w:p>
    <w:p w14:paraId="339F28C9" w14:textId="77777777" w:rsidR="00F3674C" w:rsidRPr="000A30AB" w:rsidRDefault="00F3674C" w:rsidP="00D55ED1">
      <w:pPr>
        <w:pStyle w:val="enumlev1"/>
        <w:jc w:val="both"/>
      </w:pPr>
      <w:r w:rsidRPr="000A30AB">
        <w:t>b)</w:t>
      </w:r>
      <w:r w:rsidRPr="000A30AB">
        <w:tab/>
        <w:t>The contribution was noted.</w:t>
      </w:r>
    </w:p>
    <w:p w14:paraId="7BEC6D86" w14:textId="77777777" w:rsidR="00F3674C" w:rsidRDefault="00F3674C" w:rsidP="00F3674C">
      <w:pPr>
        <w:pStyle w:val="Heading2"/>
        <w:rPr>
          <w:rFonts w:cs="Calibri"/>
          <w:bCs/>
          <w:szCs w:val="24"/>
        </w:rPr>
      </w:pPr>
      <w:r w:rsidRPr="00962BD6">
        <w:rPr>
          <w:rFonts w:cs="Calibri"/>
          <w:bCs/>
          <w:szCs w:val="24"/>
        </w:rPr>
        <w:t>3.3</w:t>
      </w:r>
      <w:r w:rsidRPr="00962BD6">
        <w:rPr>
          <w:rFonts w:cs="Calibri"/>
          <w:bCs/>
          <w:szCs w:val="24"/>
        </w:rPr>
        <w:tab/>
        <w:t xml:space="preserve">Contribution </w:t>
      </w:r>
      <w:hyperlink r:id="rId11" w:history="1">
        <w:r w:rsidRPr="00B11574">
          <w:rPr>
            <w:rStyle w:val="Hyperlink"/>
          </w:rPr>
          <w:t>EG-ITRs-4/7</w:t>
        </w:r>
      </w:hyperlink>
      <w:r w:rsidRPr="00962BD6">
        <w:rPr>
          <w:rFonts w:cs="Calibri"/>
          <w:bCs/>
          <w:szCs w:val="24"/>
        </w:rPr>
        <w:t xml:space="preserve">, </w:t>
      </w:r>
      <w:r>
        <w:rPr>
          <w:rFonts w:cs="Calibri"/>
          <w:bCs/>
          <w:szCs w:val="24"/>
        </w:rPr>
        <w:t>Hill</w:t>
      </w:r>
    </w:p>
    <w:p w14:paraId="3832AAF6" w14:textId="77777777" w:rsidR="00F3674C" w:rsidRDefault="00F3674C" w:rsidP="008C6213">
      <w:pPr>
        <w:pStyle w:val="Heading3"/>
      </w:pPr>
      <w:r>
        <w:t>3.3.1</w:t>
      </w:r>
      <w:r>
        <w:tab/>
        <w:t>Summary</w:t>
      </w:r>
    </w:p>
    <w:p w14:paraId="0AD56DD2" w14:textId="77777777" w:rsidR="00F3674C" w:rsidRPr="00204E80" w:rsidRDefault="00F3674C" w:rsidP="00F3674C">
      <w:pPr>
        <w:jc w:val="both"/>
        <w:rPr>
          <w:lang w:val="en-US"/>
        </w:rPr>
      </w:pPr>
      <w:r>
        <w:t>A review of the archive webcast of the third meeting suggests that it may be possible to reach consensus on a specific item, namely without prejudice to the question of whether or not the ITRs should or should not be revised, in principle, the ITRs should focus on Member States not private parties and references to private recognized operating agencies, recognized operating agencies, and authorized operating agencies are not needed in light of Article 6 of the Constitution</w:t>
      </w:r>
    </w:p>
    <w:p w14:paraId="38E2CB96" w14:textId="77777777" w:rsidR="00F3674C" w:rsidRDefault="00F3674C" w:rsidP="008C6213">
      <w:pPr>
        <w:pStyle w:val="Heading3"/>
      </w:pPr>
      <w:r>
        <w:t>3.3.2</w:t>
      </w:r>
      <w:r>
        <w:tab/>
        <w:t>Discussion</w:t>
      </w:r>
      <w:r w:rsidRPr="00962BD6">
        <w:t xml:space="preserve"> </w:t>
      </w:r>
    </w:p>
    <w:p w14:paraId="6FA8F91B" w14:textId="77777777" w:rsidR="00F3674C" w:rsidRDefault="00F3674C" w:rsidP="00D55ED1">
      <w:pPr>
        <w:pStyle w:val="enumlev1"/>
        <w:jc w:val="both"/>
      </w:pPr>
      <w:r>
        <w:t>a)</w:t>
      </w:r>
      <w:r>
        <w:tab/>
        <w:t xml:space="preserve">Some members expressed support for this contribution which also reflects discussions of the Group at previous meetings. Some members expressed appreciation for the </w:t>
      </w:r>
      <w:r>
        <w:lastRenderedPageBreak/>
        <w:t xml:space="preserve">contribution but suggested that it may not be judicious to reach this conclusion at this stage until agreement on the substantive content of the treaty is reached. Some members did not support this contribution and were of the view that there is no issue with the current status quo of the ITRs. Some members noted that the thrust of the contribution is that references to private parties are not needed in the ITRs because the matter is covered by the Constitution. Some members noted that the terminology of 1988 ITRs and 2012 ITRs are not aligned with the Constitution. </w:t>
      </w:r>
    </w:p>
    <w:p w14:paraId="406962D1" w14:textId="77777777" w:rsidR="00F3674C" w:rsidRPr="00CF2840" w:rsidRDefault="00F3674C" w:rsidP="00D55ED1">
      <w:pPr>
        <w:pStyle w:val="enumlev1"/>
        <w:jc w:val="both"/>
      </w:pPr>
      <w:r w:rsidRPr="00CF2840">
        <w:t>b)</w:t>
      </w:r>
      <w:r w:rsidRPr="00CF2840">
        <w:tab/>
      </w:r>
      <w:r w:rsidRPr="00F41777">
        <w:t>The contribution was noted.</w:t>
      </w:r>
      <w:r>
        <w:t xml:space="preserve"> </w:t>
      </w:r>
    </w:p>
    <w:p w14:paraId="2600B5E2" w14:textId="088DEDC0" w:rsidR="00F3674C" w:rsidRPr="00962BD6" w:rsidRDefault="00F3674C" w:rsidP="00F3674C">
      <w:pPr>
        <w:pStyle w:val="Heading1"/>
      </w:pPr>
      <w:r w:rsidRPr="00962BD6">
        <w:t>4</w:t>
      </w:r>
      <w:r w:rsidRPr="00962BD6">
        <w:tab/>
      </w:r>
      <w:r w:rsidRPr="000406F0">
        <w:rPr>
          <w:rFonts w:eastAsia="Calibri"/>
          <w:bCs/>
          <w:kern w:val="2"/>
          <w:szCs w:val="24"/>
          <w14:ligatures w14:val="standardContextual"/>
        </w:rPr>
        <w:t>Introduction/</w:t>
      </w:r>
      <w:r w:rsidR="005B4918" w:rsidRPr="000406F0">
        <w:rPr>
          <w:rFonts w:eastAsia="Calibri"/>
          <w:bCs/>
          <w:kern w:val="2"/>
          <w:szCs w:val="24"/>
          <w14:ligatures w14:val="standardContextual"/>
        </w:rPr>
        <w:t xml:space="preserve">discussion </w:t>
      </w:r>
      <w:r w:rsidRPr="000406F0">
        <w:rPr>
          <w:rFonts w:eastAsia="Calibri"/>
          <w:bCs/>
          <w:kern w:val="2"/>
          <w:szCs w:val="24"/>
          <w14:ligatures w14:val="standardContextual"/>
        </w:rPr>
        <w:t>of contributions from Member States and Sector Members</w:t>
      </w:r>
      <w:r>
        <w:rPr>
          <w:rFonts w:eastAsia="Calibri"/>
          <w:bCs/>
          <w:kern w:val="2"/>
          <w:szCs w:val="24"/>
          <w14:ligatures w14:val="standardContextual"/>
        </w:rPr>
        <w:t xml:space="preserve"> on the Final Report</w:t>
      </w:r>
    </w:p>
    <w:p w14:paraId="044E5D4C" w14:textId="74E05D17" w:rsidR="00F3674C" w:rsidRPr="00962BD6" w:rsidRDefault="00F3674C" w:rsidP="00F3674C">
      <w:pPr>
        <w:jc w:val="both"/>
      </w:pPr>
      <w:r w:rsidRPr="00962BD6">
        <w:t xml:space="preserve">The EG-ITRs examined the </w:t>
      </w:r>
      <w:r w:rsidRPr="00C312A5">
        <w:rPr>
          <w:lang w:val="en-US"/>
        </w:rPr>
        <w:t>various</w:t>
      </w:r>
      <w:r w:rsidRPr="00962BD6">
        <w:t xml:space="preserve"> contributions (in the order listed in the agenda), which were noted by the Group. The summaries of the contributions (as submitted by the authors of the documents)</w:t>
      </w:r>
      <w:r w:rsidR="005B4918">
        <w:t>,</w:t>
      </w:r>
      <w:r w:rsidRPr="00962BD6">
        <w:t xml:space="preserve"> along with the corresponding discussions</w:t>
      </w:r>
      <w:r w:rsidR="005B4918">
        <w:t>,</w:t>
      </w:r>
      <w:r w:rsidRPr="00962BD6">
        <w:t xml:space="preserve"> are provided below.</w:t>
      </w:r>
    </w:p>
    <w:p w14:paraId="4D5DD6F2" w14:textId="77777777" w:rsidR="00F3674C" w:rsidRPr="008B08E4" w:rsidRDefault="00F3674C" w:rsidP="00F3674C">
      <w:pPr>
        <w:pStyle w:val="Heading2"/>
      </w:pPr>
      <w:r w:rsidRPr="00962BD6">
        <w:rPr>
          <w:rFonts w:cs="Calibri"/>
          <w:szCs w:val="24"/>
        </w:rPr>
        <w:t>4.1</w:t>
      </w:r>
      <w:r w:rsidRPr="00962BD6">
        <w:rPr>
          <w:rFonts w:cs="Calibri"/>
          <w:szCs w:val="24"/>
        </w:rPr>
        <w:tab/>
        <w:t xml:space="preserve">Contribution </w:t>
      </w:r>
      <w:hyperlink r:id="rId12" w:history="1">
        <w:r w:rsidRPr="008B08E4">
          <w:rPr>
            <w:rStyle w:val="Hyperlink"/>
          </w:rPr>
          <w:t>EG-ITRs-4/3</w:t>
        </w:r>
      </w:hyperlink>
      <w:r>
        <w:t>, Hill</w:t>
      </w:r>
    </w:p>
    <w:p w14:paraId="240BCD72" w14:textId="77777777" w:rsidR="00F3674C" w:rsidRDefault="00F3674C" w:rsidP="008C6213">
      <w:pPr>
        <w:pStyle w:val="Heading3"/>
      </w:pPr>
      <w:r>
        <w:t>4.1.1</w:t>
      </w:r>
      <w:r>
        <w:tab/>
        <w:t xml:space="preserve">Summary </w:t>
      </w:r>
    </w:p>
    <w:p w14:paraId="73D5457C" w14:textId="01890815" w:rsidR="00F3674C" w:rsidRPr="00076D9F" w:rsidRDefault="00F3674C" w:rsidP="00F3674C">
      <w:pPr>
        <w:jc w:val="both"/>
      </w:pPr>
      <w:r w:rsidRPr="00076D9F">
        <w:rPr>
          <w:lang w:eastAsia="zh-CN"/>
        </w:rPr>
        <w:t xml:space="preserve">This contribution proposes a structure for the final report to </w:t>
      </w:r>
      <w:r w:rsidR="001518B4">
        <w:rPr>
          <w:lang w:eastAsia="zh-CN"/>
        </w:rPr>
        <w:t xml:space="preserve">the </w:t>
      </w:r>
      <w:r w:rsidRPr="00076D9F">
        <w:rPr>
          <w:lang w:eastAsia="zh-CN"/>
        </w:rPr>
        <w:t xml:space="preserve">Council of the EG-ITRs. The structure proposed below is based on the structure of </w:t>
      </w:r>
      <w:r w:rsidRPr="00076D9F">
        <w:t xml:space="preserve">Document </w:t>
      </w:r>
      <w:hyperlink r:id="rId13" w:history="1">
        <w:proofErr w:type="spellStart"/>
        <w:r w:rsidRPr="00076D9F">
          <w:rPr>
            <w:rStyle w:val="Hyperlink"/>
            <w:szCs w:val="24"/>
          </w:rPr>
          <w:t>C22</w:t>
        </w:r>
        <w:proofErr w:type="spellEnd"/>
        <w:r w:rsidRPr="00076D9F">
          <w:rPr>
            <w:rStyle w:val="Hyperlink"/>
            <w:szCs w:val="24"/>
          </w:rPr>
          <w:t>/26</w:t>
        </w:r>
      </w:hyperlink>
      <w:r w:rsidRPr="00076D9F">
        <w:t xml:space="preserve">, which is the </w:t>
      </w:r>
      <w:r w:rsidR="001518B4" w:rsidRPr="00076D9F">
        <w:t xml:space="preserve">final </w:t>
      </w:r>
      <w:r w:rsidRPr="00076D9F">
        <w:t>report of the previous EG-ITRs. The proposal below is an expansion of the structure set forth in</w:t>
      </w:r>
      <w:r w:rsidR="001518B4">
        <w:t xml:space="preserve"> Document</w:t>
      </w:r>
      <w:r w:rsidRPr="00076D9F">
        <w:t xml:space="preserve"> </w:t>
      </w:r>
      <w:hyperlink r:id="rId14" w:history="1">
        <w:r w:rsidRPr="00076D9F">
          <w:rPr>
            <w:rFonts w:cs="Calibri"/>
            <w:color w:val="0563C1"/>
            <w:u w:val="single"/>
          </w:rPr>
          <w:t>EG-ITRs-3/DL/1</w:t>
        </w:r>
      </w:hyperlink>
      <w:r w:rsidRPr="00076D9F">
        <w:t xml:space="preserve"> and takes into account previous contributions on the structure and format of the final report of the group.</w:t>
      </w:r>
    </w:p>
    <w:p w14:paraId="57D7934B" w14:textId="77777777" w:rsidR="00F3674C" w:rsidRDefault="00F3674C" w:rsidP="008C6213">
      <w:pPr>
        <w:pStyle w:val="Heading3"/>
        <w:rPr>
          <w:lang w:val="en-US"/>
        </w:rPr>
      </w:pPr>
      <w:r>
        <w:t>4.1.2</w:t>
      </w:r>
      <w:r>
        <w:tab/>
        <w:t>Discussion</w:t>
      </w:r>
    </w:p>
    <w:p w14:paraId="043A77CC" w14:textId="6D4C0945" w:rsidR="00F3674C" w:rsidRPr="000E2249" w:rsidRDefault="00F3674C" w:rsidP="00D55ED1">
      <w:pPr>
        <w:pStyle w:val="enumlev1"/>
        <w:jc w:val="both"/>
      </w:pPr>
      <w:r w:rsidRPr="000E2249">
        <w:t>a)</w:t>
      </w:r>
      <w:r w:rsidRPr="000E2249">
        <w:tab/>
        <w:t>Some members expressed support for the approach adopted in this proposal as it presents a helpful structure for Council and PP</w:t>
      </w:r>
      <w:r w:rsidR="001518B4">
        <w:t>-</w:t>
      </w:r>
      <w:r w:rsidRPr="000E2249">
        <w:t xml:space="preserve">26 to understand the full scope of discussions at the meetings of this Group. Some members were of the view that the structure of the Final Report of this Group </w:t>
      </w:r>
      <w:r w:rsidRPr="008B71B7">
        <w:t xml:space="preserve">should closely </w:t>
      </w:r>
      <w:r w:rsidRPr="000E2249">
        <w:t>align with the T</w:t>
      </w:r>
      <w:r w:rsidRPr="008B71B7">
        <w:t>erms of</w:t>
      </w:r>
      <w:r w:rsidRPr="000E2249">
        <w:t xml:space="preserve"> R</w:t>
      </w:r>
      <w:r w:rsidRPr="008B71B7">
        <w:t xml:space="preserve">eference </w:t>
      </w:r>
      <w:r w:rsidR="00C07DDC">
        <w:t xml:space="preserve">(ToR) </w:t>
      </w:r>
      <w:r w:rsidRPr="008B71B7">
        <w:t xml:space="preserve">of the </w:t>
      </w:r>
      <w:r w:rsidRPr="000E2249">
        <w:t>G</w:t>
      </w:r>
      <w:r w:rsidRPr="008B71B7">
        <w:t>roup</w:t>
      </w:r>
      <w:r w:rsidRPr="000E2249">
        <w:t xml:space="preserve"> and highlighted that alternate proposals have also been submitted in this respect for the consideration of the members.</w:t>
      </w:r>
    </w:p>
    <w:p w14:paraId="52126E87" w14:textId="77777777" w:rsidR="00F3674C" w:rsidRPr="000E2249" w:rsidRDefault="00F3674C" w:rsidP="00D55ED1">
      <w:pPr>
        <w:pStyle w:val="enumlev1"/>
        <w:jc w:val="both"/>
      </w:pPr>
      <w:r w:rsidRPr="000E2249">
        <w:t>b)</w:t>
      </w:r>
      <w:r w:rsidRPr="000E2249">
        <w:tab/>
        <w:t>The contribution was noted.</w:t>
      </w:r>
    </w:p>
    <w:p w14:paraId="28270B55" w14:textId="77777777" w:rsidR="00F3674C" w:rsidRDefault="00F3674C" w:rsidP="00F3674C">
      <w:pPr>
        <w:pStyle w:val="Heading2"/>
        <w:rPr>
          <w:rFonts w:cs="Calibri"/>
          <w:szCs w:val="24"/>
        </w:rPr>
      </w:pPr>
      <w:r w:rsidRPr="00962BD6">
        <w:rPr>
          <w:rFonts w:cs="Calibri"/>
          <w:szCs w:val="24"/>
        </w:rPr>
        <w:t>4.2</w:t>
      </w:r>
      <w:r w:rsidRPr="00962BD6">
        <w:rPr>
          <w:rFonts w:cs="Calibri"/>
          <w:szCs w:val="24"/>
        </w:rPr>
        <w:tab/>
        <w:t xml:space="preserve">Contribution </w:t>
      </w:r>
      <w:hyperlink r:id="rId15" w:history="1">
        <w:r w:rsidRPr="00A03DF4">
          <w:rPr>
            <w:rStyle w:val="Hyperlink"/>
          </w:rPr>
          <w:t>EG-ITRs-4/4</w:t>
        </w:r>
      </w:hyperlink>
      <w:r>
        <w:t>,</w:t>
      </w:r>
      <w:r>
        <w:rPr>
          <w:rFonts w:cs="Calibri"/>
          <w:szCs w:val="24"/>
        </w:rPr>
        <w:t xml:space="preserve"> Hill</w:t>
      </w:r>
    </w:p>
    <w:p w14:paraId="7CEA90FE" w14:textId="77777777" w:rsidR="00F3674C" w:rsidRDefault="00F3674C" w:rsidP="008C6213">
      <w:pPr>
        <w:pStyle w:val="Heading3"/>
      </w:pPr>
      <w:r>
        <w:t>4.2.1</w:t>
      </w:r>
      <w:r>
        <w:tab/>
        <w:t>Summary</w:t>
      </w:r>
    </w:p>
    <w:p w14:paraId="4DC96DAA" w14:textId="029016E1" w:rsidR="00F3674C" w:rsidRPr="00461B4A" w:rsidRDefault="00F3674C" w:rsidP="00F3674C">
      <w:pPr>
        <w:jc w:val="both"/>
      </w:pPr>
      <w:r w:rsidRPr="00461B4A">
        <w:rPr>
          <w:lang w:val="en-US" w:eastAsia="zh-CN"/>
        </w:rPr>
        <w:t>This contribution presents items to be included in the final report of the EG-ITRs. The items are presented as entries in the proposed Annex 1 of the proposed structure for the final report presented in EG-ITRs-</w:t>
      </w:r>
      <w:r>
        <w:rPr>
          <w:lang w:val="en-US" w:eastAsia="zh-CN"/>
        </w:rPr>
        <w:t>4</w:t>
      </w:r>
      <w:r w:rsidRPr="00461B4A">
        <w:rPr>
          <w:lang w:val="en-US" w:eastAsia="zh-CN"/>
        </w:rPr>
        <w:t>/</w:t>
      </w:r>
      <w:r>
        <w:rPr>
          <w:lang w:val="en-US" w:eastAsia="zh-CN"/>
        </w:rPr>
        <w:t>3</w:t>
      </w:r>
      <w:r w:rsidRPr="00461B4A">
        <w:rPr>
          <w:lang w:val="en-US" w:eastAsia="zh-CN"/>
        </w:rPr>
        <w:t xml:space="preserve">: Proposal for </w:t>
      </w:r>
      <w:r w:rsidR="001518B4">
        <w:rPr>
          <w:lang w:val="en-US" w:eastAsia="zh-CN"/>
        </w:rPr>
        <w:t xml:space="preserve">the structure of the </w:t>
      </w:r>
      <w:r w:rsidRPr="00461B4A">
        <w:rPr>
          <w:lang w:val="en-US" w:eastAsia="zh-CN"/>
        </w:rPr>
        <w:t>final report</w:t>
      </w:r>
      <w:r w:rsidRPr="00461B4A">
        <w:t>. The items are those set forth in contribution</w:t>
      </w:r>
      <w:r w:rsidR="00C07DDC">
        <w:t xml:space="preserve"> </w:t>
      </w:r>
      <w:hyperlink r:id="rId16" w:history="1">
        <w:hyperlink r:id="rId17" w:history="1">
          <w:r w:rsidRPr="00461B4A">
            <w:rPr>
              <w:rStyle w:val="Hyperlink"/>
            </w:rPr>
            <w:t>EG-ITRs 3/2</w:t>
          </w:r>
        </w:hyperlink>
      </w:hyperlink>
      <w:r w:rsidRPr="00461B4A">
        <w:t xml:space="preserve"> and its a</w:t>
      </w:r>
      <w:r>
        <w:t>nnexes</w:t>
      </w:r>
      <w:r w:rsidRPr="00461B4A">
        <w:t>.</w:t>
      </w:r>
    </w:p>
    <w:p w14:paraId="4380E34E" w14:textId="77777777" w:rsidR="00F3674C" w:rsidRDefault="00F3674C" w:rsidP="00F3674C">
      <w:pPr>
        <w:overflowPunct/>
        <w:autoSpaceDE/>
        <w:autoSpaceDN/>
        <w:snapToGrid w:val="0"/>
        <w:spacing w:before="360" w:after="120"/>
        <w:jc w:val="both"/>
        <w:textAlignment w:val="auto"/>
        <w:rPr>
          <w:rFonts w:cs="Calibri"/>
          <w:b/>
          <w:szCs w:val="24"/>
        </w:rPr>
      </w:pPr>
      <w:r>
        <w:rPr>
          <w:rFonts w:cs="Calibri"/>
          <w:b/>
          <w:szCs w:val="24"/>
        </w:rPr>
        <w:t>4.2.2</w:t>
      </w:r>
      <w:r>
        <w:rPr>
          <w:rFonts w:cs="Calibri"/>
          <w:b/>
          <w:szCs w:val="24"/>
        </w:rPr>
        <w:tab/>
        <w:t>Discussion</w:t>
      </w:r>
    </w:p>
    <w:p w14:paraId="429D0B4A" w14:textId="70443366" w:rsidR="00F3674C" w:rsidRPr="00C0029D" w:rsidRDefault="00F3674C" w:rsidP="00D55ED1">
      <w:pPr>
        <w:pStyle w:val="enumlev1"/>
        <w:jc w:val="both"/>
      </w:pPr>
      <w:r w:rsidRPr="00C0029D">
        <w:t>a)</w:t>
      </w:r>
      <w:r w:rsidRPr="00C0029D">
        <w:tab/>
      </w:r>
      <w:r>
        <w:t xml:space="preserve">Some members were of the view that the </w:t>
      </w:r>
      <w:r w:rsidR="001518B4">
        <w:t xml:space="preserve">annex </w:t>
      </w:r>
      <w:r>
        <w:t xml:space="preserve">is useful to convey a full scope of the discussions of the Group and identify the key issues and gaps. These members suggested </w:t>
      </w:r>
      <w:r>
        <w:lastRenderedPageBreak/>
        <w:t xml:space="preserve">that a disclaimer could also be added to the </w:t>
      </w:r>
      <w:r w:rsidR="007F4E06">
        <w:t xml:space="preserve">annex </w:t>
      </w:r>
      <w:r>
        <w:t xml:space="preserve">stating that during discussions, contributions were received on article-by-article reviews of the ITRs and have been reproduced in the Final Report in case helpful. Some members were of the view that the discussions of the Group are best expressed through a summary presented within the Final Report, noting also that not all of the deliberations lend themselves to an article-wise analysis. These members were of the view that a </w:t>
      </w:r>
      <w:r w:rsidR="007F4E06">
        <w:t>provision-by-provision</w:t>
      </w:r>
      <w:r>
        <w:t xml:space="preserve"> analysis has already been done by previous Expert Groups</w:t>
      </w:r>
      <w:r w:rsidRPr="00C0029D">
        <w:t xml:space="preserve">, and </w:t>
      </w:r>
      <w:r>
        <w:t xml:space="preserve">such analysis is not part of the </w:t>
      </w:r>
      <w:r w:rsidR="00C07DDC">
        <w:t>ToR</w:t>
      </w:r>
      <w:r>
        <w:t xml:space="preserve"> </w:t>
      </w:r>
      <w:r w:rsidR="007F4E06">
        <w:t xml:space="preserve">of </w:t>
      </w:r>
      <w:r w:rsidRPr="00C0029D">
        <w:t>this Group.</w:t>
      </w:r>
      <w:r>
        <w:t xml:space="preserve"> Some other members were of the view that the Group’s ToR do not prevent it from performing such an analysis.</w:t>
      </w:r>
      <w:r w:rsidRPr="00C0029D">
        <w:t xml:space="preserve"> </w:t>
      </w:r>
    </w:p>
    <w:p w14:paraId="1DC6FB90" w14:textId="77777777" w:rsidR="00F3674C" w:rsidRPr="00C0029D" w:rsidRDefault="00F3674C" w:rsidP="00D55ED1">
      <w:pPr>
        <w:pStyle w:val="enumlev1"/>
        <w:jc w:val="both"/>
      </w:pPr>
      <w:r w:rsidRPr="00C0029D">
        <w:t>b)</w:t>
      </w:r>
      <w:r w:rsidRPr="00C0029D">
        <w:tab/>
      </w:r>
      <w:r w:rsidRPr="000E2249">
        <w:t>The contribution was noted.</w:t>
      </w:r>
    </w:p>
    <w:p w14:paraId="75AD8971" w14:textId="77777777" w:rsidR="00F3674C" w:rsidRDefault="00F3674C" w:rsidP="00F3674C">
      <w:pPr>
        <w:pStyle w:val="Heading2"/>
        <w:rPr>
          <w:rFonts w:cs="Calibri"/>
          <w:szCs w:val="24"/>
        </w:rPr>
      </w:pPr>
      <w:r w:rsidRPr="00962BD6">
        <w:rPr>
          <w:rFonts w:cs="Calibri"/>
          <w:szCs w:val="24"/>
        </w:rPr>
        <w:t>4.</w:t>
      </w:r>
      <w:r>
        <w:rPr>
          <w:rFonts w:cs="Calibri"/>
          <w:szCs w:val="24"/>
        </w:rPr>
        <w:t>3</w:t>
      </w:r>
      <w:r w:rsidRPr="00962BD6">
        <w:rPr>
          <w:rFonts w:cs="Calibri"/>
          <w:szCs w:val="24"/>
        </w:rPr>
        <w:tab/>
        <w:t xml:space="preserve">Contribution </w:t>
      </w:r>
      <w:hyperlink r:id="rId18" w:history="1">
        <w:r w:rsidRPr="00B11574">
          <w:rPr>
            <w:rStyle w:val="Hyperlink"/>
          </w:rPr>
          <w:t>EG-ITRs-4/5</w:t>
        </w:r>
      </w:hyperlink>
      <w:r>
        <w:t>,</w:t>
      </w:r>
      <w:r>
        <w:rPr>
          <w:rFonts w:cs="Calibri"/>
          <w:szCs w:val="24"/>
        </w:rPr>
        <w:t xml:space="preserve"> Hill</w:t>
      </w:r>
    </w:p>
    <w:p w14:paraId="1D7EB4DB" w14:textId="77777777" w:rsidR="00F3674C" w:rsidRDefault="00F3674C" w:rsidP="008C6213">
      <w:pPr>
        <w:pStyle w:val="Heading3"/>
      </w:pPr>
      <w:r>
        <w:t>4.3.1</w:t>
      </w:r>
      <w:r>
        <w:tab/>
        <w:t>Summary</w:t>
      </w:r>
    </w:p>
    <w:p w14:paraId="20ECF254" w14:textId="77777777" w:rsidR="00F3674C" w:rsidRPr="006764EC" w:rsidRDefault="00F3674C" w:rsidP="00F3674C">
      <w:pPr>
        <w:jc w:val="both"/>
        <w:rPr>
          <w:bCs/>
          <w:szCs w:val="24"/>
        </w:rPr>
      </w:pPr>
      <w:r w:rsidRPr="006764EC">
        <w:t>In order to ensure that all inputs are reflected in the Final Report of the EG-ITRs, it would appear to be judicious to start making a list of the inputs that should be reflected. This contribution presents items for inclusion in such a list.</w:t>
      </w:r>
    </w:p>
    <w:p w14:paraId="3D193FE8" w14:textId="77777777" w:rsidR="00F3674C" w:rsidRDefault="00F3674C" w:rsidP="00F3674C">
      <w:pPr>
        <w:overflowPunct/>
        <w:autoSpaceDE/>
        <w:autoSpaceDN/>
        <w:snapToGrid w:val="0"/>
        <w:spacing w:before="360" w:after="120"/>
        <w:jc w:val="both"/>
        <w:textAlignment w:val="auto"/>
        <w:rPr>
          <w:rFonts w:cs="Calibri"/>
          <w:b/>
          <w:szCs w:val="24"/>
        </w:rPr>
      </w:pPr>
      <w:r>
        <w:rPr>
          <w:rFonts w:cs="Calibri"/>
          <w:b/>
          <w:szCs w:val="24"/>
        </w:rPr>
        <w:t>4.3.2</w:t>
      </w:r>
      <w:r>
        <w:rPr>
          <w:rFonts w:cs="Calibri"/>
          <w:b/>
          <w:szCs w:val="24"/>
        </w:rPr>
        <w:tab/>
        <w:t>Discussion</w:t>
      </w:r>
    </w:p>
    <w:p w14:paraId="0CB57463" w14:textId="477DC703" w:rsidR="00F3674C" w:rsidRPr="00104D64" w:rsidRDefault="00F3674C" w:rsidP="00D55ED1">
      <w:pPr>
        <w:pStyle w:val="enumlev1"/>
        <w:jc w:val="both"/>
      </w:pPr>
      <w:r w:rsidRPr="00104D64">
        <w:t>a)</w:t>
      </w:r>
      <w:r w:rsidRPr="00104D64">
        <w:tab/>
        <w:t>Some members supported th</w:t>
      </w:r>
      <w:r>
        <w:t>e proposed</w:t>
      </w:r>
      <w:r w:rsidRPr="00104D64">
        <w:t xml:space="preserve"> approach for </w:t>
      </w:r>
      <w:r w:rsidR="001518B4">
        <w:t xml:space="preserve">the </w:t>
      </w:r>
      <w:r w:rsidRPr="00104D64">
        <w:t xml:space="preserve">inclusion of items in the Final Report of the Group to Council 2026, suggesting that members can add or edit this proposal as necessary. Some members suggested that a balanced approach must be adopted when drafting the Final Report which takes into account all the perspectives </w:t>
      </w:r>
      <w:r>
        <w:t xml:space="preserve">exchanged </w:t>
      </w:r>
      <w:r w:rsidRPr="00104D64">
        <w:t xml:space="preserve">by </w:t>
      </w:r>
      <w:r>
        <w:t>members</w:t>
      </w:r>
      <w:r w:rsidRPr="00104D64">
        <w:t>, including the empirical data</w:t>
      </w:r>
      <w:r>
        <w:t xml:space="preserve"> previously shared with the Group</w:t>
      </w:r>
      <w:r w:rsidRPr="00104D64">
        <w:t>.</w:t>
      </w:r>
    </w:p>
    <w:p w14:paraId="283EA9EC" w14:textId="77777777" w:rsidR="00F3674C" w:rsidRPr="00104D64" w:rsidRDefault="00F3674C" w:rsidP="00D55ED1">
      <w:pPr>
        <w:pStyle w:val="enumlev1"/>
        <w:jc w:val="both"/>
      </w:pPr>
      <w:r w:rsidRPr="00104D64">
        <w:t>b)</w:t>
      </w:r>
      <w:r w:rsidRPr="00104D64">
        <w:tab/>
        <w:t xml:space="preserve">The </w:t>
      </w:r>
      <w:r w:rsidRPr="00C312A5">
        <w:t>contribution</w:t>
      </w:r>
      <w:r w:rsidRPr="00104D64">
        <w:t xml:space="preserve"> was noted.</w:t>
      </w:r>
    </w:p>
    <w:p w14:paraId="07097FCE" w14:textId="579009F8" w:rsidR="00F3674C" w:rsidRDefault="00F3674C" w:rsidP="00F3674C">
      <w:pPr>
        <w:pStyle w:val="Heading2"/>
        <w:rPr>
          <w:rFonts w:cs="Calibri"/>
          <w:szCs w:val="24"/>
        </w:rPr>
      </w:pPr>
      <w:r w:rsidRPr="00962BD6">
        <w:rPr>
          <w:rFonts w:cs="Calibri"/>
          <w:szCs w:val="24"/>
        </w:rPr>
        <w:t>4.</w:t>
      </w:r>
      <w:r>
        <w:rPr>
          <w:rFonts w:cs="Calibri"/>
          <w:szCs w:val="24"/>
        </w:rPr>
        <w:t>4</w:t>
      </w:r>
      <w:r w:rsidRPr="00962BD6">
        <w:rPr>
          <w:rFonts w:cs="Calibri"/>
          <w:szCs w:val="24"/>
        </w:rPr>
        <w:tab/>
      </w:r>
      <w:r w:rsidRPr="00761CE2">
        <w:rPr>
          <w:rFonts w:cs="Calibri"/>
          <w:szCs w:val="24"/>
        </w:rPr>
        <w:t>Multi</w:t>
      </w:r>
      <w:r>
        <w:rPr>
          <w:rFonts w:cs="Calibri"/>
          <w:szCs w:val="24"/>
        </w:rPr>
        <w:t>-</w:t>
      </w:r>
      <w:r w:rsidRPr="00761CE2">
        <w:rPr>
          <w:rFonts w:cs="Calibri"/>
          <w:szCs w:val="24"/>
        </w:rPr>
        <w:t xml:space="preserve">country </w:t>
      </w:r>
      <w:r w:rsidR="001518B4">
        <w:rPr>
          <w:rFonts w:cs="Calibri"/>
          <w:szCs w:val="24"/>
        </w:rPr>
        <w:t>c</w:t>
      </w:r>
      <w:r w:rsidR="001518B4" w:rsidRPr="00761CE2">
        <w:rPr>
          <w:rFonts w:cs="Calibri"/>
          <w:szCs w:val="24"/>
        </w:rPr>
        <w:t>ontribution</w:t>
      </w:r>
      <w:r w:rsidR="001518B4">
        <w:rPr>
          <w:rFonts w:cs="Calibri"/>
          <w:szCs w:val="24"/>
        </w:rPr>
        <w:t xml:space="preserve"> </w:t>
      </w:r>
      <w:hyperlink r:id="rId19" w:history="1">
        <w:r w:rsidRPr="00B11574">
          <w:rPr>
            <w:rStyle w:val="Hyperlink"/>
          </w:rPr>
          <w:t>EG-ITRs-4/8</w:t>
        </w:r>
      </w:hyperlink>
      <w:r>
        <w:t>,</w:t>
      </w:r>
      <w:r>
        <w:rPr>
          <w:rFonts w:cs="Calibri"/>
          <w:szCs w:val="24"/>
        </w:rPr>
        <w:t xml:space="preserve"> </w:t>
      </w:r>
      <w:r w:rsidRPr="00761CE2">
        <w:rPr>
          <w:rFonts w:cs="Calibri"/>
          <w:szCs w:val="24"/>
        </w:rPr>
        <w:t>Bulgaria, Belgium, Czech Republic, Germany, Lithuania, Netherland</w:t>
      </w:r>
      <w:r>
        <w:rPr>
          <w:rFonts w:cs="Calibri"/>
          <w:szCs w:val="24"/>
        </w:rPr>
        <w:t>s</w:t>
      </w:r>
      <w:r w:rsidRPr="00761CE2">
        <w:rPr>
          <w:rFonts w:cs="Calibri"/>
          <w:szCs w:val="24"/>
        </w:rPr>
        <w:t>, Sweden, United Kingdom</w:t>
      </w:r>
    </w:p>
    <w:p w14:paraId="1278B6BD" w14:textId="77777777" w:rsidR="00F3674C" w:rsidRDefault="00F3674C" w:rsidP="008C6213">
      <w:pPr>
        <w:pStyle w:val="Heading3"/>
      </w:pPr>
      <w:r>
        <w:t>4.4.1</w:t>
      </w:r>
      <w:r>
        <w:tab/>
        <w:t>Summary</w:t>
      </w:r>
    </w:p>
    <w:p w14:paraId="3C072D47" w14:textId="36CBE786" w:rsidR="00F3674C" w:rsidRDefault="00F3674C" w:rsidP="00F3674C">
      <w:pPr>
        <w:jc w:val="both"/>
      </w:pPr>
      <w:r>
        <w:t>Bulgaria, the Czech Republic, Germany, Lithuania, the Netherlands, Sweden and the United Kingdom thank the Chair of the Expert Group, participants and the TSB for their work on the review of the ITRs. This contribution sets out proposals for the content and structure of the final report that will be submitted to the Council 2026 in line with Annex 1 of Council Resolution 1379 (Mod</w:t>
      </w:r>
      <w:r w:rsidR="001518B4">
        <w:t>.</w:t>
      </w:r>
      <w:r>
        <w:t xml:space="preserve"> 2023). </w:t>
      </w:r>
    </w:p>
    <w:p w14:paraId="7A60D49B" w14:textId="77777777" w:rsidR="00F3674C" w:rsidRDefault="00F3674C" w:rsidP="00F3674C">
      <w:pPr>
        <w:overflowPunct/>
        <w:autoSpaceDE/>
        <w:autoSpaceDN/>
        <w:snapToGrid w:val="0"/>
        <w:spacing w:before="360" w:after="120"/>
        <w:jc w:val="both"/>
        <w:textAlignment w:val="auto"/>
        <w:rPr>
          <w:rFonts w:cs="Calibri"/>
          <w:b/>
          <w:szCs w:val="24"/>
        </w:rPr>
      </w:pPr>
      <w:r>
        <w:rPr>
          <w:rFonts w:cs="Calibri"/>
          <w:b/>
          <w:szCs w:val="24"/>
        </w:rPr>
        <w:t>4.4.2</w:t>
      </w:r>
      <w:r>
        <w:rPr>
          <w:rFonts w:cs="Calibri"/>
          <w:b/>
          <w:szCs w:val="24"/>
        </w:rPr>
        <w:tab/>
        <w:t>Discussion</w:t>
      </w:r>
    </w:p>
    <w:p w14:paraId="6FC93A03" w14:textId="1EF4CC2B" w:rsidR="00F3674C" w:rsidRDefault="00F3674C" w:rsidP="00D55ED1">
      <w:pPr>
        <w:pStyle w:val="enumlev1"/>
        <w:jc w:val="both"/>
      </w:pPr>
      <w:r>
        <w:t>a)</w:t>
      </w:r>
      <w:r>
        <w:tab/>
        <w:t xml:space="preserve">Some members expressed support for this contribution stating that it aligns with the </w:t>
      </w:r>
      <w:r w:rsidR="00C07DDC">
        <w:t>ToR</w:t>
      </w:r>
      <w:r>
        <w:t xml:space="preserve"> of the Group as well as past precedents of the final reports of previous expert groups. Some members were of the opinion that there is alignment between this proposal and the proposal set out in </w:t>
      </w:r>
      <w:r w:rsidR="001518B4">
        <w:t xml:space="preserve">contribution </w:t>
      </w:r>
      <w:r>
        <w:t xml:space="preserve">4, with the exception of the </w:t>
      </w:r>
      <w:r w:rsidR="007F4E06">
        <w:t>annex</w:t>
      </w:r>
      <w:r>
        <w:t xml:space="preserve"> presented in the latter. Some members suggested that the </w:t>
      </w:r>
      <w:r w:rsidR="00C07DDC">
        <w:t xml:space="preserve">ToR </w:t>
      </w:r>
      <w:r>
        <w:t>of this Group include the phrase “among others” in the context of the review to be done by the Group and that this should be reflected in the content of the Final Report as well.</w:t>
      </w:r>
    </w:p>
    <w:p w14:paraId="15C38119" w14:textId="7700F902" w:rsidR="00F3674C" w:rsidRDefault="00F3674C" w:rsidP="00D55ED1">
      <w:pPr>
        <w:pStyle w:val="enumlev1"/>
        <w:jc w:val="both"/>
      </w:pPr>
      <w:r>
        <w:lastRenderedPageBreak/>
        <w:t>b)</w:t>
      </w:r>
      <w:r>
        <w:tab/>
        <w:t xml:space="preserve">Some members suggested that the Final Report reflect all inputs submitted in writing and verbally. Some members noted that overall observations on the ITRs is an important part of the Final Report which should be included. Some members noted that overall observations had been addressed in the 2022 report and that the </w:t>
      </w:r>
      <w:r w:rsidR="00C07DDC">
        <w:t xml:space="preserve">ToR </w:t>
      </w:r>
      <w:r>
        <w:t xml:space="preserve">instructed the Group to make use of the work of the previous group. </w:t>
      </w:r>
    </w:p>
    <w:p w14:paraId="083C673D" w14:textId="786E815E" w:rsidR="00F3674C" w:rsidRDefault="00F3674C" w:rsidP="00D55ED1">
      <w:pPr>
        <w:pStyle w:val="enumlev1"/>
        <w:jc w:val="both"/>
      </w:pPr>
      <w:r>
        <w:t>c)</w:t>
      </w:r>
      <w:r>
        <w:tab/>
        <w:t xml:space="preserve">With respect to the </w:t>
      </w:r>
      <w:r w:rsidR="007F4E06">
        <w:t>annex</w:t>
      </w:r>
      <w:r>
        <w:t xml:space="preserve">, some members were of the opinion that it is an important part of the analysis that the Group has done and the previous group’s detailed analysis does not preclude this Group from also engaging in this work. Some members highlighted that a balanced summary of views highlighting the new items discussed by the Group is sufficient for the purpose of the Final Report of this group and that they would prefer to avoid duplication of work previously done. </w:t>
      </w:r>
    </w:p>
    <w:p w14:paraId="105149C2" w14:textId="22F8C7CA" w:rsidR="00F3674C" w:rsidRDefault="00F3674C" w:rsidP="00D55ED1">
      <w:pPr>
        <w:pStyle w:val="enumlev1"/>
        <w:jc w:val="both"/>
      </w:pPr>
      <w:r>
        <w:t>d)</w:t>
      </w:r>
      <w:r>
        <w:tab/>
        <w:t xml:space="preserve">Some members suggested that the </w:t>
      </w:r>
      <w:r w:rsidR="00C07DDC">
        <w:t xml:space="preserve">ToR </w:t>
      </w:r>
      <w:r>
        <w:t>specifically mandate this Group to take into account the work of previous groups and</w:t>
      </w:r>
      <w:r w:rsidR="001518B4">
        <w:t>,</w:t>
      </w:r>
      <w:r>
        <w:t xml:space="preserve"> therefore</w:t>
      </w:r>
      <w:r w:rsidR="001518B4">
        <w:t>,</w:t>
      </w:r>
      <w:r>
        <w:t xml:space="preserve"> the </w:t>
      </w:r>
      <w:r w:rsidR="001518B4">
        <w:t xml:space="preserve">annex </w:t>
      </w:r>
      <w:r>
        <w:t xml:space="preserve">would be useful to present the work of the previous group along with indicating the new matters discussed within this Group. Some members suggested including links to the work of previous groups in the Final Report and that there is no need to preproduce the </w:t>
      </w:r>
      <w:r w:rsidR="007F4E06">
        <w:t>annex</w:t>
      </w:r>
      <w:r>
        <w:t xml:space="preserve"> for this purpose. </w:t>
      </w:r>
    </w:p>
    <w:p w14:paraId="19874C9A" w14:textId="698FCCE0" w:rsidR="00F3674C" w:rsidRPr="006C7231" w:rsidRDefault="00F3674C" w:rsidP="00D55ED1">
      <w:pPr>
        <w:pStyle w:val="enumlev1"/>
        <w:jc w:val="both"/>
      </w:pPr>
      <w:r w:rsidRPr="006C7231">
        <w:t>e)</w:t>
      </w:r>
      <w:r w:rsidRPr="006C7231">
        <w:tab/>
      </w:r>
      <w:r>
        <w:t xml:space="preserve">It was agreed to hold informal discussions to come to a consensus based on contributions 4 and 8 on a structure and outline of the Final Report (see </w:t>
      </w:r>
      <w:r w:rsidR="00D659E4">
        <w:t xml:space="preserve">section </w:t>
      </w:r>
      <w:r>
        <w:t xml:space="preserve">5 below). </w:t>
      </w:r>
    </w:p>
    <w:p w14:paraId="6D7DA40B" w14:textId="5CD7F196" w:rsidR="00F3674C" w:rsidRPr="00962BD6" w:rsidRDefault="00F3674C" w:rsidP="00F3674C">
      <w:pPr>
        <w:pStyle w:val="Heading1"/>
        <w:spacing w:before="360"/>
      </w:pPr>
      <w:r>
        <w:t>5</w:t>
      </w:r>
      <w:r w:rsidRPr="00962BD6">
        <w:tab/>
      </w:r>
      <w:r>
        <w:t xml:space="preserve">Discussion on </w:t>
      </w:r>
      <w:r w:rsidR="009F13E2" w:rsidRPr="00962BD6">
        <w:t>next steps</w:t>
      </w:r>
    </w:p>
    <w:p w14:paraId="080B36E8" w14:textId="77777777" w:rsidR="00F3674C" w:rsidRDefault="00F3674C" w:rsidP="00D55ED1">
      <w:pPr>
        <w:pStyle w:val="Heading2"/>
        <w:rPr>
          <w:bCs/>
        </w:rPr>
      </w:pPr>
      <w:r w:rsidRPr="00295FC9">
        <w:t>5.1</w:t>
      </w:r>
      <w:r w:rsidRPr="00962BD6">
        <w:rPr>
          <w:bCs/>
        </w:rPr>
        <w:tab/>
      </w:r>
      <w:r w:rsidRPr="000E2390">
        <w:t>Outline of the Final Report</w:t>
      </w:r>
    </w:p>
    <w:p w14:paraId="31460DF7" w14:textId="3D6274C5" w:rsidR="00F3674C" w:rsidRDefault="00F3674C" w:rsidP="00D55ED1">
      <w:pPr>
        <w:jc w:val="both"/>
        <w:rPr>
          <w:rFonts w:eastAsia="Calibri"/>
          <w:lang w:eastAsia="zh-CN"/>
        </w:rPr>
      </w:pPr>
      <w:r w:rsidRPr="00295FC9">
        <w:rPr>
          <w:b/>
        </w:rPr>
        <w:t>5.1.1</w:t>
      </w:r>
      <w:r w:rsidRPr="00295FC9">
        <w:rPr>
          <w:b/>
        </w:rPr>
        <w:tab/>
      </w:r>
      <w:r w:rsidRPr="00962BD6">
        <w:t xml:space="preserve">The Chair </w:t>
      </w:r>
      <w:r>
        <w:t xml:space="preserve">proposed informal discussions to work on a structure and outline of the Final Report of this Group to Council 2026. The output from this discussion was set out in </w:t>
      </w:r>
      <w:r w:rsidR="00D659E4">
        <w:t>Document </w:t>
      </w:r>
      <w:r w:rsidRPr="005E2B57">
        <w:rPr>
          <w:rFonts w:eastAsia="Calibri"/>
          <w:lang w:eastAsia="zh-CN"/>
        </w:rPr>
        <w:t>EG-ITRs-4/DL/1</w:t>
      </w:r>
      <w:r>
        <w:rPr>
          <w:rFonts w:eastAsia="Calibri"/>
          <w:lang w:eastAsia="zh-CN"/>
        </w:rPr>
        <w:t xml:space="preserve"> and presented to the meeting for consideration. </w:t>
      </w:r>
    </w:p>
    <w:p w14:paraId="67929299" w14:textId="1EED4A9B" w:rsidR="00F3674C" w:rsidRDefault="00F3674C" w:rsidP="00F3674C">
      <w:pPr>
        <w:jc w:val="both"/>
        <w:rPr>
          <w:rFonts w:eastAsia="Calibri"/>
          <w:lang w:eastAsia="zh-CN"/>
        </w:rPr>
      </w:pPr>
      <w:r w:rsidRPr="00295FC9">
        <w:rPr>
          <w:rFonts w:eastAsia="Calibri"/>
          <w:b/>
          <w:bCs/>
          <w:lang w:eastAsia="zh-CN"/>
        </w:rPr>
        <w:t>5.1.2</w:t>
      </w:r>
      <w:r w:rsidRPr="00295FC9">
        <w:rPr>
          <w:rFonts w:eastAsia="Calibri"/>
          <w:b/>
          <w:bCs/>
          <w:lang w:eastAsia="zh-CN"/>
        </w:rPr>
        <w:tab/>
      </w:r>
      <w:r>
        <w:rPr>
          <w:rFonts w:eastAsia="Calibri"/>
          <w:lang w:eastAsia="zh-CN"/>
        </w:rPr>
        <w:t xml:space="preserve">During the review of the Outline, members discussed </w:t>
      </w:r>
      <w:r w:rsidR="00D659E4">
        <w:rPr>
          <w:rFonts w:eastAsia="Calibri"/>
          <w:lang w:eastAsia="zh-CN"/>
        </w:rPr>
        <w:t xml:space="preserve">the </w:t>
      </w:r>
      <w:r>
        <w:rPr>
          <w:rFonts w:eastAsia="Calibri"/>
          <w:lang w:eastAsia="zh-CN"/>
        </w:rPr>
        <w:t xml:space="preserve">inclusion of an </w:t>
      </w:r>
      <w:r w:rsidR="00D659E4">
        <w:rPr>
          <w:rFonts w:eastAsia="Calibri"/>
          <w:lang w:eastAsia="zh-CN"/>
        </w:rPr>
        <w:t xml:space="preserve">annex </w:t>
      </w:r>
      <w:r>
        <w:rPr>
          <w:rFonts w:eastAsia="Calibri"/>
          <w:lang w:eastAsia="zh-CN"/>
        </w:rPr>
        <w:t xml:space="preserve">in the Final Report. Some members were of the opinion that further study is needed to understand if an </w:t>
      </w:r>
      <w:r w:rsidR="00D659E4">
        <w:rPr>
          <w:rFonts w:eastAsia="Calibri"/>
          <w:lang w:eastAsia="zh-CN"/>
        </w:rPr>
        <w:t xml:space="preserve">annex </w:t>
      </w:r>
      <w:r>
        <w:rPr>
          <w:rFonts w:eastAsia="Calibri"/>
          <w:lang w:eastAsia="zh-CN"/>
        </w:rPr>
        <w:t xml:space="preserve">containing a detailed analysis is necessary for the purpose of the Final Report. Some members were of the opinion </w:t>
      </w:r>
      <w:r w:rsidRPr="006F6F8D">
        <w:t>that</w:t>
      </w:r>
      <w:r>
        <w:rPr>
          <w:rFonts w:eastAsia="Calibri"/>
          <w:lang w:eastAsia="zh-CN"/>
        </w:rPr>
        <w:t xml:space="preserve"> such an </w:t>
      </w:r>
      <w:r w:rsidR="00D659E4">
        <w:rPr>
          <w:rFonts w:eastAsia="Calibri"/>
          <w:lang w:eastAsia="zh-CN"/>
        </w:rPr>
        <w:t xml:space="preserve">annex </w:t>
      </w:r>
      <w:r>
        <w:rPr>
          <w:rFonts w:eastAsia="Calibri"/>
          <w:lang w:eastAsia="zh-CN"/>
        </w:rPr>
        <w:t xml:space="preserve">and detailed table </w:t>
      </w:r>
      <w:r w:rsidR="007F4E06">
        <w:rPr>
          <w:rFonts w:eastAsia="Calibri"/>
          <w:lang w:eastAsia="zh-CN"/>
        </w:rPr>
        <w:t>are</w:t>
      </w:r>
      <w:r>
        <w:rPr>
          <w:rFonts w:eastAsia="Calibri"/>
          <w:lang w:eastAsia="zh-CN"/>
        </w:rPr>
        <w:t xml:space="preserve"> important to convey the scope of the discussions and review by the Group. Some members were of the opinion that such an </w:t>
      </w:r>
      <w:r w:rsidR="00D659E4">
        <w:rPr>
          <w:rFonts w:eastAsia="Calibri"/>
          <w:lang w:eastAsia="zh-CN"/>
        </w:rPr>
        <w:t xml:space="preserve">annex </w:t>
      </w:r>
      <w:r>
        <w:rPr>
          <w:rFonts w:eastAsia="Calibri"/>
          <w:lang w:eastAsia="zh-CN"/>
        </w:rPr>
        <w:t xml:space="preserve">and detailed table is not necessary as the Final Report should align with the EG-ITRs </w:t>
      </w:r>
      <w:r w:rsidR="00C07DDC">
        <w:rPr>
          <w:rFonts w:eastAsia="Calibri"/>
          <w:lang w:eastAsia="zh-CN"/>
        </w:rPr>
        <w:t>ToR</w:t>
      </w:r>
      <w:r>
        <w:rPr>
          <w:rFonts w:eastAsia="Calibri"/>
          <w:lang w:eastAsia="zh-CN"/>
        </w:rPr>
        <w:t xml:space="preserve"> and provide a balanced summary of the views exchanged during the discussions of the Group. </w:t>
      </w:r>
    </w:p>
    <w:p w14:paraId="7D0ED790" w14:textId="11EED6D9" w:rsidR="00F3674C" w:rsidRDefault="00F3674C" w:rsidP="00F3674C">
      <w:pPr>
        <w:jc w:val="both"/>
        <w:rPr>
          <w:rFonts w:eastAsia="Calibri"/>
          <w:lang w:eastAsia="zh-CN"/>
        </w:rPr>
      </w:pPr>
      <w:r w:rsidRPr="00295FC9">
        <w:rPr>
          <w:rFonts w:eastAsia="Calibri"/>
          <w:b/>
          <w:bCs/>
          <w:lang w:eastAsia="zh-CN"/>
        </w:rPr>
        <w:t>5.1.3</w:t>
      </w:r>
      <w:r w:rsidRPr="00295FC9">
        <w:rPr>
          <w:rFonts w:eastAsia="Calibri"/>
          <w:b/>
          <w:bCs/>
          <w:lang w:eastAsia="zh-CN"/>
        </w:rPr>
        <w:tab/>
      </w:r>
      <w:r>
        <w:rPr>
          <w:rFonts w:eastAsia="Calibri"/>
          <w:lang w:eastAsia="zh-CN"/>
        </w:rPr>
        <w:t xml:space="preserve">The meeting agreed to </w:t>
      </w:r>
      <w:r w:rsidRPr="006F6F8D">
        <w:t>the</w:t>
      </w:r>
      <w:r>
        <w:rPr>
          <w:rFonts w:eastAsia="Calibri"/>
          <w:lang w:eastAsia="zh-CN"/>
        </w:rPr>
        <w:t xml:space="preserve"> outline of the Final Report as set out in Annex 1 to this meeting report.</w:t>
      </w:r>
    </w:p>
    <w:p w14:paraId="3D70A34D" w14:textId="77777777" w:rsidR="00F3674C" w:rsidRDefault="00F3674C" w:rsidP="00F3674C">
      <w:pPr>
        <w:jc w:val="both"/>
        <w:rPr>
          <w:rFonts w:eastAsia="Calibri"/>
          <w:lang w:eastAsia="zh-CN"/>
        </w:rPr>
      </w:pPr>
      <w:r w:rsidRPr="00034AE5">
        <w:rPr>
          <w:rFonts w:eastAsia="Calibri"/>
          <w:b/>
          <w:bCs/>
          <w:lang w:eastAsia="zh-CN"/>
        </w:rPr>
        <w:t>5.1.4</w:t>
      </w:r>
      <w:r>
        <w:rPr>
          <w:rFonts w:eastAsia="Calibri"/>
          <w:lang w:eastAsia="zh-CN"/>
        </w:rPr>
        <w:tab/>
        <w:t xml:space="preserve">During the review of the meeting report, the Group requested that the Management Team and the </w:t>
      </w:r>
      <w:r w:rsidRPr="006F6F8D">
        <w:t>Secretariat</w:t>
      </w:r>
      <w:r>
        <w:rPr>
          <w:rFonts w:eastAsia="Calibri"/>
          <w:lang w:eastAsia="zh-CN"/>
        </w:rPr>
        <w:t xml:space="preserve"> produce a first draft version of the Final Report at least one month before the next meeting of the EG-ITRs. </w:t>
      </w:r>
    </w:p>
    <w:p w14:paraId="15896357" w14:textId="77777777" w:rsidR="00F3674C" w:rsidRDefault="00F3674C" w:rsidP="00D55ED1">
      <w:pPr>
        <w:pStyle w:val="Heading2"/>
        <w:rPr>
          <w:rFonts w:eastAsia="Calibri"/>
          <w:lang w:eastAsia="zh-CN"/>
        </w:rPr>
      </w:pPr>
      <w:r w:rsidRPr="00295FC9">
        <w:rPr>
          <w:rFonts w:eastAsia="Calibri"/>
          <w:lang w:eastAsia="zh-CN"/>
        </w:rPr>
        <w:t>5.2</w:t>
      </w:r>
      <w:r w:rsidRPr="00295FC9">
        <w:rPr>
          <w:rFonts w:eastAsia="Calibri"/>
          <w:lang w:eastAsia="zh-CN"/>
        </w:rPr>
        <w:tab/>
      </w:r>
      <w:r w:rsidRPr="000E2390">
        <w:rPr>
          <w:rFonts w:eastAsia="Calibri"/>
          <w:lang w:eastAsia="zh-CN"/>
        </w:rPr>
        <w:t>Meeting Report</w:t>
      </w:r>
    </w:p>
    <w:p w14:paraId="52B4B820" w14:textId="77777777" w:rsidR="00F3674C" w:rsidRDefault="00F3674C" w:rsidP="00F3674C">
      <w:pPr>
        <w:jc w:val="both"/>
        <w:rPr>
          <w:rFonts w:cs="Calibri"/>
          <w:bCs/>
          <w:szCs w:val="24"/>
        </w:rPr>
      </w:pPr>
      <w:r w:rsidRPr="00295FC9">
        <w:rPr>
          <w:rFonts w:eastAsia="Calibri"/>
          <w:b/>
          <w:bCs/>
          <w:lang w:eastAsia="zh-CN"/>
        </w:rPr>
        <w:t>5.2.1</w:t>
      </w:r>
      <w:r w:rsidRPr="00295FC9">
        <w:rPr>
          <w:rFonts w:eastAsia="Calibri"/>
          <w:b/>
          <w:bCs/>
          <w:lang w:eastAsia="zh-CN"/>
        </w:rPr>
        <w:tab/>
      </w:r>
      <w:r>
        <w:rPr>
          <w:rFonts w:eastAsia="Calibri"/>
          <w:lang w:eastAsia="zh-CN"/>
        </w:rPr>
        <w:t xml:space="preserve">The Chair </w:t>
      </w:r>
      <w:r w:rsidRPr="006F6F8D">
        <w:t>presented</w:t>
      </w:r>
      <w:r w:rsidRPr="00962BD6">
        <w:rPr>
          <w:rFonts w:cs="Calibri"/>
          <w:bCs/>
          <w:szCs w:val="24"/>
        </w:rPr>
        <w:t xml:space="preserve"> the draft report of the </w:t>
      </w:r>
      <w:r>
        <w:rPr>
          <w:rFonts w:cs="Calibri"/>
          <w:bCs/>
          <w:szCs w:val="24"/>
        </w:rPr>
        <w:t>fourth</w:t>
      </w:r>
      <w:r w:rsidRPr="00962BD6">
        <w:rPr>
          <w:rFonts w:cs="Calibri"/>
          <w:bCs/>
          <w:szCs w:val="24"/>
        </w:rPr>
        <w:t xml:space="preserve"> meeting to the Group for approval. Members considered the</w:t>
      </w:r>
      <w:r>
        <w:rPr>
          <w:rFonts w:cs="Calibri"/>
          <w:bCs/>
          <w:szCs w:val="24"/>
        </w:rPr>
        <w:t xml:space="preserve"> meeting</w:t>
      </w:r>
      <w:r w:rsidRPr="00962BD6">
        <w:rPr>
          <w:rFonts w:cs="Calibri"/>
          <w:bCs/>
          <w:szCs w:val="24"/>
        </w:rPr>
        <w:t xml:space="preserve"> </w:t>
      </w:r>
      <w:r>
        <w:rPr>
          <w:rFonts w:cs="Calibri"/>
          <w:bCs/>
          <w:szCs w:val="24"/>
        </w:rPr>
        <w:t>r</w:t>
      </w:r>
      <w:r w:rsidRPr="00962BD6">
        <w:rPr>
          <w:rFonts w:cs="Calibri"/>
          <w:bCs/>
          <w:szCs w:val="24"/>
        </w:rPr>
        <w:t xml:space="preserve">eport and suggested modifications. </w:t>
      </w:r>
    </w:p>
    <w:p w14:paraId="7A089450" w14:textId="77777777" w:rsidR="00F3674C" w:rsidRDefault="00F3674C" w:rsidP="00F3674C">
      <w:pPr>
        <w:jc w:val="both"/>
        <w:rPr>
          <w:rFonts w:cs="Calibri"/>
          <w:bCs/>
          <w:szCs w:val="24"/>
        </w:rPr>
      </w:pPr>
      <w:r w:rsidRPr="00295FC9">
        <w:rPr>
          <w:b/>
          <w:bCs/>
        </w:rPr>
        <w:lastRenderedPageBreak/>
        <w:t>5.2.2</w:t>
      </w:r>
      <w:r w:rsidRPr="00295FC9">
        <w:rPr>
          <w:b/>
          <w:bCs/>
        </w:rPr>
        <w:tab/>
      </w:r>
      <w:r w:rsidRPr="000E2390">
        <w:rPr>
          <w:rFonts w:cs="Calibri"/>
          <w:bCs/>
          <w:szCs w:val="24"/>
        </w:rPr>
        <w:t xml:space="preserve">The draft </w:t>
      </w:r>
      <w:r w:rsidRPr="006F6F8D">
        <w:t>meeting</w:t>
      </w:r>
      <w:r w:rsidRPr="000E2390">
        <w:rPr>
          <w:rFonts w:cs="Calibri"/>
          <w:bCs/>
          <w:szCs w:val="24"/>
        </w:rPr>
        <w:t xml:space="preserve"> report was agreed for </w:t>
      </w:r>
      <w:r w:rsidRPr="000E2390">
        <w:rPr>
          <w:lang w:val="en-US"/>
        </w:rPr>
        <w:t>publication</w:t>
      </w:r>
      <w:r w:rsidRPr="000E2390">
        <w:rPr>
          <w:rFonts w:cs="Calibri"/>
          <w:bCs/>
          <w:szCs w:val="24"/>
        </w:rPr>
        <w:t xml:space="preserve"> by the Secretariat.</w:t>
      </w:r>
    </w:p>
    <w:p w14:paraId="3BCD1309" w14:textId="77777777" w:rsidR="00F3674C" w:rsidRPr="00034AE5" w:rsidRDefault="00F3674C" w:rsidP="00F3674C">
      <w:pPr>
        <w:jc w:val="both"/>
        <w:rPr>
          <w:rFonts w:cs="Calibri"/>
          <w:b/>
          <w:szCs w:val="24"/>
        </w:rPr>
      </w:pPr>
      <w:r w:rsidRPr="00034AE5">
        <w:rPr>
          <w:rFonts w:cs="Calibri"/>
          <w:b/>
          <w:szCs w:val="24"/>
        </w:rPr>
        <w:t>5.3</w:t>
      </w:r>
      <w:r w:rsidRPr="00034AE5">
        <w:rPr>
          <w:rFonts w:cs="Calibri"/>
          <w:b/>
          <w:szCs w:val="24"/>
        </w:rPr>
        <w:tab/>
        <w:t>Progress Report</w:t>
      </w:r>
      <w:r>
        <w:rPr>
          <w:rFonts w:cs="Calibri"/>
          <w:b/>
          <w:szCs w:val="24"/>
        </w:rPr>
        <w:t xml:space="preserve"> to Council 2025</w:t>
      </w:r>
    </w:p>
    <w:p w14:paraId="456014A4" w14:textId="13AEF23C" w:rsidR="00F3674C" w:rsidRDefault="00F3674C" w:rsidP="006F6F8D">
      <w:pPr>
        <w:jc w:val="both"/>
      </w:pPr>
      <w:r>
        <w:t xml:space="preserve">In keeping with past practice, the meeting agreed that the third and fourth meeting reports of the Group, held in September-October 2024 and February 2025 respectively, will be presented and hyperlinked in a short document by the Chair and submitted as a Progress Report to be presented to Council 2025. </w:t>
      </w:r>
    </w:p>
    <w:p w14:paraId="565F86D7" w14:textId="77777777" w:rsidR="00F3674C" w:rsidRDefault="00F3674C" w:rsidP="00F3674C">
      <w:pPr>
        <w:pStyle w:val="Heading1"/>
        <w:spacing w:before="360"/>
      </w:pPr>
      <w:r>
        <w:t>6</w:t>
      </w:r>
      <w:r w:rsidRPr="00962BD6">
        <w:tab/>
      </w:r>
      <w:r>
        <w:t xml:space="preserve">Any </w:t>
      </w:r>
      <w:r w:rsidRPr="00962BD6">
        <w:t>other business</w:t>
      </w:r>
    </w:p>
    <w:p w14:paraId="29C4BF59" w14:textId="77777777" w:rsidR="00F3674C" w:rsidRDefault="00F3674C" w:rsidP="00F3674C">
      <w:pPr>
        <w:jc w:val="both"/>
      </w:pPr>
      <w:r>
        <w:t>6.1</w:t>
      </w:r>
      <w:r>
        <w:tab/>
        <w:t xml:space="preserve">Some members requested that their statements be attached as annexes to this meeting report. These are reflected in Annex 2 and Annex 3. </w:t>
      </w:r>
    </w:p>
    <w:p w14:paraId="605F9CC1" w14:textId="0F5482D4" w:rsidR="00F3674C" w:rsidRPr="00962BD6" w:rsidRDefault="00F3674C" w:rsidP="00F3674C">
      <w:pPr>
        <w:pStyle w:val="Heading1"/>
        <w:spacing w:before="360"/>
      </w:pPr>
      <w:r>
        <w:t>7</w:t>
      </w:r>
      <w:r w:rsidRPr="00962BD6">
        <w:tab/>
        <w:t xml:space="preserve">Closing of the </w:t>
      </w:r>
      <w:r w:rsidR="00D659E4" w:rsidRPr="00962BD6">
        <w:t>meeting</w:t>
      </w:r>
    </w:p>
    <w:p w14:paraId="4F0D89C7" w14:textId="77777777" w:rsidR="00F3674C" w:rsidRPr="00962BD6" w:rsidRDefault="00F3674C" w:rsidP="00F3674C">
      <w:pPr>
        <w:jc w:val="both"/>
        <w:rPr>
          <w:rFonts w:cs="Calibri"/>
          <w:b/>
          <w:szCs w:val="24"/>
        </w:rPr>
      </w:pPr>
      <w:r w:rsidRPr="00962BD6">
        <w:rPr>
          <w:rFonts w:cs="Calibri"/>
          <w:szCs w:val="24"/>
        </w:rPr>
        <w:t>In closing, the Chair thanked all the ITU Member States and Sector Members who made contributions and participated in the work of the Expert Group, the Vice-Chairs, and ITU Elected Officials</w:t>
      </w:r>
      <w:r>
        <w:rPr>
          <w:rFonts w:cs="Calibri"/>
          <w:szCs w:val="24"/>
        </w:rPr>
        <w:t xml:space="preserve">, </w:t>
      </w:r>
      <w:r w:rsidRPr="00962BD6">
        <w:rPr>
          <w:rFonts w:cs="Calibri"/>
          <w:szCs w:val="24"/>
        </w:rPr>
        <w:t>the Secretariat</w:t>
      </w:r>
      <w:r>
        <w:rPr>
          <w:rFonts w:cs="Calibri"/>
          <w:szCs w:val="24"/>
        </w:rPr>
        <w:t xml:space="preserve">, the interpreters and the remote moderator </w:t>
      </w:r>
      <w:r w:rsidRPr="00962BD6">
        <w:rPr>
          <w:rFonts w:cs="Calibri"/>
          <w:szCs w:val="24"/>
        </w:rPr>
        <w:t xml:space="preserve">for their efficient assistance during the meeting. </w:t>
      </w:r>
      <w:r>
        <w:rPr>
          <w:rFonts w:cs="Calibri"/>
          <w:szCs w:val="24"/>
        </w:rPr>
        <w:t xml:space="preserve">The meeting thanked the Chair, the Vice Chairs, the Secretariat, the interpreters and the remote moderator for their efficient support. </w:t>
      </w:r>
    </w:p>
    <w:p w14:paraId="556B8630" w14:textId="77777777" w:rsidR="00F3674C" w:rsidRDefault="00F3674C" w:rsidP="006F6F8D">
      <w:pPr>
        <w:pStyle w:val="Signature"/>
      </w:pPr>
      <w:r>
        <w:tab/>
      </w:r>
      <w:r w:rsidRPr="00962BD6">
        <w:t>Shahira Selim (Egypt)</w:t>
      </w:r>
      <w:r>
        <w:br/>
      </w:r>
      <w:r>
        <w:tab/>
      </w:r>
      <w:r w:rsidRPr="00962BD6">
        <w:t>Chair</w:t>
      </w:r>
    </w:p>
    <w:p w14:paraId="2997674B" w14:textId="77777777" w:rsidR="006F6F8D" w:rsidRDefault="00F3674C" w:rsidP="006F6F8D">
      <w:pPr>
        <w:pStyle w:val="AnnexNo"/>
      </w:pPr>
      <w:r>
        <w:br w:type="page"/>
      </w:r>
      <w:r>
        <w:lastRenderedPageBreak/>
        <w:t>Annex 1</w:t>
      </w:r>
    </w:p>
    <w:p w14:paraId="1907B2AF" w14:textId="4B6AD717" w:rsidR="00F3674C" w:rsidRPr="00784B52" w:rsidRDefault="00F3674C" w:rsidP="006F6F8D">
      <w:pPr>
        <w:pStyle w:val="Annextitle"/>
      </w:pPr>
      <w:r w:rsidRPr="00784B52">
        <w:t>Outline of the Final Report</w:t>
      </w:r>
    </w:p>
    <w:p w14:paraId="25AB53B8" w14:textId="4D6C9955" w:rsidR="006F6F8D" w:rsidRDefault="00F3674C" w:rsidP="006F6F8D">
      <w:pPr>
        <w:pStyle w:val="Heading1"/>
      </w:pPr>
      <w:r w:rsidRPr="00784B52">
        <w:t>1</w:t>
      </w:r>
      <w:r w:rsidR="006F6F8D">
        <w:tab/>
      </w:r>
      <w:r w:rsidRPr="00784B52">
        <w:t>Introduction and background</w:t>
      </w:r>
    </w:p>
    <w:p w14:paraId="575EB5D8" w14:textId="17B60B39" w:rsidR="00F3674C" w:rsidRPr="006F6F8D" w:rsidRDefault="00F3674C" w:rsidP="006F6F8D">
      <w:pPr>
        <w:pStyle w:val="EditorsNote"/>
        <w:rPr>
          <w:b/>
        </w:rPr>
      </w:pPr>
      <w:r w:rsidRPr="006F6F8D">
        <w:t>This section should briefly set out the work of the Expert Group, reference the key documents that led to its establishment, detail its Terms of Reference, and provide hyperlinks to the work of the previous groups.</w:t>
      </w:r>
    </w:p>
    <w:p w14:paraId="67730A3D" w14:textId="77777777" w:rsidR="00F3674C" w:rsidRPr="00784B52" w:rsidRDefault="00F3674C" w:rsidP="006F6F8D">
      <w:r w:rsidRPr="00784B52">
        <w:br w:type="page"/>
      </w:r>
    </w:p>
    <w:p w14:paraId="14A68955" w14:textId="39378693" w:rsidR="008372AB" w:rsidRDefault="00F3674C" w:rsidP="008372AB">
      <w:pPr>
        <w:pStyle w:val="Heading1"/>
      </w:pPr>
      <w:r w:rsidRPr="00784B52">
        <w:lastRenderedPageBreak/>
        <w:t>2</w:t>
      </w:r>
      <w:r w:rsidR="008372AB">
        <w:tab/>
      </w:r>
      <w:r w:rsidRPr="00784B52">
        <w:t>Activities of the EG-ITRs</w:t>
      </w:r>
    </w:p>
    <w:p w14:paraId="7066D5A3" w14:textId="16F8FA21" w:rsidR="00F3674C" w:rsidRDefault="00F3674C" w:rsidP="008372AB">
      <w:pPr>
        <w:pStyle w:val="EditorsNote"/>
        <w:sectPr w:rsidR="00F3674C"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pPr>
      <w:r w:rsidRPr="00784B52">
        <w:t>This section should link the reports of the six meetings of the EG-ITRs as well as the contributions received for each meeting in the format set out below (in keeping with past precedents).</w:t>
      </w:r>
    </w:p>
    <w:p w14:paraId="4ACE1151" w14:textId="5731AFE2" w:rsidR="00F3674C" w:rsidRPr="00784B52" w:rsidRDefault="00F3674C" w:rsidP="008372AB">
      <w:pPr>
        <w:pStyle w:val="Heading3"/>
      </w:pPr>
      <w:r w:rsidRPr="00784B52">
        <w:rPr>
          <w:bCs/>
        </w:rPr>
        <w:lastRenderedPageBreak/>
        <w:t>2.1.1</w:t>
      </w:r>
      <w:r w:rsidR="008372AB">
        <w:rPr>
          <w:bCs/>
        </w:rPr>
        <w:tab/>
      </w:r>
      <w:r w:rsidRPr="00784B52">
        <w:rPr>
          <w:bCs/>
        </w:rPr>
        <w:t>First meeting, 16 October 2023 (</w:t>
      </w:r>
      <w:hyperlink r:id="rId23" w:history="1">
        <w:r w:rsidRPr="00784B52">
          <w:rPr>
            <w:rStyle w:val="Hyperlink"/>
            <w:bCs/>
          </w:rPr>
          <w:t>see report</w:t>
        </w:r>
      </w:hyperlink>
      <w:r w:rsidRPr="00784B52">
        <w:rPr>
          <w:bCs/>
        </w:rPr>
        <w:t>)</w:t>
      </w:r>
      <w:r w:rsidRPr="00784B52">
        <w:t>:</w:t>
      </w:r>
      <w:r w:rsidRPr="00E76B0D">
        <w:rPr>
          <w:b w:val="0"/>
          <w:bCs/>
        </w:rPr>
        <w:t xml:space="preserve"> At the first meeting, the EG-ITRs </w:t>
      </w:r>
      <w:r w:rsidR="008372AB" w:rsidRPr="00E76B0D">
        <w:rPr>
          <w:b w:val="0"/>
          <w:bCs/>
        </w:rPr>
        <w:t>Summarize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2010"/>
      </w:tblGrid>
      <w:tr w:rsidR="00F3674C" w:rsidRPr="00784B52" w14:paraId="0EBD164E" w14:textId="77777777" w:rsidTr="00AB6F73">
        <w:trPr>
          <w:trHeight w:val="778"/>
        </w:trPr>
        <w:tc>
          <w:tcPr>
            <w:tcW w:w="707" w:type="pct"/>
            <w:hideMark/>
          </w:tcPr>
          <w:p w14:paraId="5E7B23AB" w14:textId="35EF54F7" w:rsidR="00F3674C" w:rsidRPr="00784B52" w:rsidRDefault="00F3674C" w:rsidP="008372AB">
            <w:pPr>
              <w:pStyle w:val="Tabletext"/>
              <w:rPr>
                <w:lang w:val="en-US"/>
              </w:rPr>
            </w:pPr>
            <w:r w:rsidRPr="00784B52">
              <w:rPr>
                <w:lang w:val="en-US"/>
              </w:rPr>
              <w:t xml:space="preserve">Contributions received at the </w:t>
            </w:r>
            <w:r w:rsidR="00AB6F73" w:rsidRPr="00784B52">
              <w:rPr>
                <w:lang w:val="en-US"/>
              </w:rPr>
              <w:t xml:space="preserve">first </w:t>
            </w:r>
            <w:r w:rsidR="00D659E4" w:rsidRPr="00784B52">
              <w:rPr>
                <w:lang w:val="en-US"/>
              </w:rPr>
              <w:t>meeting</w:t>
            </w:r>
          </w:p>
        </w:tc>
        <w:tc>
          <w:tcPr>
            <w:tcW w:w="4293" w:type="pct"/>
            <w:hideMark/>
          </w:tcPr>
          <w:p w14:paraId="35144FC2" w14:textId="5300311D" w:rsidR="00F3674C" w:rsidRPr="00784B52" w:rsidRDefault="008372AB" w:rsidP="008372AB">
            <w:pPr>
              <w:pStyle w:val="Tabletext"/>
              <w:ind w:left="284" w:hanging="284"/>
              <w:rPr>
                <w:lang w:val="en-US"/>
              </w:rPr>
            </w:pPr>
            <w:r>
              <w:rPr>
                <w:lang w:val="en-US"/>
              </w:rPr>
              <w:t>–</w:t>
            </w:r>
            <w:r>
              <w:rPr>
                <w:lang w:val="en-US"/>
              </w:rPr>
              <w:tab/>
            </w:r>
            <w:r w:rsidR="00F3674C" w:rsidRPr="00784B52">
              <w:rPr>
                <w:lang w:val="en-US"/>
              </w:rPr>
              <w:t>Draft Agenda (Doc</w:t>
            </w:r>
            <w:r w:rsidR="00AB6F73">
              <w:rPr>
                <w:lang w:val="en-US"/>
              </w:rPr>
              <w:t>.</w:t>
            </w:r>
            <w:r w:rsidR="00F3674C" w:rsidRPr="00784B52">
              <w:rPr>
                <w:lang w:val="en-US"/>
              </w:rPr>
              <w:t xml:space="preserve"> </w:t>
            </w:r>
            <w:hyperlink r:id="rId24" w:history="1">
              <w:r w:rsidR="00F3674C" w:rsidRPr="00784B52">
                <w:rPr>
                  <w:rStyle w:val="Hyperlink"/>
                  <w:lang w:val="en-US"/>
                </w:rPr>
                <w:t>EG-ITRs-1/1</w:t>
              </w:r>
            </w:hyperlink>
            <w:r w:rsidR="00F3674C" w:rsidRPr="00784B52">
              <w:rPr>
                <w:lang w:val="en-US"/>
              </w:rPr>
              <w:t>): Contribution by the Chair</w:t>
            </w:r>
          </w:p>
          <w:p w14:paraId="674489E2" w14:textId="5EE87737" w:rsidR="00F3674C" w:rsidRPr="00784B52" w:rsidRDefault="008372AB" w:rsidP="008372AB">
            <w:pPr>
              <w:pStyle w:val="Tabletext"/>
              <w:ind w:left="284" w:hanging="284"/>
              <w:rPr>
                <w:lang w:val="en-US"/>
              </w:rPr>
            </w:pPr>
            <w:r>
              <w:rPr>
                <w:lang w:val="en-US"/>
              </w:rPr>
              <w:t>–</w:t>
            </w:r>
            <w:r>
              <w:rPr>
                <w:lang w:val="en-US"/>
              </w:rPr>
              <w:tab/>
            </w:r>
            <w:r w:rsidR="00F3674C" w:rsidRPr="00784B52">
              <w:rPr>
                <w:lang w:val="en-US"/>
              </w:rPr>
              <w:t>Overall considerations (Doc</w:t>
            </w:r>
            <w:r w:rsidR="00AB6F73">
              <w:rPr>
                <w:lang w:val="en-US"/>
              </w:rPr>
              <w:t>.</w:t>
            </w:r>
            <w:r w:rsidR="00F3674C" w:rsidRPr="00784B52">
              <w:rPr>
                <w:lang w:val="en-US"/>
              </w:rPr>
              <w:t xml:space="preserve"> </w:t>
            </w:r>
            <w:hyperlink r:id="rId25" w:history="1">
              <w:r w:rsidR="00F3674C" w:rsidRPr="00784B52">
                <w:rPr>
                  <w:rStyle w:val="Hyperlink"/>
                  <w:lang w:val="en-US"/>
                </w:rPr>
                <w:t>EG-ITRs-1/2</w:t>
              </w:r>
            </w:hyperlink>
            <w:r w:rsidR="00F3674C" w:rsidRPr="00784B52">
              <w:rPr>
                <w:lang w:val="en-US"/>
              </w:rPr>
              <w:t>): Contribution by Hill</w:t>
            </w:r>
          </w:p>
          <w:p w14:paraId="4B6A9D16" w14:textId="01638B2C" w:rsidR="00F3674C" w:rsidRPr="00784B52" w:rsidRDefault="008372AB" w:rsidP="008372AB">
            <w:pPr>
              <w:pStyle w:val="Tabletext"/>
              <w:ind w:left="284" w:hanging="284"/>
              <w:rPr>
                <w:lang w:val="en-US"/>
              </w:rPr>
            </w:pPr>
            <w:r>
              <w:rPr>
                <w:lang w:val="en-US"/>
              </w:rPr>
              <w:t>–</w:t>
            </w:r>
            <w:r>
              <w:rPr>
                <w:lang w:val="en-US"/>
              </w:rPr>
              <w:tab/>
            </w:r>
            <w:r w:rsidR="00F3674C" w:rsidRPr="00784B52">
              <w:rPr>
                <w:lang w:val="en-US"/>
              </w:rPr>
              <w:t>Proposal for working methods and work plan of EG-ITRs (Doc</w:t>
            </w:r>
            <w:r w:rsidR="00AB6F73">
              <w:rPr>
                <w:lang w:val="en-US"/>
              </w:rPr>
              <w:t>.</w:t>
            </w:r>
            <w:r w:rsidR="00F3674C" w:rsidRPr="00784B52">
              <w:rPr>
                <w:lang w:val="en-US"/>
              </w:rPr>
              <w:t xml:space="preserve"> </w:t>
            </w:r>
            <w:hyperlink r:id="rId26" w:history="1">
              <w:r w:rsidR="00F3674C" w:rsidRPr="00784B52">
                <w:rPr>
                  <w:rStyle w:val="Hyperlink"/>
                  <w:lang w:val="en-US"/>
                </w:rPr>
                <w:t>EG-ITRs-1/3</w:t>
              </w:r>
            </w:hyperlink>
            <w:r w:rsidR="00F3674C" w:rsidRPr="00784B52">
              <w:rPr>
                <w:lang w:val="en-US"/>
              </w:rPr>
              <w:t xml:space="preserve">): Contribution by Hill </w:t>
            </w:r>
          </w:p>
          <w:p w14:paraId="541923BE" w14:textId="1638377E" w:rsidR="00F3674C" w:rsidRPr="00784B52" w:rsidRDefault="008372AB" w:rsidP="008372AB">
            <w:pPr>
              <w:pStyle w:val="Tabletext"/>
              <w:ind w:left="284" w:hanging="284"/>
              <w:rPr>
                <w:lang w:val="en-US"/>
              </w:rPr>
            </w:pPr>
            <w:r>
              <w:rPr>
                <w:lang w:val="en-US"/>
              </w:rPr>
              <w:t>–</w:t>
            </w:r>
            <w:r>
              <w:rPr>
                <w:lang w:val="en-US"/>
              </w:rPr>
              <w:tab/>
            </w:r>
            <w:r w:rsidR="00F3674C" w:rsidRPr="00784B52">
              <w:rPr>
                <w:lang w:val="en-US"/>
              </w:rPr>
              <w:t>On the structure of the interim and final reports of the EG-ITRs to the Council on the results of studying issues relating the ITRs, including its consideration, and the work plan of the EG-ITRs for the period of 2024-2026 (Doc</w:t>
            </w:r>
            <w:r w:rsidR="00AB6F73">
              <w:rPr>
                <w:lang w:val="en-US"/>
              </w:rPr>
              <w:t>.</w:t>
            </w:r>
            <w:r w:rsidR="00F3674C" w:rsidRPr="00784B52">
              <w:rPr>
                <w:lang w:val="en-US"/>
              </w:rPr>
              <w:t xml:space="preserve"> </w:t>
            </w:r>
            <w:hyperlink r:id="rId27" w:history="1">
              <w:r w:rsidR="00F3674C" w:rsidRPr="00784B52">
                <w:rPr>
                  <w:rStyle w:val="Hyperlink"/>
                  <w:lang w:val="en-US"/>
                </w:rPr>
                <w:t>EG-ITRs-1/4</w:t>
              </w:r>
            </w:hyperlink>
            <w:r w:rsidR="00F3674C" w:rsidRPr="00784B52">
              <w:rPr>
                <w:lang w:val="en-US"/>
              </w:rPr>
              <w:t>): Contribution by Armenia and the Russian Federation</w:t>
            </w:r>
          </w:p>
          <w:p w14:paraId="637D0630" w14:textId="25626B46" w:rsidR="00F3674C" w:rsidRPr="00784B52" w:rsidRDefault="008372AB" w:rsidP="008372AB">
            <w:pPr>
              <w:pStyle w:val="Tabletext"/>
              <w:ind w:left="284" w:hanging="284"/>
              <w:rPr>
                <w:lang w:val="en-US"/>
              </w:rPr>
            </w:pPr>
            <w:r>
              <w:rPr>
                <w:lang w:val="en-US"/>
              </w:rPr>
              <w:t>–</w:t>
            </w:r>
            <w:r>
              <w:rPr>
                <w:lang w:val="en-US"/>
              </w:rPr>
              <w:tab/>
            </w:r>
            <w:r w:rsidR="00F3674C" w:rsidRPr="00784B52">
              <w:rPr>
                <w:lang w:val="en-US"/>
              </w:rPr>
              <w:t>Review of the International Telecommunication Regulations and working methods (Doc</w:t>
            </w:r>
            <w:r w:rsidR="00AB6F73">
              <w:rPr>
                <w:lang w:val="en-US"/>
              </w:rPr>
              <w:t>.</w:t>
            </w:r>
            <w:r w:rsidR="00F3674C" w:rsidRPr="00784B52">
              <w:rPr>
                <w:lang w:val="en-US"/>
              </w:rPr>
              <w:t xml:space="preserve"> </w:t>
            </w:r>
            <w:hyperlink r:id="rId28" w:history="1">
              <w:r w:rsidR="00F3674C" w:rsidRPr="00784B52">
                <w:rPr>
                  <w:rStyle w:val="Hyperlink"/>
                  <w:lang w:val="en-US"/>
                </w:rPr>
                <w:t>EG-ITRs-1/5</w:t>
              </w:r>
            </w:hyperlink>
            <w:r w:rsidR="00F3674C" w:rsidRPr="00784B52">
              <w:rPr>
                <w:lang w:val="en-US"/>
              </w:rPr>
              <w:t>): Contribution by Bulgaria, Czech Republic, Denmark, Germany, Hungary, Romania, Spain, Sweden, United Kingdom</w:t>
            </w:r>
          </w:p>
          <w:p w14:paraId="4E635B4B" w14:textId="3C65A46D" w:rsidR="00F3674C" w:rsidRPr="00784B52" w:rsidRDefault="008372AB" w:rsidP="008372AB">
            <w:pPr>
              <w:pStyle w:val="Tabletext"/>
              <w:ind w:left="284" w:hanging="284"/>
              <w:rPr>
                <w:lang w:val="en-US"/>
              </w:rPr>
            </w:pPr>
            <w:r>
              <w:rPr>
                <w:lang w:val="en-US"/>
              </w:rPr>
              <w:t>–</w:t>
            </w:r>
            <w:r>
              <w:rPr>
                <w:lang w:val="en-US"/>
              </w:rPr>
              <w:tab/>
            </w:r>
            <w:r w:rsidR="00F3674C" w:rsidRPr="00784B52">
              <w:rPr>
                <w:lang w:val="en-US"/>
              </w:rPr>
              <w:t>Work plan proposal for EG-ITRs (Doc</w:t>
            </w:r>
            <w:r w:rsidR="00AB6F73">
              <w:rPr>
                <w:lang w:val="en-US"/>
              </w:rPr>
              <w:t>.</w:t>
            </w:r>
            <w:r w:rsidR="00F3674C" w:rsidRPr="00784B52">
              <w:rPr>
                <w:lang w:val="en-US"/>
              </w:rPr>
              <w:t xml:space="preserve"> </w:t>
            </w:r>
            <w:hyperlink r:id="rId29" w:history="1">
              <w:r w:rsidR="00F3674C" w:rsidRPr="00784B52">
                <w:rPr>
                  <w:rStyle w:val="Hyperlink"/>
                  <w:lang w:val="en-US"/>
                </w:rPr>
                <w:t>EG-ITRs-1/6</w:t>
              </w:r>
            </w:hyperlink>
            <w:r w:rsidR="00F3674C" w:rsidRPr="00784B52">
              <w:rPr>
                <w:lang w:val="en-US"/>
              </w:rPr>
              <w:t>): Contribution by Bulgaria, Czech Republic, Denmark, Germany, Hungary, Romania, Spain, Sweden, United Kingdom</w:t>
            </w:r>
          </w:p>
          <w:p w14:paraId="54B22FC0" w14:textId="1CE3C23B" w:rsidR="00F3674C" w:rsidRPr="00784B52" w:rsidRDefault="008372AB" w:rsidP="008372AB">
            <w:pPr>
              <w:pStyle w:val="Tabletext"/>
              <w:ind w:left="284" w:hanging="284"/>
              <w:rPr>
                <w:lang w:val="en-US"/>
              </w:rPr>
            </w:pPr>
            <w:r>
              <w:rPr>
                <w:lang w:val="en-US"/>
              </w:rPr>
              <w:t>–</w:t>
            </w:r>
            <w:r>
              <w:rPr>
                <w:lang w:val="en-US"/>
              </w:rPr>
              <w:tab/>
            </w:r>
            <w:r w:rsidR="00F3674C" w:rsidRPr="00784B52">
              <w:rPr>
                <w:lang w:val="en-US"/>
              </w:rPr>
              <w:t>Support to the Revision of the ITRs (Doc</w:t>
            </w:r>
            <w:r w:rsidR="00AB6F73">
              <w:rPr>
                <w:lang w:val="en-US"/>
              </w:rPr>
              <w:t>.</w:t>
            </w:r>
            <w:r w:rsidR="00F3674C" w:rsidRPr="00784B52">
              <w:rPr>
                <w:lang w:val="en-US"/>
              </w:rPr>
              <w:t xml:space="preserve"> </w:t>
            </w:r>
            <w:hyperlink r:id="rId30" w:history="1">
              <w:r w:rsidR="00F3674C" w:rsidRPr="00784B52">
                <w:rPr>
                  <w:rStyle w:val="Hyperlink"/>
                  <w:lang w:val="en-US"/>
                </w:rPr>
                <w:t>EG-ITRs-1/7</w:t>
              </w:r>
            </w:hyperlink>
            <w:r w:rsidR="00F3674C" w:rsidRPr="00784B52">
              <w:rPr>
                <w:lang w:val="en-US"/>
              </w:rPr>
              <w:t xml:space="preserve">): Contribution by Ghana </w:t>
            </w:r>
          </w:p>
          <w:p w14:paraId="52DEBAFB" w14:textId="39F63483" w:rsidR="00F3674C" w:rsidRPr="00784B52" w:rsidRDefault="008372AB" w:rsidP="008372AB">
            <w:pPr>
              <w:pStyle w:val="Tabletext"/>
              <w:ind w:left="284" w:hanging="284"/>
              <w:rPr>
                <w:u w:val="single"/>
                <w:lang w:val="en-US"/>
              </w:rPr>
            </w:pPr>
            <w:r>
              <w:rPr>
                <w:lang w:val="en-US"/>
              </w:rPr>
              <w:t>–</w:t>
            </w:r>
            <w:r>
              <w:rPr>
                <w:lang w:val="en-US"/>
              </w:rPr>
              <w:tab/>
            </w:r>
            <w:r w:rsidR="00F3674C" w:rsidRPr="00784B52">
              <w:rPr>
                <w:lang w:val="en-US"/>
              </w:rPr>
              <w:t>Proposal for the work of the EG-ITRs (Doc</w:t>
            </w:r>
            <w:r w:rsidR="00AB6F73">
              <w:rPr>
                <w:lang w:val="en-US"/>
              </w:rPr>
              <w:t>.</w:t>
            </w:r>
            <w:r w:rsidR="00F3674C" w:rsidRPr="00784B52">
              <w:rPr>
                <w:lang w:val="en-US"/>
              </w:rPr>
              <w:t xml:space="preserve"> </w:t>
            </w:r>
            <w:hyperlink r:id="rId31" w:history="1">
              <w:r w:rsidR="00F3674C" w:rsidRPr="00784B52">
                <w:rPr>
                  <w:rStyle w:val="Hyperlink"/>
                  <w:lang w:val="en-US"/>
                </w:rPr>
                <w:t>EG-ITRs-1/8</w:t>
              </w:r>
            </w:hyperlink>
            <w:r w:rsidR="00F3674C" w:rsidRPr="00784B52">
              <w:rPr>
                <w:lang w:val="en-US"/>
              </w:rPr>
              <w:t>): Contribution by Egypt and the Kingdom of Saudi Arabia</w:t>
            </w:r>
          </w:p>
          <w:p w14:paraId="45B80E0B" w14:textId="17E503CD" w:rsidR="00F3674C" w:rsidRPr="00784B52" w:rsidRDefault="008372AB" w:rsidP="008372AB">
            <w:pPr>
              <w:pStyle w:val="Tabletext"/>
              <w:ind w:left="284" w:hanging="284"/>
              <w:rPr>
                <w:lang w:val="en-US"/>
              </w:rPr>
            </w:pPr>
            <w:r>
              <w:rPr>
                <w:lang w:val="en-US"/>
              </w:rPr>
              <w:t>–</w:t>
            </w:r>
            <w:r>
              <w:rPr>
                <w:lang w:val="en-US"/>
              </w:rPr>
              <w:tab/>
            </w:r>
            <w:r w:rsidR="00F3674C" w:rsidRPr="00784B52">
              <w:rPr>
                <w:lang w:val="en-US"/>
              </w:rPr>
              <w:t xml:space="preserve">Periodic Review of the International Telecommunication Regulation </w:t>
            </w:r>
            <w:r w:rsidR="00AB6F73">
              <w:rPr>
                <w:lang w:val="en-US"/>
              </w:rPr>
              <w:t>–</w:t>
            </w:r>
            <w:r w:rsidR="00F3674C" w:rsidRPr="00784B52">
              <w:rPr>
                <w:lang w:val="en-US"/>
              </w:rPr>
              <w:t xml:space="preserve"> Discussion on </w:t>
            </w:r>
            <w:r w:rsidR="00E76B0D">
              <w:rPr>
                <w:lang w:val="en-US"/>
              </w:rPr>
              <w:t xml:space="preserve">the </w:t>
            </w:r>
            <w:r w:rsidR="00F3674C" w:rsidRPr="00784B52">
              <w:rPr>
                <w:lang w:val="en-US"/>
              </w:rPr>
              <w:t>work</w:t>
            </w:r>
            <w:r w:rsidR="00E76B0D">
              <w:rPr>
                <w:lang w:val="en-US"/>
              </w:rPr>
              <w:t xml:space="preserve"> </w:t>
            </w:r>
            <w:r w:rsidR="00F3674C" w:rsidRPr="00784B52">
              <w:rPr>
                <w:lang w:val="en-US"/>
              </w:rPr>
              <w:t xml:space="preserve">plan and </w:t>
            </w:r>
            <w:proofErr w:type="spellStart"/>
            <w:r w:rsidR="009F13E2">
              <w:rPr>
                <w:lang w:val="en-US"/>
              </w:rPr>
              <w:t>ToR</w:t>
            </w:r>
            <w:proofErr w:type="spellEnd"/>
            <w:r w:rsidR="009F13E2">
              <w:rPr>
                <w:lang w:val="en-US"/>
              </w:rPr>
              <w:t xml:space="preserve"> </w:t>
            </w:r>
            <w:r w:rsidR="00F3674C" w:rsidRPr="00784B52">
              <w:rPr>
                <w:lang w:val="en-US"/>
              </w:rPr>
              <w:t>of EG</w:t>
            </w:r>
            <w:r w:rsidR="00AB6F73">
              <w:rPr>
                <w:lang w:val="en-US"/>
              </w:rPr>
              <w:noBreakHyphen/>
            </w:r>
            <w:r w:rsidR="00F3674C" w:rsidRPr="00784B52">
              <w:rPr>
                <w:lang w:val="en-US"/>
              </w:rPr>
              <w:t>ITRs, based on PP Res. 146 (Rev. Dubai, 2022) and Council Res. 1379 (Mod. 2023) (Doc</w:t>
            </w:r>
            <w:r w:rsidR="00AB6F73">
              <w:rPr>
                <w:lang w:val="en-US"/>
              </w:rPr>
              <w:t>.</w:t>
            </w:r>
            <w:r w:rsidR="00F3674C" w:rsidRPr="00784B52">
              <w:rPr>
                <w:lang w:val="en-US"/>
              </w:rPr>
              <w:t xml:space="preserve"> </w:t>
            </w:r>
            <w:hyperlink r:id="rId32" w:history="1">
              <w:r w:rsidR="00F3674C" w:rsidRPr="00784B52">
                <w:rPr>
                  <w:rStyle w:val="Hyperlink"/>
                  <w:lang w:val="en-US"/>
                </w:rPr>
                <w:t>EG-ITRs-1/9</w:t>
              </w:r>
            </w:hyperlink>
            <w:r w:rsidR="00F3674C" w:rsidRPr="00784B52">
              <w:rPr>
                <w:lang w:val="en-US"/>
              </w:rPr>
              <w:t>): Contribution by China and South Africa</w:t>
            </w:r>
            <w:r>
              <w:rPr>
                <w:lang w:val="en-US"/>
              </w:rPr>
              <w:t>.</w:t>
            </w:r>
          </w:p>
          <w:p w14:paraId="40FF9430" w14:textId="77777777" w:rsidR="00F3674C" w:rsidRPr="00784B52" w:rsidRDefault="00F3674C" w:rsidP="008372AB">
            <w:pPr>
              <w:pStyle w:val="Tabletext"/>
              <w:rPr>
                <w:lang w:val="en-US"/>
              </w:rPr>
            </w:pPr>
            <w:r w:rsidRPr="00784B52">
              <w:rPr>
                <w:lang w:val="en-US"/>
              </w:rPr>
              <w:t>The following contribution was submitted late and was not considered at the first meeting:</w:t>
            </w:r>
          </w:p>
          <w:p w14:paraId="27E4C743" w14:textId="4A547314" w:rsidR="00F3674C" w:rsidRPr="00784B52" w:rsidRDefault="008372AB" w:rsidP="008372AB">
            <w:pPr>
              <w:pStyle w:val="Tabletext"/>
              <w:rPr>
                <w:lang w:val="en-US"/>
              </w:rPr>
            </w:pPr>
            <w:r>
              <w:rPr>
                <w:lang w:val="en-US"/>
              </w:rPr>
              <w:t>–</w:t>
            </w:r>
            <w:r>
              <w:rPr>
                <w:lang w:val="en-US"/>
              </w:rPr>
              <w:tab/>
            </w:r>
            <w:r w:rsidR="00F3674C" w:rsidRPr="00784B52">
              <w:rPr>
                <w:lang w:val="en-US"/>
              </w:rPr>
              <w:t>Proposal for working methods and work plan of EG-ITRs (Doc</w:t>
            </w:r>
            <w:r w:rsidR="0073530F">
              <w:rPr>
                <w:lang w:val="en-US"/>
              </w:rPr>
              <w:t>.</w:t>
            </w:r>
            <w:r w:rsidR="00F3674C" w:rsidRPr="00784B52">
              <w:rPr>
                <w:lang w:val="en-US"/>
              </w:rPr>
              <w:t xml:space="preserve"> </w:t>
            </w:r>
            <w:hyperlink r:id="rId33" w:history="1">
              <w:r w:rsidR="00F3674C" w:rsidRPr="00784B52">
                <w:rPr>
                  <w:rStyle w:val="Hyperlink"/>
                  <w:lang w:val="en-US"/>
                </w:rPr>
                <w:t>EG-ITRs-1/10</w:t>
              </w:r>
            </w:hyperlink>
            <w:r w:rsidR="00F3674C" w:rsidRPr="00784B52">
              <w:rPr>
                <w:lang w:val="en-US"/>
              </w:rPr>
              <w:t>): Contribution by Hill</w:t>
            </w:r>
          </w:p>
        </w:tc>
      </w:tr>
    </w:tbl>
    <w:p w14:paraId="43E5E6F5" w14:textId="77777777" w:rsidR="008372AB" w:rsidRDefault="008372AB" w:rsidP="00AB6F73">
      <w:pPr>
        <w:pStyle w:val="Tablefin"/>
      </w:pPr>
    </w:p>
    <w:p w14:paraId="070D7453" w14:textId="3EC93274" w:rsidR="00F3674C" w:rsidRPr="00784B52" w:rsidRDefault="00F3674C" w:rsidP="008372AB">
      <w:pPr>
        <w:pStyle w:val="Heading3"/>
      </w:pPr>
      <w:r w:rsidRPr="00784B52">
        <w:rPr>
          <w:bCs/>
        </w:rPr>
        <w:t>2.1.2</w:t>
      </w:r>
      <w:r w:rsidR="008372AB">
        <w:rPr>
          <w:b w:val="0"/>
          <w:bCs/>
        </w:rPr>
        <w:tab/>
      </w:r>
      <w:r w:rsidRPr="00784B52">
        <w:rPr>
          <w:bCs/>
        </w:rPr>
        <w:t xml:space="preserve">Second </w:t>
      </w:r>
      <w:r w:rsidR="00D659E4" w:rsidRPr="00784B52">
        <w:rPr>
          <w:bCs/>
        </w:rPr>
        <w:t>meeting</w:t>
      </w:r>
      <w:r w:rsidRPr="00784B52">
        <w:rPr>
          <w:bCs/>
        </w:rPr>
        <w:t>, 29</w:t>
      </w:r>
      <w:r w:rsidR="00AB6F73">
        <w:rPr>
          <w:bCs/>
        </w:rPr>
        <w:t>-</w:t>
      </w:r>
      <w:r w:rsidRPr="00784B52">
        <w:rPr>
          <w:bCs/>
        </w:rPr>
        <w:t>30 January 2024 (</w:t>
      </w:r>
      <w:hyperlink r:id="rId34" w:history="1">
        <w:r w:rsidRPr="00784B52">
          <w:rPr>
            <w:rStyle w:val="Hyperlink"/>
            <w:bCs/>
          </w:rPr>
          <w:t>see report</w:t>
        </w:r>
      </w:hyperlink>
      <w:r w:rsidRPr="00784B52">
        <w:rPr>
          <w:bCs/>
        </w:rPr>
        <w:t>)</w:t>
      </w:r>
      <w:r w:rsidRPr="00784B52">
        <w:t>:</w:t>
      </w:r>
      <w:r w:rsidRPr="00E76B0D">
        <w:rPr>
          <w:b w:val="0"/>
          <w:bCs/>
        </w:rPr>
        <w:t xml:space="preserve"> At the second meeting, </w:t>
      </w:r>
      <w:r w:rsidR="008372AB" w:rsidRPr="00E76B0D">
        <w:rPr>
          <w:b w:val="0"/>
          <w:bCs/>
        </w:rPr>
        <w:t>Summarize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2010"/>
      </w:tblGrid>
      <w:tr w:rsidR="00F3674C" w:rsidRPr="00784B52" w14:paraId="7AEC06BE" w14:textId="77777777" w:rsidTr="00AB6F73">
        <w:trPr>
          <w:trHeight w:val="778"/>
        </w:trPr>
        <w:tc>
          <w:tcPr>
            <w:tcW w:w="707" w:type="pct"/>
            <w:hideMark/>
          </w:tcPr>
          <w:p w14:paraId="2A343A4B" w14:textId="3B8F380C" w:rsidR="00F3674C" w:rsidRPr="00784B52" w:rsidRDefault="00F3674C" w:rsidP="00AB6F73">
            <w:pPr>
              <w:pStyle w:val="Tabletext"/>
              <w:rPr>
                <w:lang w:val="en-US"/>
              </w:rPr>
            </w:pPr>
            <w:r w:rsidRPr="00784B52">
              <w:rPr>
                <w:lang w:val="en-US"/>
              </w:rPr>
              <w:t xml:space="preserve">Contributions received at the </w:t>
            </w:r>
            <w:r w:rsidR="00D659E4" w:rsidRPr="00784B52">
              <w:rPr>
                <w:lang w:val="en-US"/>
              </w:rPr>
              <w:t>second meeting</w:t>
            </w:r>
          </w:p>
        </w:tc>
        <w:tc>
          <w:tcPr>
            <w:tcW w:w="4293" w:type="pct"/>
            <w:hideMark/>
          </w:tcPr>
          <w:p w14:paraId="30AD142E" w14:textId="77777777" w:rsidR="00F3674C" w:rsidRPr="00784B52" w:rsidRDefault="00F3674C" w:rsidP="00AB6F73">
            <w:pPr>
              <w:pStyle w:val="Tabletext"/>
              <w:rPr>
                <w:lang w:val="en-US"/>
              </w:rPr>
            </w:pPr>
            <w:r w:rsidRPr="00784B52">
              <w:rPr>
                <w:lang w:val="en-US"/>
              </w:rPr>
              <w:t>FILL IN</w:t>
            </w:r>
          </w:p>
        </w:tc>
      </w:tr>
    </w:tbl>
    <w:p w14:paraId="4A863054" w14:textId="77777777" w:rsidR="00E76B0D" w:rsidRDefault="00E76B0D" w:rsidP="00E76B0D">
      <w:pPr>
        <w:pStyle w:val="Tablefin"/>
      </w:pPr>
    </w:p>
    <w:p w14:paraId="4BCBA5A7" w14:textId="3A47E109" w:rsidR="00F3674C" w:rsidRPr="00E76B0D" w:rsidRDefault="00F3674C" w:rsidP="008372AB">
      <w:pPr>
        <w:pStyle w:val="Heading3"/>
        <w:rPr>
          <w:b w:val="0"/>
          <w:bCs/>
        </w:rPr>
      </w:pPr>
      <w:r w:rsidRPr="00784B52">
        <w:rPr>
          <w:bCs/>
        </w:rPr>
        <w:t>2.1.3</w:t>
      </w:r>
      <w:r w:rsidR="008372AB">
        <w:rPr>
          <w:b w:val="0"/>
          <w:bCs/>
        </w:rPr>
        <w:tab/>
      </w:r>
      <w:r w:rsidRPr="00784B52">
        <w:rPr>
          <w:bCs/>
        </w:rPr>
        <w:t>Third meeting, 30 September</w:t>
      </w:r>
      <w:r w:rsidR="00E76B0D">
        <w:rPr>
          <w:bCs/>
        </w:rPr>
        <w:t xml:space="preserve"> – </w:t>
      </w:r>
      <w:r w:rsidRPr="00784B52">
        <w:rPr>
          <w:bCs/>
        </w:rPr>
        <w:t>1 October 2024</w:t>
      </w:r>
      <w:r w:rsidRPr="00784B52">
        <w:t xml:space="preserve"> </w:t>
      </w:r>
      <w:r w:rsidRPr="00784B52">
        <w:rPr>
          <w:bCs/>
        </w:rPr>
        <w:t>(</w:t>
      </w:r>
      <w:hyperlink r:id="rId35" w:history="1">
        <w:r w:rsidRPr="00784B52">
          <w:rPr>
            <w:rStyle w:val="Hyperlink"/>
            <w:bCs/>
          </w:rPr>
          <w:t>see report</w:t>
        </w:r>
      </w:hyperlink>
      <w:r w:rsidRPr="00784B52">
        <w:rPr>
          <w:bCs/>
        </w:rPr>
        <w:t>):</w:t>
      </w:r>
      <w:r w:rsidRPr="00784B52">
        <w:t xml:space="preserve"> </w:t>
      </w:r>
      <w:r w:rsidRPr="00E76B0D">
        <w:rPr>
          <w:b w:val="0"/>
          <w:bCs/>
        </w:rPr>
        <w:t xml:space="preserve">At the third meeting, </w:t>
      </w:r>
      <w:r w:rsidR="00E76B0D" w:rsidRPr="00E76B0D">
        <w:rPr>
          <w:b w:val="0"/>
          <w:bCs/>
        </w:rPr>
        <w:t>Summarize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2010"/>
      </w:tblGrid>
      <w:tr w:rsidR="00F3674C" w:rsidRPr="00784B52" w14:paraId="0FE50F42" w14:textId="77777777" w:rsidTr="00AB6F73">
        <w:trPr>
          <w:trHeight w:val="396"/>
        </w:trPr>
        <w:tc>
          <w:tcPr>
            <w:tcW w:w="707" w:type="pct"/>
            <w:hideMark/>
          </w:tcPr>
          <w:p w14:paraId="5E9ED09B" w14:textId="554A6AC1" w:rsidR="00F3674C" w:rsidRPr="00784B52" w:rsidRDefault="00F3674C" w:rsidP="00E76B0D">
            <w:pPr>
              <w:pStyle w:val="Tabletext"/>
              <w:rPr>
                <w:lang w:val="en-US"/>
              </w:rPr>
            </w:pPr>
            <w:r w:rsidRPr="00784B52">
              <w:rPr>
                <w:lang w:val="en-US"/>
              </w:rPr>
              <w:t xml:space="preserve">Contributions received at the </w:t>
            </w:r>
            <w:r w:rsidR="00D659E4" w:rsidRPr="00784B52">
              <w:rPr>
                <w:lang w:val="en-US"/>
              </w:rPr>
              <w:t>third meeting</w:t>
            </w:r>
          </w:p>
        </w:tc>
        <w:tc>
          <w:tcPr>
            <w:tcW w:w="4293" w:type="pct"/>
            <w:hideMark/>
          </w:tcPr>
          <w:p w14:paraId="0DB5BB74" w14:textId="77777777" w:rsidR="00F3674C" w:rsidRPr="00784B52" w:rsidRDefault="00F3674C" w:rsidP="00E76B0D">
            <w:pPr>
              <w:pStyle w:val="Tabletext"/>
              <w:rPr>
                <w:lang w:val="en-US"/>
              </w:rPr>
            </w:pPr>
            <w:r w:rsidRPr="00784B52">
              <w:rPr>
                <w:lang w:val="en-US"/>
              </w:rPr>
              <w:t xml:space="preserve">FILL IN </w:t>
            </w:r>
          </w:p>
        </w:tc>
      </w:tr>
    </w:tbl>
    <w:p w14:paraId="18F8D0EC" w14:textId="77777777" w:rsidR="00E76B0D" w:rsidRDefault="00E76B0D" w:rsidP="00E76B0D">
      <w:pPr>
        <w:pStyle w:val="Tablefin"/>
      </w:pPr>
    </w:p>
    <w:p w14:paraId="618720B4" w14:textId="6E8BAF95" w:rsidR="00F3674C" w:rsidRPr="00E76B0D" w:rsidRDefault="00F3674C" w:rsidP="00E76B0D">
      <w:pPr>
        <w:pStyle w:val="Heading3"/>
        <w:rPr>
          <w:b w:val="0"/>
          <w:bCs/>
        </w:rPr>
      </w:pPr>
      <w:r w:rsidRPr="00784B52">
        <w:rPr>
          <w:bCs/>
        </w:rPr>
        <w:lastRenderedPageBreak/>
        <w:t>2.1.4</w:t>
      </w:r>
      <w:r>
        <w:t xml:space="preserve"> </w:t>
      </w:r>
      <w:r w:rsidRPr="00784B52">
        <w:rPr>
          <w:bCs/>
        </w:rPr>
        <w:t xml:space="preserve">Fourth meeting, </w:t>
      </w:r>
      <w:r w:rsidR="00E76B0D" w:rsidRPr="00784B52">
        <w:rPr>
          <w:bCs/>
        </w:rPr>
        <w:t>fill in</w:t>
      </w:r>
      <w:r w:rsidR="00E76B0D" w:rsidRPr="00784B52">
        <w:t xml:space="preserve"> </w:t>
      </w:r>
      <w:r w:rsidRPr="00784B52">
        <w:rPr>
          <w:bCs/>
        </w:rPr>
        <w:t>(</w:t>
      </w:r>
      <w:hyperlink r:id="rId36" w:history="1">
        <w:r w:rsidRPr="00784B52">
          <w:rPr>
            <w:rStyle w:val="Hyperlink"/>
            <w:bCs/>
          </w:rPr>
          <w:t>see report</w:t>
        </w:r>
      </w:hyperlink>
      <w:r w:rsidRPr="00784B52">
        <w:rPr>
          <w:bCs/>
        </w:rPr>
        <w:t xml:space="preserve">): </w:t>
      </w:r>
      <w:r w:rsidRPr="00E76B0D">
        <w:rPr>
          <w:b w:val="0"/>
          <w:bCs/>
        </w:rPr>
        <w:t xml:space="preserve">At the fourth meeting, </w:t>
      </w:r>
      <w:r w:rsidR="00E76B0D" w:rsidRPr="00E76B0D">
        <w:rPr>
          <w:b w:val="0"/>
          <w:bCs/>
        </w:rPr>
        <w:t>Summarize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1996"/>
      </w:tblGrid>
      <w:tr w:rsidR="00F3674C" w:rsidRPr="00784B52" w14:paraId="1F201C17" w14:textId="77777777" w:rsidTr="00AB6F73">
        <w:trPr>
          <w:trHeight w:val="778"/>
        </w:trPr>
        <w:tc>
          <w:tcPr>
            <w:tcW w:w="712" w:type="pct"/>
            <w:hideMark/>
          </w:tcPr>
          <w:p w14:paraId="17FE8F68" w14:textId="083728B2" w:rsidR="00F3674C" w:rsidRPr="00784B52" w:rsidRDefault="00F3674C" w:rsidP="0073530F">
            <w:pPr>
              <w:pStyle w:val="Tabletext"/>
              <w:rPr>
                <w:lang w:val="en-US"/>
              </w:rPr>
            </w:pPr>
            <w:r w:rsidRPr="00784B52">
              <w:rPr>
                <w:lang w:val="en-US"/>
              </w:rPr>
              <w:t xml:space="preserve">Contributions received at the </w:t>
            </w:r>
            <w:r w:rsidR="00D659E4" w:rsidRPr="00784B52">
              <w:rPr>
                <w:lang w:val="en-US"/>
              </w:rPr>
              <w:t>fourth meeting</w:t>
            </w:r>
          </w:p>
        </w:tc>
        <w:tc>
          <w:tcPr>
            <w:tcW w:w="4288" w:type="pct"/>
            <w:hideMark/>
          </w:tcPr>
          <w:p w14:paraId="1BD03F7B" w14:textId="77777777" w:rsidR="00F3674C" w:rsidRPr="00784B52" w:rsidRDefault="00F3674C" w:rsidP="0073530F">
            <w:pPr>
              <w:pStyle w:val="Tabletext"/>
              <w:rPr>
                <w:lang w:val="en-US"/>
              </w:rPr>
            </w:pPr>
            <w:r w:rsidRPr="00784B52">
              <w:rPr>
                <w:lang w:val="en-US"/>
              </w:rPr>
              <w:t xml:space="preserve">FILL IN </w:t>
            </w:r>
          </w:p>
        </w:tc>
      </w:tr>
    </w:tbl>
    <w:p w14:paraId="1C73AF60" w14:textId="77777777" w:rsidR="00E76B0D" w:rsidRDefault="00E76B0D" w:rsidP="00E76B0D">
      <w:pPr>
        <w:pStyle w:val="Tablefin"/>
      </w:pPr>
    </w:p>
    <w:p w14:paraId="2DE25FFE" w14:textId="3F63FE68" w:rsidR="00F3674C" w:rsidRPr="00E76B0D" w:rsidRDefault="00F3674C" w:rsidP="00E76B0D">
      <w:pPr>
        <w:pStyle w:val="Heading3"/>
        <w:rPr>
          <w:b w:val="0"/>
          <w:bCs/>
        </w:rPr>
      </w:pPr>
      <w:r w:rsidRPr="00784B52">
        <w:rPr>
          <w:bCs/>
        </w:rPr>
        <w:t>2.1.5</w:t>
      </w:r>
      <w:r w:rsidR="00E76B0D">
        <w:tab/>
      </w:r>
      <w:r w:rsidRPr="00784B52">
        <w:rPr>
          <w:bCs/>
        </w:rPr>
        <w:t xml:space="preserve">Fifth meeting, </w:t>
      </w:r>
      <w:r w:rsidR="00E76B0D" w:rsidRPr="00784B52">
        <w:rPr>
          <w:bCs/>
        </w:rPr>
        <w:t>fill in</w:t>
      </w:r>
      <w:r w:rsidR="00E76B0D" w:rsidRPr="00784B52">
        <w:t xml:space="preserve"> </w:t>
      </w:r>
      <w:r w:rsidRPr="00784B52">
        <w:rPr>
          <w:bCs/>
        </w:rPr>
        <w:t>(</w:t>
      </w:r>
      <w:hyperlink r:id="rId37" w:history="1">
        <w:r w:rsidRPr="00784B52">
          <w:rPr>
            <w:rStyle w:val="Hyperlink"/>
            <w:bCs/>
          </w:rPr>
          <w:t>see report</w:t>
        </w:r>
      </w:hyperlink>
      <w:r w:rsidRPr="00784B52">
        <w:rPr>
          <w:bCs/>
        </w:rPr>
        <w:t xml:space="preserve">): </w:t>
      </w:r>
      <w:r w:rsidRPr="00E76B0D">
        <w:rPr>
          <w:b w:val="0"/>
          <w:bCs/>
        </w:rPr>
        <w:t xml:space="preserve">At the fifth meeting, </w:t>
      </w:r>
      <w:r w:rsidR="00E76B0D" w:rsidRPr="00E76B0D">
        <w:rPr>
          <w:b w:val="0"/>
          <w:bCs/>
        </w:rPr>
        <w:t>Summarize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2013"/>
      </w:tblGrid>
      <w:tr w:rsidR="00F3674C" w:rsidRPr="00784B52" w14:paraId="696D7315" w14:textId="77777777" w:rsidTr="00AB6F73">
        <w:trPr>
          <w:trHeight w:val="778"/>
        </w:trPr>
        <w:tc>
          <w:tcPr>
            <w:tcW w:w="706" w:type="pct"/>
            <w:hideMark/>
          </w:tcPr>
          <w:p w14:paraId="6089719B" w14:textId="7B6F7B13" w:rsidR="00F3674C" w:rsidRPr="00784B52" w:rsidRDefault="00F3674C" w:rsidP="0073530F">
            <w:pPr>
              <w:pStyle w:val="Tabletext"/>
              <w:rPr>
                <w:lang w:val="en-US"/>
              </w:rPr>
            </w:pPr>
            <w:r w:rsidRPr="00784B52">
              <w:rPr>
                <w:lang w:val="en-US"/>
              </w:rPr>
              <w:t xml:space="preserve">Contributions received at the </w:t>
            </w:r>
            <w:r w:rsidR="00D659E4" w:rsidRPr="00784B52">
              <w:rPr>
                <w:lang w:val="en-US"/>
              </w:rPr>
              <w:t>fifth meeting</w:t>
            </w:r>
          </w:p>
        </w:tc>
        <w:tc>
          <w:tcPr>
            <w:tcW w:w="4294" w:type="pct"/>
            <w:hideMark/>
          </w:tcPr>
          <w:p w14:paraId="13D83B73" w14:textId="77777777" w:rsidR="00F3674C" w:rsidRPr="00784B52" w:rsidRDefault="00F3674C" w:rsidP="0073530F">
            <w:pPr>
              <w:pStyle w:val="Tabletext"/>
              <w:rPr>
                <w:lang w:val="en-US"/>
              </w:rPr>
            </w:pPr>
            <w:r w:rsidRPr="00784B52">
              <w:rPr>
                <w:lang w:val="en-US"/>
              </w:rPr>
              <w:t>FILL IN</w:t>
            </w:r>
          </w:p>
        </w:tc>
      </w:tr>
    </w:tbl>
    <w:p w14:paraId="1D1BADD9" w14:textId="77777777" w:rsidR="00E76B0D" w:rsidRDefault="00E76B0D" w:rsidP="00E76B0D">
      <w:pPr>
        <w:pStyle w:val="Tablefin"/>
      </w:pPr>
    </w:p>
    <w:p w14:paraId="26E4D156" w14:textId="34AB4782" w:rsidR="00F3674C" w:rsidRPr="00E76B0D" w:rsidRDefault="00F3674C" w:rsidP="00E76B0D">
      <w:pPr>
        <w:pStyle w:val="Heading3"/>
        <w:rPr>
          <w:b w:val="0"/>
          <w:bCs/>
        </w:rPr>
      </w:pPr>
      <w:r w:rsidRPr="00784B52">
        <w:rPr>
          <w:bCs/>
        </w:rPr>
        <w:t>2.1.6</w:t>
      </w:r>
      <w:r w:rsidR="00E76B0D">
        <w:rPr>
          <w:bCs/>
        </w:rPr>
        <w:tab/>
      </w:r>
      <w:r w:rsidRPr="00784B52">
        <w:rPr>
          <w:bCs/>
        </w:rPr>
        <w:t xml:space="preserve">Sixth meeting, </w:t>
      </w:r>
      <w:r w:rsidR="00E76B0D" w:rsidRPr="00784B52">
        <w:rPr>
          <w:bCs/>
        </w:rPr>
        <w:t>fill in</w:t>
      </w:r>
      <w:r w:rsidR="00E76B0D" w:rsidRPr="00784B52">
        <w:t xml:space="preserve"> </w:t>
      </w:r>
      <w:r w:rsidRPr="00784B52">
        <w:rPr>
          <w:bCs/>
        </w:rPr>
        <w:t>(</w:t>
      </w:r>
      <w:hyperlink r:id="rId38" w:history="1">
        <w:r w:rsidRPr="00784B52">
          <w:rPr>
            <w:rStyle w:val="Hyperlink"/>
            <w:bCs/>
          </w:rPr>
          <w:t>see report</w:t>
        </w:r>
      </w:hyperlink>
      <w:r w:rsidRPr="00784B52">
        <w:rPr>
          <w:bCs/>
        </w:rPr>
        <w:t xml:space="preserve">): </w:t>
      </w:r>
      <w:r w:rsidRPr="00E76B0D">
        <w:rPr>
          <w:b w:val="0"/>
          <w:bCs/>
        </w:rPr>
        <w:t>At the sixth meeting, the EG-ITRs discussed and finalized this Report and also approved the Sixth Meeting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2013"/>
      </w:tblGrid>
      <w:tr w:rsidR="00F3674C" w:rsidRPr="00784B52" w14:paraId="66D44958" w14:textId="77777777" w:rsidTr="00AB6F73">
        <w:trPr>
          <w:trHeight w:val="778"/>
        </w:trPr>
        <w:tc>
          <w:tcPr>
            <w:tcW w:w="706" w:type="pct"/>
            <w:hideMark/>
          </w:tcPr>
          <w:p w14:paraId="333F8884" w14:textId="4FF5F391" w:rsidR="00F3674C" w:rsidRPr="00784B52" w:rsidRDefault="00F3674C" w:rsidP="0073530F">
            <w:pPr>
              <w:pStyle w:val="Tabletext"/>
              <w:rPr>
                <w:lang w:val="en-US"/>
              </w:rPr>
            </w:pPr>
            <w:r w:rsidRPr="00784B52">
              <w:rPr>
                <w:lang w:val="en-US"/>
              </w:rPr>
              <w:t xml:space="preserve">Contributions received at the </w:t>
            </w:r>
            <w:r w:rsidR="00D659E4" w:rsidRPr="00784B52">
              <w:rPr>
                <w:lang w:val="en-US"/>
              </w:rPr>
              <w:t>sixth meeting</w:t>
            </w:r>
          </w:p>
        </w:tc>
        <w:tc>
          <w:tcPr>
            <w:tcW w:w="4294" w:type="pct"/>
            <w:hideMark/>
          </w:tcPr>
          <w:p w14:paraId="2764F33E" w14:textId="77777777" w:rsidR="00F3674C" w:rsidRPr="00784B52" w:rsidRDefault="00F3674C" w:rsidP="0073530F">
            <w:pPr>
              <w:pStyle w:val="Tabletext"/>
              <w:rPr>
                <w:lang w:val="en-US"/>
              </w:rPr>
            </w:pPr>
            <w:r w:rsidRPr="00784B52">
              <w:rPr>
                <w:lang w:val="en-US"/>
              </w:rPr>
              <w:t>FILL IN</w:t>
            </w:r>
          </w:p>
        </w:tc>
      </w:tr>
    </w:tbl>
    <w:p w14:paraId="453854E3" w14:textId="435CC025" w:rsidR="00A514A4" w:rsidRDefault="00A514A4" w:rsidP="00F3674C">
      <w:pPr>
        <w:tabs>
          <w:tab w:val="clear" w:pos="567"/>
          <w:tab w:val="clear" w:pos="1134"/>
          <w:tab w:val="clear" w:pos="1701"/>
          <w:tab w:val="clear" w:pos="2268"/>
          <w:tab w:val="clear" w:pos="2835"/>
        </w:tabs>
        <w:overflowPunct/>
        <w:autoSpaceDE/>
        <w:autoSpaceDN/>
        <w:adjustRightInd/>
        <w:spacing w:before="0"/>
        <w:textAlignment w:val="auto"/>
      </w:pPr>
    </w:p>
    <w:p w14:paraId="25530013" w14:textId="77777777" w:rsidR="00F3674C" w:rsidRDefault="00F3674C" w:rsidP="00F3674C">
      <w:pPr>
        <w:tabs>
          <w:tab w:val="clear" w:pos="567"/>
          <w:tab w:val="clear" w:pos="1134"/>
          <w:tab w:val="clear" w:pos="1701"/>
          <w:tab w:val="clear" w:pos="2268"/>
          <w:tab w:val="clear" w:pos="2835"/>
        </w:tabs>
        <w:overflowPunct/>
        <w:autoSpaceDE/>
        <w:autoSpaceDN/>
        <w:adjustRightInd/>
        <w:spacing w:before="0"/>
        <w:textAlignment w:val="auto"/>
        <w:sectPr w:rsidR="00F3674C" w:rsidSect="00F3674C">
          <w:headerReference w:type="default" r:id="rId39"/>
          <w:footerReference w:type="default" r:id="rId40"/>
          <w:pgSz w:w="16834" w:h="11907" w:orient="landscape"/>
          <w:pgMar w:top="1418" w:right="1418" w:bottom="1418" w:left="1418" w:header="720" w:footer="720" w:gutter="0"/>
          <w:paperSrc w:first="7" w:other="7"/>
          <w:cols w:space="720"/>
          <w:docGrid w:linePitch="326"/>
        </w:sectPr>
      </w:pPr>
    </w:p>
    <w:p w14:paraId="627D4C9E" w14:textId="4FFFB66C" w:rsidR="0073530F" w:rsidRDefault="00F3674C" w:rsidP="0073530F">
      <w:pPr>
        <w:pStyle w:val="Heading1"/>
      </w:pPr>
      <w:r w:rsidRPr="00784B52">
        <w:lastRenderedPageBreak/>
        <w:t>3</w:t>
      </w:r>
      <w:r w:rsidR="0073530F">
        <w:tab/>
      </w:r>
      <w:r w:rsidRPr="00784B52">
        <w:t>Summary of views</w:t>
      </w:r>
    </w:p>
    <w:p w14:paraId="0965A190" w14:textId="1A8A65D5" w:rsidR="00F3674C" w:rsidRPr="00784B52" w:rsidRDefault="00F3674C" w:rsidP="0073530F">
      <w:pPr>
        <w:jc w:val="both"/>
        <w:rPr>
          <w:b/>
        </w:rPr>
      </w:pPr>
      <w:r w:rsidRPr="00784B52">
        <w:t xml:space="preserve">This section should contain a brief summary reflecting the diversity of the views submitted in writing and verbally with respect to the </w:t>
      </w:r>
      <w:r w:rsidR="009F13E2">
        <w:t xml:space="preserve">ToR </w:t>
      </w:r>
      <w:r w:rsidRPr="00784B52">
        <w:t xml:space="preserve">of EG-ITRs as referred to in </w:t>
      </w:r>
      <w:r w:rsidR="0073530F" w:rsidRPr="00784B52">
        <w:t>section</w:t>
      </w:r>
      <w:r w:rsidR="0073530F">
        <w:t> </w:t>
      </w:r>
      <w:r w:rsidRPr="00784B52">
        <w:t>1 above.</w:t>
      </w:r>
    </w:p>
    <w:p w14:paraId="1AF3B714" w14:textId="3BA69007" w:rsidR="00F3674C" w:rsidRPr="00784B52" w:rsidRDefault="00F3674C" w:rsidP="0073530F">
      <w:pPr>
        <w:pStyle w:val="Heading1"/>
        <w:rPr>
          <w:b w:val="0"/>
        </w:rPr>
      </w:pPr>
      <w:r w:rsidRPr="00784B52">
        <w:t>[4</w:t>
      </w:r>
      <w:r w:rsidR="0073530F">
        <w:tab/>
      </w:r>
      <w:r w:rsidRPr="00784B52">
        <w:t xml:space="preserve">Overall </w:t>
      </w:r>
      <w:r w:rsidR="0073530F" w:rsidRPr="00784B52">
        <w:t>observations</w:t>
      </w:r>
      <w:r w:rsidRPr="00784B52">
        <w:t>, if any]</w:t>
      </w:r>
    </w:p>
    <w:p w14:paraId="6AEA8C3E" w14:textId="35934792" w:rsidR="0073530F" w:rsidRDefault="00F3674C" w:rsidP="0073530F">
      <w:pPr>
        <w:pStyle w:val="Heading1"/>
        <w:rPr>
          <w:b w:val="0"/>
        </w:rPr>
      </w:pPr>
      <w:r w:rsidRPr="00784B52">
        <w:t>5</w:t>
      </w:r>
      <w:r w:rsidR="0073530F">
        <w:rPr>
          <w:b w:val="0"/>
        </w:rPr>
        <w:tab/>
      </w:r>
      <w:r w:rsidRPr="00784B52">
        <w:t xml:space="preserve">Potential </w:t>
      </w:r>
      <w:r w:rsidR="0073530F" w:rsidRPr="00784B52">
        <w:t>way forward</w:t>
      </w:r>
    </w:p>
    <w:p w14:paraId="12C342B9" w14:textId="503A6552" w:rsidR="00F3674C" w:rsidRPr="00784B52" w:rsidRDefault="00F3674C" w:rsidP="0073530F">
      <w:pPr>
        <w:jc w:val="both"/>
        <w:rPr>
          <w:b/>
        </w:rPr>
      </w:pPr>
      <w:r w:rsidRPr="00784B52">
        <w:t>This section should summarise views on the way forward once the review has been completed.</w:t>
      </w:r>
    </w:p>
    <w:p w14:paraId="241993B4" w14:textId="1ADFA430" w:rsidR="0073530F" w:rsidRDefault="00F3674C" w:rsidP="0073530F">
      <w:pPr>
        <w:pStyle w:val="Heading1"/>
        <w:rPr>
          <w:b w:val="0"/>
        </w:rPr>
      </w:pPr>
      <w:r w:rsidRPr="00784B52">
        <w:t>6</w:t>
      </w:r>
      <w:r w:rsidR="0073530F">
        <w:rPr>
          <w:b w:val="0"/>
        </w:rPr>
        <w:tab/>
      </w:r>
      <w:r w:rsidRPr="00784B52">
        <w:t xml:space="preserve">Summary of the report </w:t>
      </w:r>
    </w:p>
    <w:p w14:paraId="67E37F7B" w14:textId="482FFE78" w:rsidR="00F3674C" w:rsidRPr="00784B52" w:rsidRDefault="00F3674C" w:rsidP="0073530F">
      <w:pPr>
        <w:jc w:val="both"/>
        <w:rPr>
          <w:b/>
        </w:rPr>
      </w:pPr>
      <w:r w:rsidRPr="00784B52">
        <w:t>This section should summarise what has been discussed in the report.</w:t>
      </w:r>
    </w:p>
    <w:p w14:paraId="1D9E8E71" w14:textId="1F047D10" w:rsidR="00F3674C" w:rsidRPr="00784B52" w:rsidRDefault="00F3674C" w:rsidP="0073530F">
      <w:pPr>
        <w:pStyle w:val="EditorsNote"/>
      </w:pPr>
      <w:r w:rsidRPr="00784B52">
        <w:t>[Annex</w:t>
      </w:r>
      <w:r w:rsidR="0073530F">
        <w:t xml:space="preserve"> </w:t>
      </w:r>
      <w:r w:rsidRPr="00784B52">
        <w:t>/</w:t>
      </w:r>
      <w:r w:rsidR="0073530F">
        <w:t xml:space="preserve"> </w:t>
      </w:r>
      <w:r w:rsidR="0073530F" w:rsidRPr="00784B52">
        <w:t>detailed table</w:t>
      </w:r>
      <w:r w:rsidRPr="00784B52">
        <w:t>]</w:t>
      </w:r>
    </w:p>
    <w:p w14:paraId="66CB4915" w14:textId="77777777" w:rsidR="00F3674C" w:rsidRDefault="00F3674C" w:rsidP="00F3674C">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14:paraId="1FBFA823" w14:textId="77777777" w:rsidR="00F3674C" w:rsidRDefault="00F3674C" w:rsidP="0073530F">
      <w:pPr>
        <w:pStyle w:val="AnnexNo"/>
      </w:pPr>
      <w:r>
        <w:lastRenderedPageBreak/>
        <w:t>Annex 2</w:t>
      </w:r>
    </w:p>
    <w:p w14:paraId="16A203B6" w14:textId="6416830D" w:rsidR="00F3674C" w:rsidRPr="00034AE5" w:rsidRDefault="009F13E2" w:rsidP="0073530F">
      <w:pPr>
        <w:pStyle w:val="Annextitle"/>
        <w:rPr>
          <w:lang w:val="en-CA"/>
        </w:rPr>
      </w:pPr>
      <w:r>
        <w:rPr>
          <w:lang w:val="en-CA"/>
        </w:rPr>
        <w:t>Hill's</w:t>
      </w:r>
      <w:r w:rsidR="00F3674C" w:rsidRPr="00653FF3">
        <w:rPr>
          <w:lang w:val="en-CA"/>
        </w:rPr>
        <w:t xml:space="preserve"> </w:t>
      </w:r>
      <w:r w:rsidR="0073530F" w:rsidRPr="00653FF3">
        <w:rPr>
          <w:lang w:val="en-CA"/>
        </w:rPr>
        <w:t xml:space="preserve">statement </w:t>
      </w:r>
      <w:r w:rsidR="00F3674C" w:rsidRPr="00653FF3">
        <w:rPr>
          <w:lang w:val="en-CA"/>
        </w:rPr>
        <w:t xml:space="preserve">to the </w:t>
      </w:r>
      <w:proofErr w:type="spellStart"/>
      <w:r w:rsidR="00F3674C" w:rsidRPr="00653FF3">
        <w:rPr>
          <w:lang w:val="en-CA"/>
        </w:rPr>
        <w:t>EG-ITRs</w:t>
      </w:r>
      <w:proofErr w:type="spellEnd"/>
      <w:r w:rsidR="0073530F">
        <w:rPr>
          <w:lang w:val="en-CA"/>
        </w:rPr>
        <w:br/>
      </w:r>
      <w:r w:rsidR="0073530F" w:rsidRPr="00653FF3">
        <w:rPr>
          <w:lang w:val="en-CA"/>
        </w:rPr>
        <w:t>20</w:t>
      </w:r>
      <w:r w:rsidR="0073530F">
        <w:rPr>
          <w:lang w:val="en-CA"/>
        </w:rPr>
        <w:t>-</w:t>
      </w:r>
      <w:r w:rsidR="0073530F" w:rsidRPr="00653FF3">
        <w:rPr>
          <w:lang w:val="en-CA"/>
        </w:rPr>
        <w:t>21</w:t>
      </w:r>
      <w:r w:rsidR="0073530F">
        <w:rPr>
          <w:lang w:val="en-CA"/>
        </w:rPr>
        <w:t xml:space="preserve"> </w:t>
      </w:r>
      <w:r w:rsidR="00F3674C" w:rsidRPr="00653FF3">
        <w:rPr>
          <w:lang w:val="en-CA"/>
        </w:rPr>
        <w:t>February 2025</w:t>
      </w:r>
    </w:p>
    <w:p w14:paraId="60750B0C" w14:textId="62436601" w:rsidR="00F3674C" w:rsidRDefault="00F3674C" w:rsidP="0073530F">
      <w:pPr>
        <w:pStyle w:val="Normalaftertitle"/>
        <w:jc w:val="both"/>
      </w:pPr>
      <w:r>
        <w:t>6.1</w:t>
      </w:r>
      <w:r>
        <w:tab/>
        <w:t xml:space="preserve">During the discussion of the present report, it was stated that possible ways forward, which could be mentioned in the Final Report, include the following </w:t>
      </w:r>
      <w:r w:rsidR="0073530F">
        <w:t>—</w:t>
      </w:r>
      <w:r>
        <w:t xml:space="preserve">listed in no particular order: </w:t>
      </w:r>
    </w:p>
    <w:p w14:paraId="0535B277" w14:textId="64AF9CE4" w:rsidR="00F3674C" w:rsidRDefault="00F3674C" w:rsidP="0073530F">
      <w:pPr>
        <w:pStyle w:val="enumlev1"/>
        <w:jc w:val="both"/>
      </w:pPr>
      <w:r>
        <w:t>a)</w:t>
      </w:r>
      <w:r w:rsidR="0073530F">
        <w:tab/>
      </w:r>
      <w:r>
        <w:t>suspend discussions on the ITRs until such time as there is consensus on how to proceed</w:t>
      </w:r>
    </w:p>
    <w:p w14:paraId="780C304E" w14:textId="07205313" w:rsidR="00F3674C" w:rsidRDefault="00F3674C" w:rsidP="0073530F">
      <w:pPr>
        <w:pStyle w:val="enumlev1"/>
        <w:jc w:val="both"/>
      </w:pPr>
      <w:r>
        <w:t>b)</w:t>
      </w:r>
      <w:r w:rsidR="0073530F">
        <w:tab/>
      </w:r>
      <w:r>
        <w:t xml:space="preserve">convene another EG-ITRs in order to attempt to find </w:t>
      </w:r>
      <w:r w:rsidR="003000F5">
        <w:t xml:space="preserve">a </w:t>
      </w:r>
      <w:r>
        <w:t>consensus on how to proceed</w:t>
      </w:r>
    </w:p>
    <w:p w14:paraId="06A61F91" w14:textId="031EC152" w:rsidR="00F3674C" w:rsidRDefault="00F3674C" w:rsidP="0073530F">
      <w:pPr>
        <w:pStyle w:val="enumlev1"/>
        <w:jc w:val="both"/>
      </w:pPr>
      <w:r>
        <w:t>c)</w:t>
      </w:r>
      <w:r w:rsidR="0073530F">
        <w:tab/>
      </w:r>
      <w:r>
        <w:t xml:space="preserve">convene a </w:t>
      </w:r>
      <w:proofErr w:type="spellStart"/>
      <w:r>
        <w:t>WCIT</w:t>
      </w:r>
      <w:proofErr w:type="spellEnd"/>
      <w:r>
        <w:t>, and its preparatory process, in order to revise the ITRs</w:t>
      </w:r>
    </w:p>
    <w:p w14:paraId="2E15C1A3" w14:textId="2C9910A5" w:rsidR="00F3674C" w:rsidRDefault="00F3674C" w:rsidP="0073530F">
      <w:pPr>
        <w:pStyle w:val="enumlev1"/>
        <w:jc w:val="both"/>
      </w:pPr>
      <w:r>
        <w:t>d)</w:t>
      </w:r>
      <w:r w:rsidR="0073530F">
        <w:tab/>
      </w:r>
      <w:r>
        <w:t>convene a mini-</w:t>
      </w:r>
      <w:proofErr w:type="spellStart"/>
      <w:r>
        <w:t>WCIT</w:t>
      </w:r>
      <w:proofErr w:type="spellEnd"/>
      <w:r>
        <w:t xml:space="preserve"> </w:t>
      </w:r>
      <w:r w:rsidR="003000F5">
        <w:t>back-to-back</w:t>
      </w:r>
      <w:r>
        <w:t xml:space="preserve"> with the </w:t>
      </w:r>
      <w:proofErr w:type="spellStart"/>
      <w:r>
        <w:t>WTSA</w:t>
      </w:r>
      <w:proofErr w:type="spellEnd"/>
      <w:r>
        <w:t>, to abrogate the substance of the ITRs, or, if possible, to abrogate the ITRs entirely.</w:t>
      </w:r>
    </w:p>
    <w:p w14:paraId="13B25A64" w14:textId="77777777" w:rsidR="00F3674C" w:rsidRDefault="00F3674C" w:rsidP="00F3674C">
      <w:pPr>
        <w:tabs>
          <w:tab w:val="clear" w:pos="567"/>
          <w:tab w:val="clear" w:pos="1134"/>
          <w:tab w:val="clear" w:pos="1701"/>
          <w:tab w:val="clear" w:pos="2268"/>
          <w:tab w:val="clear" w:pos="2835"/>
        </w:tabs>
        <w:overflowPunct/>
        <w:autoSpaceDE/>
        <w:autoSpaceDN/>
        <w:adjustRightInd/>
        <w:spacing w:before="0"/>
        <w:textAlignment w:val="auto"/>
      </w:pPr>
      <w:r>
        <w:br w:type="page"/>
      </w:r>
    </w:p>
    <w:p w14:paraId="3C426F71" w14:textId="77777777" w:rsidR="00F3674C" w:rsidRDefault="00F3674C" w:rsidP="0073530F">
      <w:pPr>
        <w:pStyle w:val="AnnexNo"/>
      </w:pPr>
      <w:r w:rsidRPr="00034AE5">
        <w:lastRenderedPageBreak/>
        <w:t>Annex 3</w:t>
      </w:r>
    </w:p>
    <w:p w14:paraId="5BBA15F8" w14:textId="5AE83D1F" w:rsidR="00F3674C" w:rsidRPr="00653FF3" w:rsidRDefault="009F13E2" w:rsidP="0073530F">
      <w:pPr>
        <w:pStyle w:val="Annextitle"/>
        <w:rPr>
          <w:lang w:val="en-CA"/>
        </w:rPr>
      </w:pPr>
      <w:bookmarkStart w:id="12" w:name="_Hlk191041087"/>
      <w:r>
        <w:rPr>
          <w:lang w:val="en-CA"/>
        </w:rPr>
        <w:t>Canada's</w:t>
      </w:r>
      <w:r w:rsidR="00F3674C" w:rsidRPr="00653FF3">
        <w:rPr>
          <w:lang w:val="en-CA"/>
        </w:rPr>
        <w:t xml:space="preserve"> </w:t>
      </w:r>
      <w:r w:rsidR="0073530F" w:rsidRPr="00653FF3">
        <w:rPr>
          <w:lang w:val="en-CA"/>
        </w:rPr>
        <w:t xml:space="preserve">statement </w:t>
      </w:r>
      <w:r w:rsidR="00F3674C" w:rsidRPr="00653FF3">
        <w:rPr>
          <w:lang w:val="en-CA"/>
        </w:rPr>
        <w:t xml:space="preserve">to the </w:t>
      </w:r>
      <w:proofErr w:type="spellStart"/>
      <w:r w:rsidR="00F3674C" w:rsidRPr="00653FF3">
        <w:rPr>
          <w:lang w:val="en-CA"/>
        </w:rPr>
        <w:t>EG-ITRs</w:t>
      </w:r>
      <w:proofErr w:type="spellEnd"/>
      <w:r w:rsidR="0073530F">
        <w:rPr>
          <w:lang w:val="en-CA"/>
        </w:rPr>
        <w:br/>
      </w:r>
      <w:r w:rsidR="0073530F" w:rsidRPr="00653FF3">
        <w:rPr>
          <w:lang w:val="en-CA"/>
        </w:rPr>
        <w:t>20</w:t>
      </w:r>
      <w:r w:rsidR="0073530F">
        <w:rPr>
          <w:lang w:val="en-CA"/>
        </w:rPr>
        <w:t>-</w:t>
      </w:r>
      <w:r w:rsidR="0073530F" w:rsidRPr="00653FF3">
        <w:rPr>
          <w:lang w:val="en-CA"/>
        </w:rPr>
        <w:t>21</w:t>
      </w:r>
      <w:r w:rsidR="0073530F">
        <w:rPr>
          <w:lang w:val="en-CA"/>
        </w:rPr>
        <w:t xml:space="preserve"> </w:t>
      </w:r>
      <w:r w:rsidR="00F3674C" w:rsidRPr="00653FF3">
        <w:rPr>
          <w:lang w:val="en-CA"/>
        </w:rPr>
        <w:t>February 2025</w:t>
      </w:r>
    </w:p>
    <w:p w14:paraId="7CED1986" w14:textId="552EBDFE" w:rsidR="00F3674C" w:rsidRPr="00034AE5" w:rsidRDefault="00F3674C" w:rsidP="0073530F">
      <w:pPr>
        <w:pStyle w:val="Normalaftertitle"/>
        <w:jc w:val="both"/>
        <w:rPr>
          <w:lang w:val="en-CA"/>
        </w:rPr>
      </w:pPr>
      <w:r w:rsidRPr="00034AE5">
        <w:rPr>
          <w:lang w:val="en-CA"/>
        </w:rPr>
        <w:t>Thank you</w:t>
      </w:r>
      <w:r w:rsidR="0073530F">
        <w:rPr>
          <w:lang w:val="en-CA"/>
        </w:rPr>
        <w:t>,</w:t>
      </w:r>
      <w:r w:rsidRPr="00034AE5">
        <w:rPr>
          <w:lang w:val="en-CA"/>
        </w:rPr>
        <w:t xml:space="preserve"> Chair. I would like to read a statement on behalf of Canada. </w:t>
      </w:r>
    </w:p>
    <w:p w14:paraId="2EF92709" w14:textId="77777777" w:rsidR="00F3674C" w:rsidRPr="00034AE5" w:rsidRDefault="00F3674C" w:rsidP="0073530F">
      <w:pPr>
        <w:jc w:val="both"/>
        <w:rPr>
          <w:lang w:val="en-CA"/>
        </w:rPr>
      </w:pPr>
      <w:r w:rsidRPr="00034AE5">
        <w:rPr>
          <w:lang w:val="en-CA"/>
        </w:rPr>
        <w:t xml:space="preserve">First and foremost, we would like to thank you, for your hard work, diligence, patience, and kindness in conducting the proceeding of this Working Group. </w:t>
      </w:r>
    </w:p>
    <w:p w14:paraId="275B59C4" w14:textId="381E56F9" w:rsidR="00F3674C" w:rsidRPr="00034AE5" w:rsidRDefault="00F3674C" w:rsidP="0073530F">
      <w:pPr>
        <w:jc w:val="both"/>
        <w:rPr>
          <w:lang w:val="en-CA"/>
        </w:rPr>
      </w:pPr>
      <w:r w:rsidRPr="00034AE5">
        <w:rPr>
          <w:lang w:val="en-CA"/>
        </w:rPr>
        <w:t xml:space="preserve">It will not come as a surprise if we take this opportunity to reiterate our long-standing views on the </w:t>
      </w:r>
      <w:proofErr w:type="spellStart"/>
      <w:r w:rsidRPr="00034AE5">
        <w:rPr>
          <w:lang w:val="en-CA"/>
        </w:rPr>
        <w:t>ITRs</w:t>
      </w:r>
      <w:proofErr w:type="spellEnd"/>
      <w:r w:rsidRPr="00034AE5">
        <w:rPr>
          <w:lang w:val="en-CA"/>
        </w:rPr>
        <w:t>, dating back almost 13 years at the 2012 World Conference on International Telecommunications (</w:t>
      </w:r>
      <w:proofErr w:type="spellStart"/>
      <w:r w:rsidRPr="00034AE5">
        <w:rPr>
          <w:lang w:val="en-CA"/>
        </w:rPr>
        <w:t>WCIT</w:t>
      </w:r>
      <w:proofErr w:type="spellEnd"/>
      <w:r w:rsidR="003000F5">
        <w:rPr>
          <w:lang w:val="en-CA"/>
        </w:rPr>
        <w:t>-</w:t>
      </w:r>
      <w:r w:rsidRPr="00034AE5">
        <w:rPr>
          <w:lang w:val="en-CA"/>
        </w:rPr>
        <w:t xml:space="preserve">12). </w:t>
      </w:r>
    </w:p>
    <w:p w14:paraId="768F7157" w14:textId="0110509E" w:rsidR="00F3674C" w:rsidRPr="00034AE5" w:rsidRDefault="00F3674C" w:rsidP="0073530F">
      <w:pPr>
        <w:jc w:val="both"/>
        <w:rPr>
          <w:lang w:val="en-CA"/>
        </w:rPr>
      </w:pPr>
      <w:r w:rsidRPr="00034AE5">
        <w:rPr>
          <w:lang w:val="en-CA"/>
        </w:rPr>
        <w:t xml:space="preserve">Canada strongly believed then and continues to believe now, after 13 years and multiple meetings of the </w:t>
      </w:r>
      <w:proofErr w:type="spellStart"/>
      <w:r w:rsidRPr="00034AE5">
        <w:rPr>
          <w:lang w:val="en-CA"/>
        </w:rPr>
        <w:t>EG-ITRs</w:t>
      </w:r>
      <w:proofErr w:type="spellEnd"/>
      <w:r w:rsidRPr="00034AE5">
        <w:rPr>
          <w:lang w:val="en-CA"/>
        </w:rPr>
        <w:t xml:space="preserve">, that the successful deployment and use of telecommunication services and applications worldwide, as reflected and evidenced in several international telecommunication reports and publications, including those of the ITU, has not been the result of the </w:t>
      </w:r>
      <w:proofErr w:type="spellStart"/>
      <w:r w:rsidRPr="00034AE5">
        <w:rPr>
          <w:lang w:val="en-CA"/>
        </w:rPr>
        <w:t>ITRs</w:t>
      </w:r>
      <w:proofErr w:type="spellEnd"/>
      <w:r w:rsidRPr="00034AE5">
        <w:rPr>
          <w:lang w:val="en-CA"/>
        </w:rPr>
        <w:t>. What has been and will continue to be a successful path for the deployment, adoption and use of telecommunications and ICTs in a rapidly evolving telecommunications sector, is the creation and enhancement of regulatory environments that promote competition, investment, transparency, entrepreneurship and innovation. Canada also believes that public-private partnerships (PPPs) have proven to be very effective in the design and successful implementation of national and regional telecommunication and ICT development strategies.</w:t>
      </w:r>
    </w:p>
    <w:p w14:paraId="77FC1F32" w14:textId="41875D3A" w:rsidR="00F3674C" w:rsidRPr="00034AE5" w:rsidRDefault="00F3674C" w:rsidP="0073530F">
      <w:pPr>
        <w:jc w:val="both"/>
        <w:rPr>
          <w:lang w:val="en-CA"/>
        </w:rPr>
      </w:pPr>
      <w:r w:rsidRPr="00034AE5">
        <w:rPr>
          <w:lang w:val="en-CA"/>
        </w:rPr>
        <w:t xml:space="preserve">Canada looks forward to continuing working with all ITU </w:t>
      </w:r>
      <w:r w:rsidR="003000F5" w:rsidRPr="00034AE5">
        <w:rPr>
          <w:lang w:val="en-CA"/>
        </w:rPr>
        <w:t xml:space="preserve">membership </w:t>
      </w:r>
      <w:r w:rsidRPr="00034AE5">
        <w:rPr>
          <w:lang w:val="en-CA"/>
        </w:rPr>
        <w:t>and stakeholders to ensure that the focus of our collective work and the proper use of our human and financial resources remain on closing the digital divide to connect the unconnected and achieve the Sustainable Development Goals (SDGs).</w:t>
      </w:r>
      <w:bookmarkEnd w:id="12"/>
    </w:p>
    <w:p w14:paraId="1E45C677" w14:textId="77777777" w:rsidR="00F3674C" w:rsidRPr="00034AE5" w:rsidRDefault="00F3674C" w:rsidP="0073530F">
      <w:pPr>
        <w:jc w:val="both"/>
        <w:rPr>
          <w:lang w:val="en-CA"/>
        </w:rPr>
      </w:pPr>
      <w:r w:rsidRPr="00034AE5">
        <w:rPr>
          <w:lang w:val="en-CA"/>
        </w:rPr>
        <w:t>Thank you.</w:t>
      </w:r>
    </w:p>
    <w:p w14:paraId="0522DBB2" w14:textId="77777777" w:rsidR="00F3674C" w:rsidRDefault="00F3674C" w:rsidP="00F3674C">
      <w:pPr>
        <w:tabs>
          <w:tab w:val="clear" w:pos="567"/>
          <w:tab w:val="clear" w:pos="1134"/>
          <w:tab w:val="clear" w:pos="1701"/>
          <w:tab w:val="clear" w:pos="2268"/>
          <w:tab w:val="clear" w:pos="2835"/>
        </w:tabs>
        <w:overflowPunct/>
        <w:autoSpaceDE/>
        <w:autoSpaceDN/>
        <w:adjustRightInd/>
        <w:spacing w:before="0"/>
        <w:textAlignment w:val="auto"/>
      </w:pPr>
    </w:p>
    <w:p w14:paraId="0DF6DC1F" w14:textId="77777777" w:rsidR="003000F5" w:rsidRDefault="003000F5" w:rsidP="00F3674C">
      <w:pPr>
        <w:tabs>
          <w:tab w:val="clear" w:pos="567"/>
          <w:tab w:val="clear" w:pos="1134"/>
          <w:tab w:val="clear" w:pos="1701"/>
          <w:tab w:val="clear" w:pos="2268"/>
          <w:tab w:val="clear" w:pos="2835"/>
        </w:tabs>
        <w:overflowPunct/>
        <w:autoSpaceDE/>
        <w:autoSpaceDN/>
        <w:adjustRightInd/>
        <w:spacing w:before="0"/>
        <w:textAlignment w:val="auto"/>
      </w:pPr>
    </w:p>
    <w:p w14:paraId="5EE756C7" w14:textId="36EC50B5" w:rsidR="003000F5" w:rsidRPr="00147C54" w:rsidRDefault="003000F5" w:rsidP="003000F5">
      <w:pPr>
        <w:jc w:val="center"/>
      </w:pPr>
      <w:r>
        <w:t>______________</w:t>
      </w:r>
    </w:p>
    <w:sectPr w:rsidR="003000F5" w:rsidRPr="00147C54" w:rsidSect="00F3674C">
      <w:footerReference w:type="default" r:id="rId41"/>
      <w:pgSz w:w="11907" w:h="16834"/>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8D5F5" w14:textId="77777777" w:rsidR="001F2EAC" w:rsidRDefault="001F2EAC">
      <w:r>
        <w:separator/>
      </w:r>
    </w:p>
  </w:endnote>
  <w:endnote w:type="continuationSeparator" w:id="0">
    <w:p w14:paraId="3BEBBC50" w14:textId="77777777" w:rsidR="001F2EAC" w:rsidRDefault="001F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0721C1A4" w14:textId="77777777" w:rsidTr="0042469C">
      <w:trPr>
        <w:jc w:val="center"/>
      </w:trPr>
      <w:tc>
        <w:tcPr>
          <w:tcW w:w="1803" w:type="dxa"/>
          <w:vAlign w:val="center"/>
        </w:tcPr>
        <w:p w14:paraId="796323F7" w14:textId="77777777" w:rsidR="00EE49E8" w:rsidRDefault="00EE49E8" w:rsidP="00EE49E8">
          <w:pPr>
            <w:pStyle w:val="Header"/>
            <w:jc w:val="left"/>
            <w:rPr>
              <w:noProof/>
            </w:rPr>
          </w:pPr>
        </w:p>
      </w:tc>
      <w:tc>
        <w:tcPr>
          <w:tcW w:w="8261" w:type="dxa"/>
        </w:tcPr>
        <w:p w14:paraId="6B67C5F2" w14:textId="57D73AB9" w:rsidR="00EE49E8" w:rsidRPr="00877BF2" w:rsidRDefault="00EE49E8" w:rsidP="00F73B2C">
          <w:pPr>
            <w:pStyle w:val="Header"/>
            <w:tabs>
              <w:tab w:val="left" w:pos="6592"/>
              <w:tab w:val="right" w:pos="8505"/>
              <w:tab w:val="right" w:pos="9639"/>
            </w:tabs>
            <w:jc w:val="left"/>
            <w:rPr>
              <w:rFonts w:ascii="Arial" w:hAnsi="Arial" w:cs="Arial"/>
              <w:b/>
              <w:bCs/>
              <w:szCs w:val="18"/>
              <w:lang w:val="es-ES"/>
            </w:rPr>
          </w:pPr>
          <w:r w:rsidRPr="005C13D4">
            <w:rPr>
              <w:bCs/>
              <w:lang w:val="fr-CH"/>
            </w:rPr>
            <w:tab/>
          </w:r>
          <w:r w:rsidR="00F73B2C">
            <w:rPr>
              <w:bCs/>
            </w:rPr>
            <w:t>EG-ITRs-4</w:t>
          </w:r>
          <w:r w:rsidR="00F73B2C">
            <w:rPr>
              <w:bCs/>
              <w:lang w:val="es-ES"/>
            </w:rPr>
            <w:t>/</w:t>
          </w:r>
          <w:r w:rsidR="00E674F8">
            <w:rPr>
              <w:bCs/>
              <w:lang w:val="es-ES"/>
            </w:rPr>
            <w:t>9</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350E5345"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908DC15" w14:textId="77777777" w:rsidTr="00A52C84">
      <w:trPr>
        <w:jc w:val="center"/>
      </w:trPr>
      <w:tc>
        <w:tcPr>
          <w:tcW w:w="3107" w:type="dxa"/>
          <w:vAlign w:val="center"/>
        </w:tcPr>
        <w:p w14:paraId="22F61ED8" w14:textId="77777777" w:rsidR="00EE49E8" w:rsidRPr="0025570E" w:rsidRDefault="0025570E" w:rsidP="00EE49E8">
          <w:pPr>
            <w:pStyle w:val="Header"/>
            <w:jc w:val="left"/>
            <w:rPr>
              <w:noProof/>
              <w:u w:val="single"/>
            </w:rPr>
          </w:pPr>
          <w:hyperlink r:id="rId1" w:history="1">
            <w:r w:rsidRPr="0025570E">
              <w:rPr>
                <w:rStyle w:val="Hyperlink"/>
              </w:rPr>
              <w:t>https://</w:t>
            </w:r>
            <w:proofErr w:type="spellStart"/>
            <w:r w:rsidRPr="0025570E">
              <w:rPr>
                <w:rStyle w:val="Hyperlink"/>
              </w:rPr>
              <w:t>council.itu.int</w:t>
            </w:r>
            <w:proofErr w:type="spellEnd"/>
            <w:r w:rsidRPr="0025570E">
              <w:rPr>
                <w:rStyle w:val="Hyperlink"/>
              </w:rPr>
              <w:t>/working-groups</w:t>
            </w:r>
          </w:hyperlink>
        </w:p>
      </w:tc>
      <w:tc>
        <w:tcPr>
          <w:tcW w:w="6957" w:type="dxa"/>
        </w:tcPr>
        <w:p w14:paraId="570A165D" w14:textId="6E17A72F" w:rsidR="00EE49E8" w:rsidRPr="000F6AB8" w:rsidRDefault="00EE49E8" w:rsidP="00F73B2C">
          <w:pPr>
            <w:pStyle w:val="Header"/>
            <w:tabs>
              <w:tab w:val="left" w:pos="5291"/>
              <w:tab w:val="right" w:pos="8505"/>
              <w:tab w:val="right" w:pos="9639"/>
            </w:tabs>
            <w:jc w:val="left"/>
            <w:rPr>
              <w:rFonts w:ascii="Arial" w:hAnsi="Arial" w:cs="Arial"/>
              <w:b/>
              <w:bCs/>
              <w:szCs w:val="18"/>
              <w:lang w:val="es-ES"/>
            </w:rPr>
          </w:pPr>
          <w:r>
            <w:rPr>
              <w:bCs/>
            </w:rPr>
            <w:tab/>
          </w:r>
          <w:r w:rsidR="00F73B2C">
            <w:rPr>
              <w:bCs/>
            </w:rPr>
            <w:t>EG-ITRs-4</w:t>
          </w:r>
          <w:r w:rsidR="00205D4E">
            <w:rPr>
              <w:bCs/>
              <w:lang w:val="es-ES"/>
            </w:rPr>
            <w:t>/</w:t>
          </w:r>
          <w:r w:rsidR="00E674F8">
            <w:rPr>
              <w:bCs/>
              <w:lang w:val="es-ES"/>
            </w:rPr>
            <w:t>9</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23EFD37E" w14:textId="77777777" w:rsidR="00A514A4" w:rsidRPr="000F6AB8" w:rsidRDefault="00A514A4" w:rsidP="00EE49E8">
    <w:pPr>
      <w:pStyle w:val="Header"/>
      <w:tabs>
        <w:tab w:val="left" w:pos="8080"/>
        <w:tab w:val="right" w:pos="9072"/>
      </w:tabs>
      <w:jc w:val="right"/>
      <w:rPr>
        <w:bCs/>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3674C" w:rsidRPr="00877BF2" w14:paraId="58EFCBCF" w14:textId="77777777" w:rsidTr="0042469C">
      <w:trPr>
        <w:jc w:val="center"/>
      </w:trPr>
      <w:tc>
        <w:tcPr>
          <w:tcW w:w="1803" w:type="dxa"/>
          <w:vAlign w:val="center"/>
        </w:tcPr>
        <w:p w14:paraId="332A37FB" w14:textId="77777777" w:rsidR="00F3674C" w:rsidRDefault="00F3674C" w:rsidP="00EE49E8">
          <w:pPr>
            <w:pStyle w:val="Header"/>
            <w:jc w:val="left"/>
            <w:rPr>
              <w:noProof/>
            </w:rPr>
          </w:pPr>
        </w:p>
      </w:tc>
      <w:tc>
        <w:tcPr>
          <w:tcW w:w="8261" w:type="dxa"/>
        </w:tcPr>
        <w:p w14:paraId="75B26C40" w14:textId="2235F17E" w:rsidR="00F3674C" w:rsidRPr="00877BF2" w:rsidRDefault="00F3674C" w:rsidP="00F73B2C">
          <w:pPr>
            <w:pStyle w:val="Header"/>
            <w:tabs>
              <w:tab w:val="left" w:pos="6592"/>
              <w:tab w:val="right" w:pos="8505"/>
              <w:tab w:val="right" w:pos="9639"/>
            </w:tabs>
            <w:jc w:val="left"/>
            <w:rPr>
              <w:rFonts w:ascii="Arial" w:hAnsi="Arial" w:cs="Arial"/>
              <w:b/>
              <w:bCs/>
              <w:szCs w:val="18"/>
              <w:lang w:val="es-ES"/>
            </w:rPr>
          </w:pPr>
          <w:r w:rsidRPr="005C13D4">
            <w:rPr>
              <w:bCs/>
              <w:lang w:val="fr-CH"/>
            </w:rPr>
            <w:tab/>
          </w:r>
          <w:r>
            <w:rPr>
              <w:bCs/>
            </w:rPr>
            <w:t>EG-ITRs-4</w:t>
          </w:r>
          <w:r>
            <w:rPr>
              <w:bCs/>
              <w:lang w:val="es-ES"/>
            </w:rPr>
            <w:t>/</w:t>
          </w:r>
          <w:r w:rsidR="00E674F8">
            <w:rPr>
              <w:bCs/>
              <w:lang w:val="es-ES"/>
            </w:rPr>
            <w:t>9</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026AA815" w14:textId="77777777" w:rsidR="00F3674C" w:rsidRPr="00877BF2" w:rsidRDefault="00F3674C" w:rsidP="00EE49E8">
    <w:pPr>
      <w:pStyle w:val="Header"/>
      <w:tabs>
        <w:tab w:val="left" w:pos="8080"/>
        <w:tab w:val="right" w:pos="9072"/>
      </w:tabs>
      <w:jc w:val="left"/>
      <w:rPr>
        <w:bCs/>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674F8" w:rsidRPr="00877BF2" w14:paraId="33D58B6D" w14:textId="77777777" w:rsidTr="0042469C">
      <w:trPr>
        <w:jc w:val="center"/>
      </w:trPr>
      <w:tc>
        <w:tcPr>
          <w:tcW w:w="1803" w:type="dxa"/>
          <w:vAlign w:val="center"/>
        </w:tcPr>
        <w:p w14:paraId="432CD8C2" w14:textId="77777777" w:rsidR="00E674F8" w:rsidRDefault="00E674F8" w:rsidP="00EE49E8">
          <w:pPr>
            <w:pStyle w:val="Header"/>
            <w:jc w:val="left"/>
            <w:rPr>
              <w:noProof/>
            </w:rPr>
          </w:pPr>
        </w:p>
      </w:tc>
      <w:tc>
        <w:tcPr>
          <w:tcW w:w="8261" w:type="dxa"/>
        </w:tcPr>
        <w:p w14:paraId="2A8462F8" w14:textId="77777777" w:rsidR="00E674F8" w:rsidRPr="00877BF2" w:rsidRDefault="00E674F8" w:rsidP="00F73B2C">
          <w:pPr>
            <w:pStyle w:val="Header"/>
            <w:tabs>
              <w:tab w:val="left" w:pos="6592"/>
              <w:tab w:val="right" w:pos="8505"/>
              <w:tab w:val="right" w:pos="9639"/>
            </w:tabs>
            <w:jc w:val="left"/>
            <w:rPr>
              <w:rFonts w:ascii="Arial" w:hAnsi="Arial" w:cs="Arial"/>
              <w:b/>
              <w:bCs/>
              <w:szCs w:val="18"/>
              <w:lang w:val="es-ES"/>
            </w:rPr>
          </w:pPr>
          <w:r w:rsidRPr="005C13D4">
            <w:rPr>
              <w:bCs/>
              <w:lang w:val="fr-CH"/>
            </w:rPr>
            <w:tab/>
          </w:r>
          <w:r>
            <w:rPr>
              <w:bCs/>
            </w:rPr>
            <w:t>EG-ITRs-4</w:t>
          </w:r>
          <w:r>
            <w:rPr>
              <w:bCs/>
              <w:lang w:val="es-ES"/>
            </w:rPr>
            <w:t>/9</w:t>
          </w:r>
          <w:r w:rsidRPr="00877BF2">
            <w:rPr>
              <w:bCs/>
              <w:lang w:val="es-ES"/>
            </w:rPr>
            <w:t>-E</w:t>
          </w:r>
          <w:r w:rsidRPr="00877BF2">
            <w:rPr>
              <w:bCs/>
              <w:lang w:val="es-ES"/>
            </w:rPr>
            <w:tab/>
          </w:r>
          <w:r>
            <w:fldChar w:fldCharType="begin"/>
          </w:r>
          <w:r w:rsidRPr="00877BF2">
            <w:rPr>
              <w:lang w:val="es-ES"/>
            </w:rPr>
            <w:instrText>PAGE</w:instrText>
          </w:r>
          <w:r>
            <w:fldChar w:fldCharType="separate"/>
          </w:r>
          <w:r w:rsidRPr="00877BF2">
            <w:rPr>
              <w:lang w:val="es-ES"/>
            </w:rPr>
            <w:t>1</w:t>
          </w:r>
          <w:r>
            <w:rPr>
              <w:noProof/>
            </w:rPr>
            <w:fldChar w:fldCharType="end"/>
          </w:r>
        </w:p>
      </w:tc>
    </w:tr>
  </w:tbl>
  <w:p w14:paraId="2252AB71" w14:textId="77777777" w:rsidR="00E674F8" w:rsidRPr="00877BF2" w:rsidRDefault="00E674F8" w:rsidP="00EE49E8">
    <w:pPr>
      <w:pStyle w:val="Header"/>
      <w:tabs>
        <w:tab w:val="left" w:pos="8080"/>
        <w:tab w:val="right" w:pos="9072"/>
      </w:tabs>
      <w:jc w:val="lef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07E86" w14:textId="77777777" w:rsidR="001F2EAC" w:rsidRDefault="001F2EAC">
      <w:r>
        <w:t>____________________</w:t>
      </w:r>
    </w:p>
  </w:footnote>
  <w:footnote w:type="continuationSeparator" w:id="0">
    <w:p w14:paraId="7ACE855A" w14:textId="77777777" w:rsidR="001F2EAC" w:rsidRDefault="001F2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04331" w:rsidRPr="00784011" w14:paraId="06111FCC" w14:textId="77777777" w:rsidTr="002F314B">
      <w:trPr>
        <w:trHeight w:val="1304"/>
        <w:jc w:val="center"/>
      </w:trPr>
      <w:tc>
        <w:tcPr>
          <w:tcW w:w="6546" w:type="dxa"/>
        </w:tcPr>
        <w:bookmarkStart w:id="11" w:name="_Hlk133422111"/>
        <w:p w14:paraId="70D5ED7A" w14:textId="77777777" w:rsidR="00E04331" w:rsidRPr="009621F8" w:rsidRDefault="00E04331" w:rsidP="00E04331">
          <w:pPr>
            <w:pStyle w:val="Header"/>
            <w:jc w:val="left"/>
            <w:rPr>
              <w:rFonts w:ascii="Arial" w:hAnsi="Arial" w:cs="Arial"/>
              <w:b/>
              <w:bCs/>
              <w:color w:val="009CD6"/>
              <w:sz w:val="36"/>
              <w:szCs w:val="36"/>
            </w:rPr>
          </w:pPr>
          <w:r w:rsidRPr="00130599">
            <w:rPr>
              <w:rFonts w:ascii="Arial" w:hAnsi="Arial" w:cs="Arial"/>
              <w:b/>
              <w:bCs/>
              <w:noProof/>
              <w:color w:val="009CD6"/>
              <w:szCs w:val="18"/>
            </w:rPr>
            <mc:AlternateContent>
              <mc:Choice Requires="wps">
                <w:drawing>
                  <wp:anchor distT="0" distB="0" distL="114300" distR="114300" simplePos="0" relativeHeight="251660288" behindDoc="0" locked="0" layoutInCell="1" allowOverlap="1" wp14:anchorId="6EDDCF1E" wp14:editId="4E5FAA62">
                    <wp:simplePos x="0" y="0"/>
                    <wp:positionH relativeFrom="column">
                      <wp:posOffset>1440815</wp:posOffset>
                    </wp:positionH>
                    <wp:positionV relativeFrom="paragraph">
                      <wp:posOffset>8583</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17AA06DC" w14:textId="77777777" w:rsidR="00E04331" w:rsidRDefault="00E04331" w:rsidP="00E04331">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EDDCF1E" id="_x0000_t202" coordsize="21600,21600" o:spt="202" path="m,l,21600r21600,l21600,xe">
                    <v:stroke joinstyle="miter"/>
                    <v:path gradientshapeok="t" o:connecttype="rect"/>
                  </v:shapetype>
                  <v:shape id="Text Box 2" o:spid="_x0000_s1026" type="#_x0000_t202" style="position:absolute;margin-left:113.45pt;margin-top:.7pt;width:314.9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" fillcolor="white [3212]" stroked="f">
                    <v:textbox style="mso-fit-shape-to-text:t" inset="1mm">
                      <w:txbxContent>
                        <w:p w14:paraId="17AA06DC" w14:textId="77777777" w:rsidR="00E04331" w:rsidRDefault="00E04331" w:rsidP="00E04331">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Fourth</w:t>
                          </w:r>
                          <w:r w:rsidRPr="00130599">
                            <w:rPr>
                              <w:sz w:val="20"/>
                            </w:rPr>
                            <w:t xml:space="preserve"> meeting </w:t>
                          </w:r>
                          <w:r>
                            <w:rPr>
                              <w:sz w:val="20"/>
                            </w:rPr>
                            <w:t>–</w:t>
                          </w:r>
                          <w:r w:rsidRPr="00130599">
                            <w:rPr>
                              <w:sz w:val="20"/>
                            </w:rPr>
                            <w:t xml:space="preserve"> </w:t>
                          </w:r>
                          <w:r>
                            <w:rPr>
                              <w:sz w:val="20"/>
                            </w:rPr>
                            <w:t>From 20 (p.m.) to 21 February 2025</w:t>
                          </w:r>
                        </w:p>
                      </w:txbxContent>
                    </v:textbox>
                  </v:shape>
                </w:pict>
              </mc:Fallback>
            </mc:AlternateContent>
          </w:r>
          <w:r>
            <w:rPr>
              <w:rFonts w:ascii="Arial" w:hAnsi="Arial" w:cs="Arial"/>
              <w:b/>
              <w:bCs/>
              <w:noProof/>
              <w:color w:val="009CD6"/>
              <w:sz w:val="36"/>
              <w:szCs w:val="36"/>
            </w:rPr>
            <w:drawing>
              <wp:inline distT="0" distB="0" distL="0" distR="0" wp14:anchorId="47184E70" wp14:editId="0A85FA8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A044D11" w14:textId="77777777" w:rsidR="00E04331" w:rsidRDefault="00E04331" w:rsidP="00E04331">
          <w:pPr>
            <w:pStyle w:val="Header"/>
            <w:jc w:val="right"/>
            <w:rPr>
              <w:rFonts w:ascii="Arial" w:hAnsi="Arial" w:cs="Arial"/>
              <w:b/>
              <w:bCs/>
              <w:color w:val="009CD6"/>
              <w:szCs w:val="18"/>
            </w:rPr>
          </w:pPr>
        </w:p>
        <w:p w14:paraId="720D66CE" w14:textId="77777777" w:rsidR="00E04331" w:rsidRDefault="00E04331" w:rsidP="00E04331">
          <w:pPr>
            <w:pStyle w:val="Header"/>
            <w:jc w:val="right"/>
            <w:rPr>
              <w:rFonts w:ascii="Arial" w:hAnsi="Arial" w:cs="Arial"/>
              <w:b/>
              <w:bCs/>
              <w:color w:val="009CD6"/>
              <w:szCs w:val="18"/>
            </w:rPr>
          </w:pPr>
        </w:p>
        <w:p w14:paraId="072DE0AE" w14:textId="77777777" w:rsidR="00E04331" w:rsidRPr="00784011" w:rsidRDefault="00E04331" w:rsidP="00E04331">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2DACB1DA" w14:textId="3BBB4FC2" w:rsidR="00AD3606" w:rsidRPr="00E04331" w:rsidRDefault="00E04331" w:rsidP="00E04331">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0E9C139" wp14:editId="32A684EB">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D2DE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4777" w14:textId="77777777" w:rsidR="00F3674C" w:rsidRDefault="00F36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AC"/>
    <w:rsid w:val="000041A9"/>
    <w:rsid w:val="00004C8C"/>
    <w:rsid w:val="000120E4"/>
    <w:rsid w:val="000210D4"/>
    <w:rsid w:val="00063016"/>
    <w:rsid w:val="00066795"/>
    <w:rsid w:val="00076AF6"/>
    <w:rsid w:val="00085CF2"/>
    <w:rsid w:val="000A1525"/>
    <w:rsid w:val="000B1705"/>
    <w:rsid w:val="000D75B2"/>
    <w:rsid w:val="000F6AB8"/>
    <w:rsid w:val="001121F5"/>
    <w:rsid w:val="00130599"/>
    <w:rsid w:val="00131E18"/>
    <w:rsid w:val="001400DC"/>
    <w:rsid w:val="00140CE1"/>
    <w:rsid w:val="00147C54"/>
    <w:rsid w:val="001518B4"/>
    <w:rsid w:val="0017539C"/>
    <w:rsid w:val="00175AC2"/>
    <w:rsid w:val="0017609F"/>
    <w:rsid w:val="001A7D1D"/>
    <w:rsid w:val="001B0595"/>
    <w:rsid w:val="001B51DD"/>
    <w:rsid w:val="001C628E"/>
    <w:rsid w:val="001E0F7B"/>
    <w:rsid w:val="001E0FBE"/>
    <w:rsid w:val="001E5FE7"/>
    <w:rsid w:val="001F2EAC"/>
    <w:rsid w:val="0020444A"/>
    <w:rsid w:val="00205D4E"/>
    <w:rsid w:val="002119FD"/>
    <w:rsid w:val="002130E0"/>
    <w:rsid w:val="00227AAB"/>
    <w:rsid w:val="00244F7F"/>
    <w:rsid w:val="0025570E"/>
    <w:rsid w:val="002608B7"/>
    <w:rsid w:val="00264425"/>
    <w:rsid w:val="00265875"/>
    <w:rsid w:val="0027303B"/>
    <w:rsid w:val="0028109B"/>
    <w:rsid w:val="002A2188"/>
    <w:rsid w:val="002B1F58"/>
    <w:rsid w:val="002C1C7A"/>
    <w:rsid w:val="002C54E2"/>
    <w:rsid w:val="002E0AC3"/>
    <w:rsid w:val="002F2D06"/>
    <w:rsid w:val="003000F5"/>
    <w:rsid w:val="0030160F"/>
    <w:rsid w:val="00301AEE"/>
    <w:rsid w:val="003145DF"/>
    <w:rsid w:val="00320223"/>
    <w:rsid w:val="00322D0D"/>
    <w:rsid w:val="00361465"/>
    <w:rsid w:val="003877F5"/>
    <w:rsid w:val="003942D4"/>
    <w:rsid w:val="0039514F"/>
    <w:rsid w:val="003958A8"/>
    <w:rsid w:val="003B29C2"/>
    <w:rsid w:val="003C20CA"/>
    <w:rsid w:val="003C2533"/>
    <w:rsid w:val="003D5A7F"/>
    <w:rsid w:val="003D635C"/>
    <w:rsid w:val="003D71D8"/>
    <w:rsid w:val="004016E2"/>
    <w:rsid w:val="0040435A"/>
    <w:rsid w:val="00416A24"/>
    <w:rsid w:val="0042059E"/>
    <w:rsid w:val="00431D9E"/>
    <w:rsid w:val="00433CE8"/>
    <w:rsid w:val="00434A5C"/>
    <w:rsid w:val="00435AE4"/>
    <w:rsid w:val="004544D9"/>
    <w:rsid w:val="00472BAD"/>
    <w:rsid w:val="00484009"/>
    <w:rsid w:val="00490E72"/>
    <w:rsid w:val="00491157"/>
    <w:rsid w:val="004921C8"/>
    <w:rsid w:val="00495B0B"/>
    <w:rsid w:val="004A1B8B"/>
    <w:rsid w:val="004D1851"/>
    <w:rsid w:val="004D599D"/>
    <w:rsid w:val="004E06D1"/>
    <w:rsid w:val="004E2EA5"/>
    <w:rsid w:val="004E3AEB"/>
    <w:rsid w:val="00500CA4"/>
    <w:rsid w:val="0050223C"/>
    <w:rsid w:val="005170FD"/>
    <w:rsid w:val="005243FF"/>
    <w:rsid w:val="005311D6"/>
    <w:rsid w:val="00536422"/>
    <w:rsid w:val="0054526E"/>
    <w:rsid w:val="005536C2"/>
    <w:rsid w:val="00564FBC"/>
    <w:rsid w:val="005800BC"/>
    <w:rsid w:val="00582442"/>
    <w:rsid w:val="005A335D"/>
    <w:rsid w:val="005B0869"/>
    <w:rsid w:val="005B4918"/>
    <w:rsid w:val="005C13D4"/>
    <w:rsid w:val="005E2BD5"/>
    <w:rsid w:val="005E4F47"/>
    <w:rsid w:val="005F3269"/>
    <w:rsid w:val="00601575"/>
    <w:rsid w:val="00615961"/>
    <w:rsid w:val="00623AE3"/>
    <w:rsid w:val="006261F4"/>
    <w:rsid w:val="0064737F"/>
    <w:rsid w:val="006535F1"/>
    <w:rsid w:val="0065557D"/>
    <w:rsid w:val="00660D50"/>
    <w:rsid w:val="00662984"/>
    <w:rsid w:val="00663050"/>
    <w:rsid w:val="006716BB"/>
    <w:rsid w:val="006973C8"/>
    <w:rsid w:val="006A4862"/>
    <w:rsid w:val="006B1859"/>
    <w:rsid w:val="006B6680"/>
    <w:rsid w:val="006B6DCC"/>
    <w:rsid w:val="006F6F8D"/>
    <w:rsid w:val="00701C70"/>
    <w:rsid w:val="00702DEF"/>
    <w:rsid w:val="007067EC"/>
    <w:rsid w:val="00706861"/>
    <w:rsid w:val="007247CF"/>
    <w:rsid w:val="00726B8C"/>
    <w:rsid w:val="0073530F"/>
    <w:rsid w:val="0075051B"/>
    <w:rsid w:val="0077110E"/>
    <w:rsid w:val="00775655"/>
    <w:rsid w:val="007849D5"/>
    <w:rsid w:val="00793188"/>
    <w:rsid w:val="00794D34"/>
    <w:rsid w:val="007F4E06"/>
    <w:rsid w:val="008019F3"/>
    <w:rsid w:val="00806E3C"/>
    <w:rsid w:val="00813E5E"/>
    <w:rsid w:val="00816C2C"/>
    <w:rsid w:val="0083581B"/>
    <w:rsid w:val="008372AB"/>
    <w:rsid w:val="00860EED"/>
    <w:rsid w:val="00863874"/>
    <w:rsid w:val="00864AFF"/>
    <w:rsid w:val="00865925"/>
    <w:rsid w:val="00877BF2"/>
    <w:rsid w:val="00891503"/>
    <w:rsid w:val="008A2F06"/>
    <w:rsid w:val="008B4A6A"/>
    <w:rsid w:val="008C6213"/>
    <w:rsid w:val="008C7E27"/>
    <w:rsid w:val="008F3822"/>
    <w:rsid w:val="008F7448"/>
    <w:rsid w:val="0090147A"/>
    <w:rsid w:val="0090389B"/>
    <w:rsid w:val="009173EF"/>
    <w:rsid w:val="00932906"/>
    <w:rsid w:val="00961860"/>
    <w:rsid w:val="00961B0B"/>
    <w:rsid w:val="00962D33"/>
    <w:rsid w:val="009B38C3"/>
    <w:rsid w:val="009D46C7"/>
    <w:rsid w:val="009E17BD"/>
    <w:rsid w:val="009E485A"/>
    <w:rsid w:val="009F13E2"/>
    <w:rsid w:val="00A04CEC"/>
    <w:rsid w:val="00A27F92"/>
    <w:rsid w:val="00A32257"/>
    <w:rsid w:val="00A36D20"/>
    <w:rsid w:val="00A43C03"/>
    <w:rsid w:val="00A46CD0"/>
    <w:rsid w:val="00A514A4"/>
    <w:rsid w:val="00A52C84"/>
    <w:rsid w:val="00A55622"/>
    <w:rsid w:val="00A83502"/>
    <w:rsid w:val="00AB6F73"/>
    <w:rsid w:val="00AD15B3"/>
    <w:rsid w:val="00AD3606"/>
    <w:rsid w:val="00AD4A3D"/>
    <w:rsid w:val="00AF1977"/>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94B"/>
    <w:rsid w:val="00BE2640"/>
    <w:rsid w:val="00BF4CA2"/>
    <w:rsid w:val="00C01189"/>
    <w:rsid w:val="00C07DDC"/>
    <w:rsid w:val="00C374DE"/>
    <w:rsid w:val="00C47AD4"/>
    <w:rsid w:val="00C52D81"/>
    <w:rsid w:val="00C55198"/>
    <w:rsid w:val="00C725C6"/>
    <w:rsid w:val="00C81B52"/>
    <w:rsid w:val="00C922C7"/>
    <w:rsid w:val="00CA6393"/>
    <w:rsid w:val="00CB18FF"/>
    <w:rsid w:val="00CB24AA"/>
    <w:rsid w:val="00CC6EAA"/>
    <w:rsid w:val="00CD0C08"/>
    <w:rsid w:val="00CD3C91"/>
    <w:rsid w:val="00CE03FB"/>
    <w:rsid w:val="00CE433C"/>
    <w:rsid w:val="00CF0161"/>
    <w:rsid w:val="00CF08C4"/>
    <w:rsid w:val="00CF33F3"/>
    <w:rsid w:val="00D06183"/>
    <w:rsid w:val="00D1328C"/>
    <w:rsid w:val="00D22C42"/>
    <w:rsid w:val="00D45669"/>
    <w:rsid w:val="00D464CC"/>
    <w:rsid w:val="00D522F6"/>
    <w:rsid w:val="00D55ED1"/>
    <w:rsid w:val="00D65041"/>
    <w:rsid w:val="00D659E4"/>
    <w:rsid w:val="00D67039"/>
    <w:rsid w:val="00D86E6C"/>
    <w:rsid w:val="00DB00D5"/>
    <w:rsid w:val="00DB1936"/>
    <w:rsid w:val="00DB384B"/>
    <w:rsid w:val="00DC1B9F"/>
    <w:rsid w:val="00DF0189"/>
    <w:rsid w:val="00E04331"/>
    <w:rsid w:val="00E06FD5"/>
    <w:rsid w:val="00E10E80"/>
    <w:rsid w:val="00E124F0"/>
    <w:rsid w:val="00E227F3"/>
    <w:rsid w:val="00E4728B"/>
    <w:rsid w:val="00E545C6"/>
    <w:rsid w:val="00E60F04"/>
    <w:rsid w:val="00E63EFF"/>
    <w:rsid w:val="00E65B24"/>
    <w:rsid w:val="00E674F8"/>
    <w:rsid w:val="00E76B0D"/>
    <w:rsid w:val="00E854E4"/>
    <w:rsid w:val="00E85B67"/>
    <w:rsid w:val="00E86DBF"/>
    <w:rsid w:val="00EB0D6F"/>
    <w:rsid w:val="00EB2232"/>
    <w:rsid w:val="00EC5337"/>
    <w:rsid w:val="00EC7C07"/>
    <w:rsid w:val="00EE49E8"/>
    <w:rsid w:val="00F10B59"/>
    <w:rsid w:val="00F16BAB"/>
    <w:rsid w:val="00F2150A"/>
    <w:rsid w:val="00F231D8"/>
    <w:rsid w:val="00F3674C"/>
    <w:rsid w:val="00F44C00"/>
    <w:rsid w:val="00F45D2C"/>
    <w:rsid w:val="00F46C5F"/>
    <w:rsid w:val="00F632C0"/>
    <w:rsid w:val="00F66A26"/>
    <w:rsid w:val="00F73B2C"/>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3C2AC"/>
  <w15:docId w15:val="{01D94A4B-A735-4BB8-9828-245A4675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C6213"/>
    <w:pPr>
      <w:spacing w:before="200" w:after="12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8019F3"/>
    <w:rPr>
      <w:color w:val="666666"/>
    </w:rPr>
  </w:style>
  <w:style w:type="paragraph" w:styleId="Signature">
    <w:name w:val="Signature"/>
    <w:basedOn w:val="Normal"/>
    <w:link w:val="SignatureChar"/>
    <w:unhideWhenUsed/>
    <w:rsid w:val="006F6F8D"/>
    <w:pPr>
      <w:tabs>
        <w:tab w:val="clear" w:pos="567"/>
        <w:tab w:val="clear" w:pos="1134"/>
        <w:tab w:val="clear" w:pos="1701"/>
        <w:tab w:val="clear" w:pos="2268"/>
        <w:tab w:val="clear" w:pos="2835"/>
        <w:tab w:val="center" w:pos="7371"/>
      </w:tabs>
      <w:spacing w:before="600"/>
    </w:pPr>
  </w:style>
  <w:style w:type="character" w:customStyle="1" w:styleId="SignatureChar">
    <w:name w:val="Signature Char"/>
    <w:basedOn w:val="DefaultParagraphFont"/>
    <w:link w:val="Signature"/>
    <w:rsid w:val="006F6F8D"/>
    <w:rPr>
      <w:rFonts w:ascii="Calibri" w:hAnsi="Calibri"/>
      <w:sz w:val="24"/>
      <w:lang w:val="en-GB" w:eastAsia="en-US"/>
    </w:rPr>
  </w:style>
  <w:style w:type="paragraph" w:customStyle="1" w:styleId="EditorsNote">
    <w:name w:val="EditorsNote"/>
    <w:basedOn w:val="Normal"/>
    <w:rsid w:val="006F6F8D"/>
    <w:pPr>
      <w:spacing w:before="240" w:after="240"/>
      <w:jc w:val="both"/>
    </w:pPr>
    <w:rPr>
      <w:i/>
      <w:iCs/>
    </w:rPr>
  </w:style>
  <w:style w:type="paragraph" w:customStyle="1" w:styleId="Tablefin">
    <w:name w:val="Table_fin"/>
    <w:basedOn w:val="Tabletext"/>
    <w:rsid w:val="00AB6F73"/>
    <w:pPr>
      <w:tabs>
        <w:tab w:val="clear" w:pos="284"/>
        <w:tab w:val="clear" w:pos="567"/>
        <w:tab w:val="clear" w:pos="851"/>
      </w:tabs>
      <w:spacing w:before="0" w:after="0"/>
    </w:pPr>
  </w:style>
  <w:style w:type="paragraph" w:customStyle="1" w:styleId="Reasons">
    <w:name w:val="Reasons"/>
    <w:basedOn w:val="Normal"/>
    <w:qFormat/>
    <w:rsid w:val="003000F5"/>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C-0026/en" TargetMode="External"/><Relationship Id="rId18" Type="http://schemas.openxmlformats.org/officeDocument/2006/relationships/hyperlink" Target="https://www.itu.int/md/S25-EGITRS4-C-0005/en" TargetMode="External"/><Relationship Id="rId26" Type="http://schemas.openxmlformats.org/officeDocument/2006/relationships/hyperlink" Target="https://www.itu.int/md/S23-EGITRS1-C-0003/en" TargetMode="External"/><Relationship Id="rId39" Type="http://schemas.openxmlformats.org/officeDocument/2006/relationships/header" Target="header2.xml"/><Relationship Id="rId21" Type="http://schemas.openxmlformats.org/officeDocument/2006/relationships/header" Target="header1.xml"/><Relationship Id="rId34" Type="http://schemas.openxmlformats.org/officeDocument/2006/relationships/hyperlink" Target="https://www.itu.int/md/S24-EGITRS2-C-0021/e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3-EGITRS1-C-0002/en" TargetMode="External"/><Relationship Id="rId20" Type="http://schemas.openxmlformats.org/officeDocument/2006/relationships/footer" Target="footer1.xml"/><Relationship Id="rId29" Type="http://schemas.openxmlformats.org/officeDocument/2006/relationships/hyperlink" Target="https://www.itu.int/md/S23-EGITRS1-C-0006/en"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5-EGITRS4-C-0007/en" TargetMode="External"/><Relationship Id="rId24" Type="http://schemas.openxmlformats.org/officeDocument/2006/relationships/hyperlink" Target="https://www.itu.int/md/S23-EGITRS1-C-0001/en" TargetMode="External"/><Relationship Id="rId32" Type="http://schemas.openxmlformats.org/officeDocument/2006/relationships/hyperlink" Target="https://www.itu.int/md/S23-EGITRS1-C-0009/en" TargetMode="External"/><Relationship Id="rId37" Type="http://schemas.openxmlformats.org/officeDocument/2006/relationships/hyperlink" Target="https://www.itu.int/md/S21-EGITR5-C-0010/en"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25-EGITRS4-C-0004/en" TargetMode="External"/><Relationship Id="rId23" Type="http://schemas.openxmlformats.org/officeDocument/2006/relationships/hyperlink" Target="https://www.itu.int/md/S24-EGITRS2-C-0020/en" TargetMode="External"/><Relationship Id="rId28" Type="http://schemas.openxmlformats.org/officeDocument/2006/relationships/hyperlink" Target="https://www.itu.int/md/S23-EGITRS1-C-0005/en" TargetMode="External"/><Relationship Id="rId36" Type="http://schemas.openxmlformats.org/officeDocument/2006/relationships/hyperlink" Target="https://www.itu.int/md/S21-EGITR4-C-0008/en" TargetMode="External"/><Relationship Id="rId10" Type="http://schemas.openxmlformats.org/officeDocument/2006/relationships/hyperlink" Target="https://www.itu.int/md/S25-EGITRS4-C-0006/en" TargetMode="External"/><Relationship Id="rId19" Type="http://schemas.openxmlformats.org/officeDocument/2006/relationships/hyperlink" Target="https://www.itu.int/md/S25-EGITRS4-C-0008/en" TargetMode="External"/><Relationship Id="rId31" Type="http://schemas.openxmlformats.org/officeDocument/2006/relationships/hyperlink" Target="https://www.itu.int/md/S23-EGITRS1-C-0008/en" TargetMode="External"/><Relationship Id="rId4" Type="http://schemas.openxmlformats.org/officeDocument/2006/relationships/settings" Target="settings.xml"/><Relationship Id="rId9" Type="http://schemas.openxmlformats.org/officeDocument/2006/relationships/hyperlink" Target="https://www.itu.int/md/S25-EGITRS4-C-0002/en" TargetMode="External"/><Relationship Id="rId14" Type="http://schemas.openxmlformats.org/officeDocument/2006/relationships/hyperlink" Target="https://www.itu.int/md/S24-EGITRS3-240930-DL-0001/en" TargetMode="External"/><Relationship Id="rId22" Type="http://schemas.openxmlformats.org/officeDocument/2006/relationships/footer" Target="footer2.xml"/><Relationship Id="rId27" Type="http://schemas.openxmlformats.org/officeDocument/2006/relationships/hyperlink" Target="https://www.itu.int/md/S23-EGITRS1-C-0004/en" TargetMode="External"/><Relationship Id="rId30" Type="http://schemas.openxmlformats.org/officeDocument/2006/relationships/hyperlink" Target="https://www.itu.int/md/S23-EGITRS1-C-0007/en" TargetMode="External"/><Relationship Id="rId35" Type="http://schemas.openxmlformats.org/officeDocument/2006/relationships/hyperlink" Target="https://www.itu.int/md/S24-EGITRS3-C-0012/en" TargetMode="External"/><Relationship Id="rId43" Type="http://schemas.openxmlformats.org/officeDocument/2006/relationships/theme" Target="theme/theme1.xml"/><Relationship Id="rId8" Type="http://schemas.openxmlformats.org/officeDocument/2006/relationships/hyperlink" Target="https://www.itu.int/md/S25-EGITRS4-C-0001/en" TargetMode="External"/><Relationship Id="rId3" Type="http://schemas.openxmlformats.org/officeDocument/2006/relationships/styles" Target="styles.xml"/><Relationship Id="rId12" Type="http://schemas.openxmlformats.org/officeDocument/2006/relationships/hyperlink" Target="https://www.itu.int/md/S25-EGITRS4-C-0003/en" TargetMode="External"/><Relationship Id="rId17" Type="http://schemas.openxmlformats.org/officeDocument/2006/relationships/hyperlink" Target="https://www.itu.int/md/S24-EGITRS3-C-0002/en" TargetMode="External"/><Relationship Id="rId25" Type="http://schemas.openxmlformats.org/officeDocument/2006/relationships/hyperlink" Target="https://www.itu.int/md/S23-EGITRS1-C-0002/en" TargetMode="External"/><Relationship Id="rId33" Type="http://schemas.openxmlformats.org/officeDocument/2006/relationships/hyperlink" Target="https://www.itu.int/md/S23-EGITRS1-C-0010/en" TargetMode="External"/><Relationship Id="rId38" Type="http://schemas.openxmlformats.org/officeDocument/2006/relationships/hyperlink" Target="https://www.itu.int/md/S21-EGITR5-C-001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3317</Words>
  <Characters>17238</Characters>
  <Application>Microsoft Office Word</Application>
  <DocSecurity>0</DocSecurity>
  <Lines>340</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- 20-21 Feb. 2025</dc:title>
  <dc:subject>ITU Expert Group on ITRs</dc:subject>
  <cp:keywords>EG-ITRs</cp:keywords>
  <dc:description/>
  <dcterms:created xsi:type="dcterms:W3CDTF">2025-02-24T07:36:00Z</dcterms:created>
  <dcterms:modified xsi:type="dcterms:W3CDTF">2025-02-24T08:24:00Z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c4729a070528e746511c7d5257fa801ff9350e8aa1846f3e2bd95cf700693f78</vt:lpwstr>
  </property>
</Properties>
</file>