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00AD3606">
        <w:trPr>
          <w:cantSplit/>
          <w:trHeight w:val="23"/>
        </w:trPr>
        <w:tc>
          <w:tcPr>
            <w:tcW w:w="3969" w:type="dxa"/>
            <w:vMerge w:val="restart"/>
            <w:tcMar>
              <w:left w:w="0" w:type="dxa"/>
            </w:tcMar>
          </w:tcPr>
          <w:p w14:paraId="3C67D1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63A8B9EE"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Pr>
                <w:b/>
                <w:lang w:val="fr-CH"/>
              </w:rPr>
              <w:t>EG</w:t>
            </w:r>
            <w:proofErr w:type="spellEnd"/>
            <w:r>
              <w:rPr>
                <w:b/>
                <w:lang w:val="fr-CH"/>
              </w:rPr>
              <w:t>-</w:t>
            </w:r>
            <w:proofErr w:type="spellStart"/>
            <w:r>
              <w:rPr>
                <w:b/>
                <w:lang w:val="fr-CH"/>
              </w:rPr>
              <w:t>ITRs</w:t>
            </w:r>
            <w:proofErr w:type="spellEnd"/>
            <w:r w:rsidRPr="00A52C84">
              <w:rPr>
                <w:b/>
                <w:lang w:val="fr-CH"/>
              </w:rPr>
              <w:t>-</w:t>
            </w:r>
            <w:r>
              <w:rPr>
                <w:b/>
                <w:lang w:val="fr-CH"/>
              </w:rPr>
              <w:t>4</w:t>
            </w:r>
            <w:r w:rsidR="00F66A26">
              <w:rPr>
                <w:b/>
                <w:lang w:val="fr-FR"/>
              </w:rPr>
              <w:t>/</w:t>
            </w:r>
            <w:r w:rsidR="00DE2633">
              <w:rPr>
                <w:b/>
                <w:lang w:val="fr-FR"/>
              </w:rPr>
              <w:t>2</w:t>
            </w:r>
          </w:p>
        </w:tc>
      </w:tr>
      <w:tr w:rsidR="00AD3606" w:rsidRPr="00147C54" w14:paraId="2E227EC6" w14:textId="77777777" w:rsidTr="00AD3606">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6C71988C" w:rsidR="00AD3606" w:rsidRPr="00147C54" w:rsidRDefault="00E37A3A" w:rsidP="00AD3606">
            <w:pPr>
              <w:tabs>
                <w:tab w:val="left" w:pos="851"/>
              </w:tabs>
              <w:spacing w:before="0"/>
              <w:jc w:val="right"/>
              <w:rPr>
                <w:b/>
              </w:rPr>
            </w:pPr>
            <w:r>
              <w:rPr>
                <w:b/>
              </w:rPr>
              <w:t>13 November 2024</w:t>
            </w:r>
          </w:p>
        </w:tc>
      </w:tr>
      <w:tr w:rsidR="00AD3606" w:rsidRPr="00147C54" w14:paraId="694FB5C3" w14:textId="77777777" w:rsidTr="00AD3606">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00AD3606">
        <w:trPr>
          <w:cantSplit/>
          <w:trHeight w:val="23"/>
        </w:trPr>
        <w:tc>
          <w:tcPr>
            <w:tcW w:w="3969" w:type="dxa"/>
          </w:tcPr>
          <w:p w14:paraId="31FCE42A" w14:textId="77777777" w:rsidR="00472BAD" w:rsidRPr="00147C54" w:rsidRDefault="00472BAD" w:rsidP="00AD3606">
            <w:pPr>
              <w:tabs>
                <w:tab w:val="left" w:pos="851"/>
              </w:tabs>
              <w:spacing w:line="240" w:lineRule="atLeast"/>
              <w:rPr>
                <w:b/>
              </w:rPr>
            </w:pPr>
          </w:p>
        </w:tc>
        <w:tc>
          <w:tcPr>
            <w:tcW w:w="5245" w:type="dxa"/>
          </w:tcPr>
          <w:p w14:paraId="4DC9EF6E" w14:textId="77777777" w:rsidR="00472BAD" w:rsidRPr="00147C54" w:rsidRDefault="00472BAD" w:rsidP="00AD3606">
            <w:pPr>
              <w:tabs>
                <w:tab w:val="left" w:pos="851"/>
              </w:tabs>
              <w:spacing w:before="0" w:line="240" w:lineRule="atLeast"/>
              <w:jc w:val="right"/>
              <w:rPr>
                <w:b/>
              </w:rPr>
            </w:pPr>
          </w:p>
        </w:tc>
      </w:tr>
      <w:tr w:rsidR="00AD3606" w:rsidRPr="00147C54" w14:paraId="77E136EE" w14:textId="77777777" w:rsidTr="00AD3606">
        <w:trPr>
          <w:cantSplit/>
        </w:trPr>
        <w:tc>
          <w:tcPr>
            <w:tcW w:w="9214" w:type="dxa"/>
            <w:gridSpan w:val="2"/>
            <w:tcMar>
              <w:left w:w="0" w:type="dxa"/>
            </w:tcMar>
          </w:tcPr>
          <w:p w14:paraId="4B7C3A9B" w14:textId="37F93AFA" w:rsidR="00AD3606" w:rsidRPr="00147C54" w:rsidRDefault="00663050"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rsidR="00E37A3A">
              <w:t>HILL</w:t>
            </w:r>
          </w:p>
        </w:tc>
      </w:tr>
      <w:tr w:rsidR="00AD3606" w:rsidRPr="00147C54" w14:paraId="60BC365E" w14:textId="77777777" w:rsidTr="00AD3606">
        <w:trPr>
          <w:cantSplit/>
        </w:trPr>
        <w:tc>
          <w:tcPr>
            <w:tcW w:w="9214" w:type="dxa"/>
            <w:gridSpan w:val="2"/>
            <w:tcMar>
              <w:left w:w="0" w:type="dxa"/>
            </w:tcMar>
          </w:tcPr>
          <w:p w14:paraId="16053483" w14:textId="0AB70D1F" w:rsidR="00AD3606" w:rsidRPr="00147C54" w:rsidRDefault="00307B88" w:rsidP="00E4728B">
            <w:pPr>
              <w:pStyle w:val="Subtitle"/>
              <w:framePr w:hSpace="0" w:wrap="auto" w:xAlign="left" w:yAlign="inline"/>
            </w:pPr>
            <w:bookmarkStart w:id="9" w:name="dtitle1" w:colFirst="0" w:colLast="0"/>
            <w:bookmarkEnd w:id="8"/>
            <w:r w:rsidRPr="00307B88">
              <w:t>IMPORTANCE OF SPECIAL ARRANGEMENTS</w:t>
            </w:r>
          </w:p>
        </w:tc>
      </w:tr>
      <w:tr w:rsidR="00AD3606" w:rsidRPr="00147C54" w14:paraId="0D69AF66" w14:textId="77777777" w:rsidTr="00AD3606">
        <w:trPr>
          <w:cantSplit/>
        </w:trPr>
        <w:tc>
          <w:tcPr>
            <w:tcW w:w="9214" w:type="dxa"/>
            <w:gridSpan w:val="2"/>
            <w:tcBorders>
              <w:top w:val="single" w:sz="4" w:space="0" w:color="auto"/>
              <w:bottom w:val="single" w:sz="4" w:space="0" w:color="auto"/>
            </w:tcBorders>
            <w:tcMar>
              <w:left w:w="0" w:type="dxa"/>
            </w:tcMar>
          </w:tcPr>
          <w:p w14:paraId="2F7E9781" w14:textId="77777777" w:rsidR="00AD3606" w:rsidRPr="00147C54" w:rsidRDefault="00F16BAB" w:rsidP="00F16BAB">
            <w:pPr>
              <w:spacing w:before="160"/>
              <w:rPr>
                <w:b/>
                <w:bCs/>
                <w:sz w:val="26"/>
                <w:szCs w:val="26"/>
              </w:rPr>
            </w:pPr>
            <w:r w:rsidRPr="00147C54">
              <w:rPr>
                <w:b/>
                <w:bCs/>
                <w:sz w:val="26"/>
                <w:szCs w:val="26"/>
              </w:rPr>
              <w:t>Purpose</w:t>
            </w:r>
          </w:p>
          <w:p w14:paraId="26870429" w14:textId="7D61B13D" w:rsidR="00AD3606" w:rsidRPr="00147C54" w:rsidRDefault="00E37A3A" w:rsidP="00E37A3A">
            <w:r w:rsidRPr="00E37A3A">
              <w:t>This contribution discusses the importance of the Special Arrangements article of the ITRs.</w:t>
            </w:r>
          </w:p>
          <w:p w14:paraId="24B759A2" w14:textId="77777777" w:rsidR="00AD3606" w:rsidRPr="00147C54" w:rsidRDefault="00AD3606" w:rsidP="00F16BAB">
            <w:pPr>
              <w:spacing w:before="160"/>
              <w:rPr>
                <w:b/>
                <w:bCs/>
                <w:sz w:val="26"/>
                <w:szCs w:val="26"/>
              </w:rPr>
            </w:pPr>
            <w:r w:rsidRPr="00147C54">
              <w:rPr>
                <w:b/>
                <w:bCs/>
                <w:sz w:val="26"/>
                <w:szCs w:val="26"/>
              </w:rPr>
              <w:t>Action required</w:t>
            </w:r>
          </w:p>
          <w:p w14:paraId="28F6734B" w14:textId="3960F0D8" w:rsidR="00663050" w:rsidRPr="004D648B" w:rsidRDefault="00663050" w:rsidP="00663050">
            <w:pPr>
              <w:spacing w:before="160"/>
              <w:rPr>
                <w:b/>
                <w:bCs/>
                <w:szCs w:val="24"/>
              </w:rPr>
            </w:pPr>
            <w:r w:rsidRPr="00F7413F">
              <w:t xml:space="preserve">The Expert Group on the International Telecommunication Regulations is invited to </w:t>
            </w:r>
            <w:r w:rsidR="00E37A3A" w:rsidRPr="00E37A3A">
              <w:rPr>
                <w:b/>
                <w:bCs/>
              </w:rPr>
              <w:t>consider</w:t>
            </w:r>
            <w:r w:rsidR="00E37A3A">
              <w:t xml:space="preserve"> </w:t>
            </w:r>
            <w:r w:rsidRPr="00F7413F">
              <w:t>this document.</w:t>
            </w:r>
          </w:p>
          <w:p w14:paraId="11B1DD1D" w14:textId="77777777" w:rsidR="00AD3606" w:rsidRPr="00CD3C91" w:rsidRDefault="00CD3C91" w:rsidP="00CD3C91">
            <w:r>
              <w:t>_______________</w:t>
            </w:r>
          </w:p>
          <w:p w14:paraId="6F7C6558" w14:textId="33FAA30D" w:rsidR="00AD3606" w:rsidRPr="00147C54" w:rsidRDefault="00AD3606" w:rsidP="00663050">
            <w:pPr>
              <w:spacing w:before="160"/>
              <w:rPr>
                <w:b/>
                <w:bCs/>
                <w:sz w:val="26"/>
                <w:szCs w:val="26"/>
              </w:rPr>
            </w:pPr>
            <w:r w:rsidRPr="00147C54">
              <w:rPr>
                <w:b/>
                <w:bCs/>
                <w:sz w:val="26"/>
                <w:szCs w:val="26"/>
              </w:rPr>
              <w:t>References</w:t>
            </w:r>
          </w:p>
          <w:p w14:paraId="1248C992" w14:textId="0727228B" w:rsidR="00AD3606" w:rsidRPr="00E37A3A" w:rsidRDefault="00E37A3A" w:rsidP="00E37A3A">
            <w:pPr>
              <w:spacing w:after="160"/>
              <w:rPr>
                <w:i/>
                <w:iCs/>
                <w:sz w:val="22"/>
                <w:szCs w:val="22"/>
              </w:rPr>
            </w:pPr>
            <w:r w:rsidRPr="00E37A3A">
              <w:rPr>
                <w:i/>
                <w:iCs/>
                <w:sz w:val="22"/>
                <w:szCs w:val="22"/>
              </w:rPr>
              <w:t xml:space="preserve">Council </w:t>
            </w:r>
            <w:hyperlink r:id="rId8" w:history="1">
              <w:r w:rsidRPr="00E37A3A">
                <w:rPr>
                  <w:rStyle w:val="Hyperlink"/>
                  <w:i/>
                  <w:iCs/>
                  <w:sz w:val="22"/>
                  <w:szCs w:val="22"/>
                </w:rPr>
                <w:t>Resolution 1379</w:t>
              </w:r>
            </w:hyperlink>
            <w:r w:rsidRPr="00E37A3A">
              <w:rPr>
                <w:i/>
                <w:iCs/>
                <w:sz w:val="22"/>
                <w:szCs w:val="22"/>
              </w:rPr>
              <w:t xml:space="preserve"> (Terms of Reference);</w:t>
            </w:r>
            <w:r w:rsidR="00052D13">
              <w:rPr>
                <w:i/>
                <w:iCs/>
                <w:sz w:val="22"/>
                <w:szCs w:val="22"/>
              </w:rPr>
              <w:t xml:space="preserve"> Documents</w:t>
            </w:r>
            <w:r w:rsidRPr="00E37A3A">
              <w:rPr>
                <w:i/>
                <w:iCs/>
                <w:sz w:val="22"/>
                <w:szCs w:val="22"/>
              </w:rPr>
              <w:t xml:space="preserve"> </w:t>
            </w:r>
            <w:hyperlink r:id="rId9" w:history="1">
              <w:r w:rsidRPr="00E37A3A">
                <w:rPr>
                  <w:rStyle w:val="Hyperlink"/>
                  <w:bCs/>
                  <w:i/>
                  <w:iCs/>
                  <w:sz w:val="22"/>
                  <w:szCs w:val="22"/>
                </w:rPr>
                <w:t>EG-ITRs-2/19</w:t>
              </w:r>
            </w:hyperlink>
            <w:r w:rsidRPr="00E37A3A">
              <w:rPr>
                <w:bCs/>
                <w:i/>
                <w:iCs/>
                <w:sz w:val="22"/>
                <w:szCs w:val="22"/>
              </w:rPr>
              <w:t xml:space="preserve">, </w:t>
            </w:r>
            <w:hyperlink r:id="rId10" w:history="1">
              <w:r w:rsidRPr="00E37A3A">
                <w:rPr>
                  <w:rStyle w:val="Hyperlink"/>
                  <w:bCs/>
                  <w:i/>
                  <w:iCs/>
                  <w:sz w:val="22"/>
                  <w:szCs w:val="22"/>
                  <w:lang w:val="en-US"/>
                </w:rPr>
                <w:t>EG-ITRs-3/2</w:t>
              </w:r>
            </w:hyperlink>
            <w:r w:rsidRPr="00E37A3A">
              <w:rPr>
                <w:bCs/>
                <w:i/>
                <w:iCs/>
                <w:sz w:val="22"/>
                <w:szCs w:val="22"/>
                <w:lang w:val="en-US"/>
              </w:rPr>
              <w:t>,</w:t>
            </w:r>
            <w:r w:rsidR="00052D13">
              <w:rPr>
                <w:bCs/>
                <w:i/>
                <w:iCs/>
                <w:sz w:val="22"/>
                <w:szCs w:val="22"/>
                <w:lang w:val="en-US"/>
              </w:rPr>
              <w:t xml:space="preserve"> and</w:t>
            </w:r>
            <w:r w:rsidRPr="00E37A3A">
              <w:rPr>
                <w:bCs/>
                <w:i/>
                <w:iCs/>
                <w:sz w:val="22"/>
                <w:szCs w:val="22"/>
                <w:lang w:val="en-US"/>
              </w:rPr>
              <w:t xml:space="preserve"> </w:t>
            </w:r>
            <w:hyperlink r:id="rId11" w:history="1">
              <w:r w:rsidRPr="00E37A3A">
                <w:rPr>
                  <w:rStyle w:val="Hyperlink"/>
                  <w:bCs/>
                  <w:i/>
                  <w:iCs/>
                  <w:sz w:val="22"/>
                  <w:szCs w:val="22"/>
                </w:rPr>
                <w:t>EG-ITRs-3/7</w:t>
              </w:r>
            </w:hyperlink>
          </w:p>
        </w:tc>
      </w:tr>
    </w:tbl>
    <w:p w14:paraId="2A7A88D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E1519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E2BD132" w14:textId="49E60068" w:rsidR="00912EBC" w:rsidRPr="004D648B" w:rsidRDefault="00912EBC" w:rsidP="00052D13">
      <w:pPr>
        <w:pStyle w:val="Headingb"/>
      </w:pPr>
      <w:r>
        <w:lastRenderedPageBreak/>
        <w:t>Summary</w:t>
      </w:r>
    </w:p>
    <w:p w14:paraId="3205326C" w14:textId="77777777" w:rsidR="00912EBC" w:rsidRPr="00204E80" w:rsidRDefault="00912EBC" w:rsidP="007D02AE">
      <w:pPr>
        <w:jc w:val="both"/>
        <w:rPr>
          <w:bCs/>
          <w:szCs w:val="24"/>
          <w:lang w:val="en-US"/>
        </w:rPr>
      </w:pPr>
      <w:r>
        <w:rPr>
          <w:rFonts w:cs="Calibri"/>
          <w:bCs/>
          <w:szCs w:val="24"/>
        </w:rPr>
        <w:t>Some contributions have stated that operators do not use the ITRs</w:t>
      </w:r>
      <w:r>
        <w:t>. Indeed most operators do not explicitly refer to the ITRs in their commercial contracts, however they rely on the ITRs in order to avoid having to use the accounting rate system. Transparency would be improved if all Member States could agree to the provisions of Article 8 of the 2012 ITRs.</w:t>
      </w:r>
    </w:p>
    <w:p w14:paraId="0C6C291D" w14:textId="77777777" w:rsidR="00912EBC" w:rsidRDefault="00912EBC" w:rsidP="00052D13">
      <w:pPr>
        <w:pStyle w:val="Headingb"/>
      </w:pPr>
      <w:r>
        <w:t>Background</w:t>
      </w:r>
    </w:p>
    <w:p w14:paraId="2C71E2C7" w14:textId="153D8B82" w:rsidR="00912EBC" w:rsidRDefault="00912EBC" w:rsidP="00052D13">
      <w:pPr>
        <w:jc w:val="both"/>
        <w:rPr>
          <w:rFonts w:cs="Calibri"/>
          <w:bCs/>
          <w:szCs w:val="24"/>
        </w:rPr>
      </w:pPr>
      <w:r>
        <w:rPr>
          <w:rFonts w:cs="Calibri"/>
          <w:bCs/>
          <w:szCs w:val="24"/>
        </w:rPr>
        <w:t>1</w:t>
      </w:r>
      <w:r w:rsidR="00052D13">
        <w:rPr>
          <w:rFonts w:cs="Calibri"/>
          <w:bCs/>
          <w:szCs w:val="24"/>
        </w:rPr>
        <w:tab/>
      </w:r>
      <w:r>
        <w:rPr>
          <w:rFonts w:cs="Calibri"/>
          <w:bCs/>
          <w:szCs w:val="24"/>
        </w:rPr>
        <w:t>It has been stated that operators do not use the ITRs (see</w:t>
      </w:r>
      <w:r w:rsidR="00052D13">
        <w:rPr>
          <w:rFonts w:cs="Calibri"/>
          <w:bCs/>
          <w:szCs w:val="24"/>
        </w:rPr>
        <w:t>,</w:t>
      </w:r>
      <w:r>
        <w:rPr>
          <w:rFonts w:cs="Calibri"/>
          <w:bCs/>
          <w:szCs w:val="24"/>
        </w:rPr>
        <w:t xml:space="preserve"> for example</w:t>
      </w:r>
      <w:r w:rsidR="00052D13">
        <w:rPr>
          <w:rFonts w:cs="Calibri"/>
          <w:bCs/>
          <w:szCs w:val="24"/>
        </w:rPr>
        <w:t>, Documents </w:t>
      </w:r>
      <w:hyperlink r:id="rId12" w:history="1">
        <w:r w:rsidRPr="00FF550B">
          <w:rPr>
            <w:rStyle w:val="Hyperlink"/>
            <w:rFonts w:cs="Calibri"/>
            <w:bCs/>
            <w:szCs w:val="24"/>
          </w:rPr>
          <w:t>EG</w:t>
        </w:r>
        <w:r w:rsidR="00052D13">
          <w:rPr>
            <w:rStyle w:val="Hyperlink"/>
            <w:rFonts w:cs="Calibri"/>
            <w:bCs/>
            <w:szCs w:val="24"/>
          </w:rPr>
          <w:noBreakHyphen/>
        </w:r>
        <w:r w:rsidRPr="00FF550B">
          <w:rPr>
            <w:rStyle w:val="Hyperlink"/>
            <w:rFonts w:cs="Calibri"/>
            <w:bCs/>
            <w:szCs w:val="24"/>
          </w:rPr>
          <w:t>ITRs-2/19</w:t>
        </w:r>
      </w:hyperlink>
      <w:r>
        <w:rPr>
          <w:rFonts w:cs="Calibri"/>
          <w:bCs/>
          <w:szCs w:val="24"/>
        </w:rPr>
        <w:t xml:space="preserve"> and </w:t>
      </w:r>
      <w:hyperlink r:id="rId13" w:history="1">
        <w:r w:rsidRPr="00FF550B">
          <w:rPr>
            <w:rStyle w:val="Hyperlink"/>
            <w:rFonts w:cs="Calibri"/>
            <w:bCs/>
            <w:szCs w:val="24"/>
          </w:rPr>
          <w:t>EG-ITRs-3/7</w:t>
        </w:r>
      </w:hyperlink>
      <w:r>
        <w:rPr>
          <w:rFonts w:cs="Calibri"/>
          <w:bCs/>
          <w:szCs w:val="24"/>
        </w:rPr>
        <w:t>).</w:t>
      </w:r>
    </w:p>
    <w:p w14:paraId="2815AA56" w14:textId="2CDB4FBD" w:rsidR="00912EBC" w:rsidRDefault="00912EBC" w:rsidP="00052D13">
      <w:pPr>
        <w:rPr>
          <w:rFonts w:cs="Calibri"/>
          <w:bCs/>
          <w:szCs w:val="24"/>
          <w:lang w:val="en-US"/>
        </w:rPr>
      </w:pPr>
      <w:r>
        <w:rPr>
          <w:rFonts w:cs="Calibri"/>
          <w:bCs/>
          <w:szCs w:val="24"/>
          <w:lang w:val="en-US"/>
        </w:rPr>
        <w:t>2</w:t>
      </w:r>
      <w:r w:rsidR="00052D13">
        <w:rPr>
          <w:rFonts w:cs="Calibri"/>
          <w:bCs/>
          <w:szCs w:val="24"/>
          <w:lang w:val="en-US"/>
        </w:rPr>
        <w:tab/>
      </w:r>
      <w:r>
        <w:rPr>
          <w:rFonts w:cs="Calibri"/>
          <w:bCs/>
          <w:szCs w:val="24"/>
          <w:lang w:val="en-US"/>
        </w:rPr>
        <w:t xml:space="preserve">As stated in our contribution </w:t>
      </w:r>
      <w:hyperlink r:id="rId14" w:history="1">
        <w:r w:rsidRPr="00BC5CEA">
          <w:rPr>
            <w:rStyle w:val="Hyperlink"/>
            <w:rFonts w:cs="Calibri"/>
            <w:bCs/>
            <w:szCs w:val="24"/>
            <w:lang w:val="en-US"/>
          </w:rPr>
          <w:t>EG-ITRs-3/2</w:t>
        </w:r>
      </w:hyperlink>
      <w:r>
        <w:rPr>
          <w:rFonts w:cs="Calibri"/>
          <w:bCs/>
          <w:szCs w:val="24"/>
          <w:lang w:val="en-US"/>
        </w:rPr>
        <w:t>:</w:t>
      </w:r>
    </w:p>
    <w:p w14:paraId="62346800" w14:textId="0B96F166" w:rsidR="00912EBC" w:rsidRDefault="00912EBC" w:rsidP="00052D13">
      <w:pPr>
        <w:pStyle w:val="enumlev2"/>
        <w:jc w:val="both"/>
        <w:rPr>
          <w:lang w:val="en-US"/>
        </w:rPr>
      </w:pPr>
      <w:r>
        <w:rPr>
          <w:lang w:val="en-US"/>
        </w:rPr>
        <w:t>1.8</w:t>
      </w:r>
      <w:r w:rsidR="00052D13">
        <w:rPr>
          <w:lang w:val="en-US"/>
        </w:rPr>
        <w:tab/>
      </w:r>
      <w:r w:rsidRPr="00FF550B">
        <w:rPr>
          <w:lang w:val="en-US"/>
        </w:rPr>
        <w:t>While most international telecommunication services no longer use the accounting rates of Article 6 of the 1988 ITRs, Internet traffic is enabled by the Special Arrangements of Article 9 of the 1988 ITRs</w:t>
      </w:r>
      <w:r w:rsidRPr="00FF550B">
        <w:rPr>
          <w:vertAlign w:val="superscript"/>
          <w:lang w:val="en-US"/>
        </w:rPr>
        <w:footnoteReference w:id="1"/>
      </w:r>
      <w:r w:rsidRPr="00FF550B">
        <w:rPr>
          <w:lang w:val="en-US"/>
        </w:rPr>
        <w:t xml:space="preserve">. Indeed, the 2012 ITRs recognize the fact, in their Article 8, that accounting rates are no longer prevalent, however Special </w:t>
      </w:r>
      <w:r>
        <w:rPr>
          <w:lang w:val="en-US"/>
        </w:rPr>
        <w:t>[Arrangements]</w:t>
      </w:r>
      <w:r w:rsidRPr="00FF550B">
        <w:rPr>
          <w:lang w:val="en-US"/>
        </w:rPr>
        <w:t xml:space="preserve"> were retained as Article 13, </w:t>
      </w:r>
      <w:proofErr w:type="gramStart"/>
      <w:r w:rsidRPr="00FF550B">
        <w:rPr>
          <w:lang w:val="en-US"/>
        </w:rPr>
        <w:t>in order to</w:t>
      </w:r>
      <w:proofErr w:type="gramEnd"/>
      <w:r w:rsidRPr="00FF550B">
        <w:rPr>
          <w:lang w:val="en-US"/>
        </w:rPr>
        <w:t xml:space="preserve"> ensure that Internet traffic would not be disrupted.</w:t>
      </w:r>
    </w:p>
    <w:p w14:paraId="0F86C223" w14:textId="76D5D909" w:rsidR="00912EBC" w:rsidRDefault="00912EBC" w:rsidP="00052D13">
      <w:pPr>
        <w:pStyle w:val="enumlev2"/>
        <w:jc w:val="both"/>
        <w:rPr>
          <w:rFonts w:eastAsiaTheme="minorHAnsi"/>
        </w:rPr>
      </w:pPr>
      <w:r w:rsidRPr="007E0081">
        <w:rPr>
          <w:rFonts w:eastAsiaTheme="minorHAnsi"/>
          <w:lang w:val="en-US"/>
        </w:rPr>
        <w:t>1.9</w:t>
      </w:r>
      <w:r w:rsidR="00052D13">
        <w:rPr>
          <w:rFonts w:eastAsiaTheme="minorHAnsi"/>
          <w:lang w:val="en-US"/>
        </w:rPr>
        <w:tab/>
      </w:r>
      <w:r w:rsidRPr="007E0081">
        <w:rPr>
          <w:rFonts w:eastAsiaTheme="minorHAnsi"/>
          <w:lang w:val="en-US"/>
        </w:rPr>
        <w:t xml:space="preserve">Requests for </w:t>
      </w:r>
      <w:r w:rsidRPr="007E0081">
        <w:rPr>
          <w:rFonts w:eastAsiaTheme="minorHAnsi"/>
        </w:rPr>
        <w:t>empirical data on the current use of the ITRs by operating agencies will inevitably result in replies to the effect that the ITRs are not used by operating agencies, because, in the current environment, operating agencies are mostly private companies and thus not directly bound by the ITRs, which are a treaty. While some provisions of the ITRs might be transposed to national law, operating agencies have no reason to know that they are indirectly affected by the ITRs.</w:t>
      </w:r>
    </w:p>
    <w:p w14:paraId="3FD26F0A" w14:textId="27D85BFF" w:rsidR="00912EBC" w:rsidRPr="00FF550B" w:rsidRDefault="00912EBC" w:rsidP="00052D13">
      <w:pPr>
        <w:pStyle w:val="enumlev2"/>
        <w:jc w:val="both"/>
        <w:rPr>
          <w:lang w:val="en-US"/>
        </w:rPr>
      </w:pPr>
      <w:r w:rsidRPr="007E0081">
        <w:rPr>
          <w:rFonts w:eastAsiaTheme="minorHAnsi"/>
          <w:lang w:val="en-US"/>
        </w:rPr>
        <w:t>1.10</w:t>
      </w:r>
      <w:r w:rsidR="00052D13">
        <w:rPr>
          <w:rFonts w:eastAsiaTheme="minorHAnsi"/>
          <w:lang w:val="en-US"/>
        </w:rPr>
        <w:tab/>
      </w:r>
      <w:r w:rsidRPr="007E0081">
        <w:rPr>
          <w:rFonts w:eastAsiaTheme="minorHAnsi"/>
          <w:lang w:val="en-US"/>
        </w:rPr>
        <w:t xml:space="preserve">Requests for </w:t>
      </w:r>
      <w:r w:rsidRPr="007E0081">
        <w:rPr>
          <w:rFonts w:eastAsiaTheme="minorHAnsi"/>
        </w:rPr>
        <w:t>empirical data on the current use of the ITRs by administrations and the proportion of global telecommunication services which now rely on the ITRs should result in replies to the effect that essentially all international Internet traffic is enabled by the Special Arrangements provision of the ITRs.</w:t>
      </w:r>
    </w:p>
    <w:p w14:paraId="06FAA090" w14:textId="329F025F" w:rsidR="00912EBC" w:rsidRDefault="00912EBC" w:rsidP="00052D13">
      <w:pPr>
        <w:rPr>
          <w:lang w:val="en-US"/>
        </w:rPr>
      </w:pPr>
      <w:r>
        <w:rPr>
          <w:lang w:val="en-US"/>
        </w:rPr>
        <w:t>3</w:t>
      </w:r>
      <w:r w:rsidR="00052D13">
        <w:rPr>
          <w:lang w:val="en-US"/>
        </w:rPr>
        <w:tab/>
      </w:r>
      <w:r>
        <w:rPr>
          <w:lang w:val="en-US"/>
        </w:rPr>
        <w:t>Indeed Article 6 of the ITU Constitution states:</w:t>
      </w:r>
    </w:p>
    <w:p w14:paraId="57EE6431" w14:textId="433F641B" w:rsidR="00912EBC" w:rsidRPr="00BC5CEA" w:rsidRDefault="00912EBC" w:rsidP="00052D13">
      <w:pPr>
        <w:pStyle w:val="enumlev2"/>
        <w:jc w:val="both"/>
        <w:rPr>
          <w:lang w:val="en-US"/>
        </w:rPr>
      </w:pPr>
      <w:r w:rsidRPr="00BC5CEA">
        <w:rPr>
          <w:lang w:val="en-US"/>
        </w:rPr>
        <w:t xml:space="preserve">1 </w:t>
      </w:r>
      <w:r w:rsidR="00052D13">
        <w:rPr>
          <w:lang w:val="en-US"/>
        </w:rPr>
        <w:tab/>
      </w:r>
      <w:r w:rsidRPr="00BC5CEA">
        <w:rPr>
          <w:lang w:val="en-US"/>
        </w:rPr>
        <w:t>The Member States are bound to abide by the</w:t>
      </w:r>
      <w:r>
        <w:rPr>
          <w:lang w:val="en-US"/>
        </w:rPr>
        <w:t xml:space="preserve"> </w:t>
      </w:r>
      <w:r w:rsidRPr="00BC5CEA">
        <w:rPr>
          <w:lang w:val="en-US"/>
        </w:rPr>
        <w:t>provisions of this Constitution, the Convention and the</w:t>
      </w:r>
      <w:r>
        <w:rPr>
          <w:lang w:val="en-US"/>
        </w:rPr>
        <w:t xml:space="preserve"> </w:t>
      </w:r>
      <w:r w:rsidRPr="00BC5CEA">
        <w:rPr>
          <w:lang w:val="en-US"/>
        </w:rPr>
        <w:t>Administrative Regulations in all telecommunication offices</w:t>
      </w:r>
      <w:r>
        <w:rPr>
          <w:lang w:val="en-US"/>
        </w:rPr>
        <w:t xml:space="preserve"> </w:t>
      </w:r>
      <w:r w:rsidRPr="00BC5CEA">
        <w:rPr>
          <w:lang w:val="en-US"/>
        </w:rPr>
        <w:t>and stations established or operated by them which engage</w:t>
      </w:r>
      <w:r>
        <w:rPr>
          <w:lang w:val="en-US"/>
        </w:rPr>
        <w:t xml:space="preserve"> </w:t>
      </w:r>
      <w:r w:rsidRPr="00BC5CEA">
        <w:rPr>
          <w:lang w:val="en-US"/>
        </w:rPr>
        <w:t xml:space="preserve">in international </w:t>
      </w:r>
      <w:proofErr w:type="gramStart"/>
      <w:r w:rsidRPr="00BC5CEA">
        <w:rPr>
          <w:lang w:val="en-US"/>
        </w:rPr>
        <w:t>services</w:t>
      </w:r>
      <w:proofErr w:type="gramEnd"/>
      <w:r w:rsidRPr="00BC5CEA">
        <w:rPr>
          <w:lang w:val="en-US"/>
        </w:rPr>
        <w:t xml:space="preserve"> or which are capable of causing</w:t>
      </w:r>
      <w:r>
        <w:rPr>
          <w:lang w:val="en-US"/>
        </w:rPr>
        <w:t xml:space="preserve"> </w:t>
      </w:r>
      <w:r w:rsidRPr="00BC5CEA">
        <w:rPr>
          <w:lang w:val="en-US"/>
        </w:rPr>
        <w:t>harmful interference to radio services of other countries,</w:t>
      </w:r>
      <w:r>
        <w:rPr>
          <w:lang w:val="en-US"/>
        </w:rPr>
        <w:t xml:space="preserve"> </w:t>
      </w:r>
      <w:r w:rsidRPr="00BC5CEA">
        <w:rPr>
          <w:lang w:val="en-US"/>
        </w:rPr>
        <w:t>except in regard to services exempted from these</w:t>
      </w:r>
      <w:r>
        <w:rPr>
          <w:lang w:val="en-US"/>
        </w:rPr>
        <w:t xml:space="preserve"> </w:t>
      </w:r>
      <w:r w:rsidRPr="00BC5CEA">
        <w:rPr>
          <w:lang w:val="en-US"/>
        </w:rPr>
        <w:t>obligations in accordance with the provisions of Article 48 of</w:t>
      </w:r>
      <w:r>
        <w:rPr>
          <w:lang w:val="en-US"/>
        </w:rPr>
        <w:t xml:space="preserve"> </w:t>
      </w:r>
      <w:r w:rsidRPr="00BC5CEA">
        <w:rPr>
          <w:lang w:val="en-US"/>
        </w:rPr>
        <w:t>this Constitution.</w:t>
      </w:r>
    </w:p>
    <w:p w14:paraId="6F868842" w14:textId="29A6928B" w:rsidR="00912EBC" w:rsidRDefault="00912EBC" w:rsidP="00052D13">
      <w:pPr>
        <w:pStyle w:val="enumlev2"/>
        <w:jc w:val="both"/>
        <w:rPr>
          <w:lang w:val="en-US"/>
        </w:rPr>
      </w:pPr>
      <w:r w:rsidRPr="00BC5CEA">
        <w:rPr>
          <w:lang w:val="en-US"/>
        </w:rPr>
        <w:t>2</w:t>
      </w:r>
      <w:r w:rsidR="00052D13">
        <w:rPr>
          <w:lang w:val="en-US"/>
        </w:rPr>
        <w:tab/>
      </w:r>
      <w:r w:rsidRPr="00BC5CEA">
        <w:rPr>
          <w:lang w:val="en-US"/>
        </w:rPr>
        <w:t>The Member States are also bound to take the</w:t>
      </w:r>
      <w:r>
        <w:rPr>
          <w:lang w:val="en-US"/>
        </w:rPr>
        <w:t xml:space="preserve"> </w:t>
      </w:r>
      <w:r w:rsidRPr="00BC5CEA">
        <w:rPr>
          <w:lang w:val="en-US"/>
        </w:rPr>
        <w:t>necessary steps to impose the observance of the provisions</w:t>
      </w:r>
      <w:r>
        <w:rPr>
          <w:lang w:val="en-US"/>
        </w:rPr>
        <w:t xml:space="preserve"> </w:t>
      </w:r>
      <w:r w:rsidRPr="00BC5CEA">
        <w:rPr>
          <w:lang w:val="en-US"/>
        </w:rPr>
        <w:t>of this Constitution, the Convention and the Administrative</w:t>
      </w:r>
      <w:r>
        <w:rPr>
          <w:lang w:val="en-US"/>
        </w:rPr>
        <w:t xml:space="preserve"> </w:t>
      </w:r>
      <w:r w:rsidRPr="00BC5CEA">
        <w:rPr>
          <w:lang w:val="en-US"/>
        </w:rPr>
        <w:t>Regulations upon operating agencies authorized by them to</w:t>
      </w:r>
      <w:r>
        <w:rPr>
          <w:lang w:val="en-US"/>
        </w:rPr>
        <w:t xml:space="preserve"> </w:t>
      </w:r>
      <w:r w:rsidRPr="00BC5CEA">
        <w:rPr>
          <w:lang w:val="en-US"/>
        </w:rPr>
        <w:t>establish and operate telecommunications and which</w:t>
      </w:r>
      <w:r>
        <w:rPr>
          <w:lang w:val="en-US"/>
        </w:rPr>
        <w:t xml:space="preserve"> </w:t>
      </w:r>
      <w:r w:rsidRPr="00BC5CEA">
        <w:rPr>
          <w:lang w:val="en-US"/>
        </w:rPr>
        <w:t xml:space="preserve">engage in international </w:t>
      </w:r>
      <w:proofErr w:type="gramStart"/>
      <w:r w:rsidRPr="00BC5CEA">
        <w:rPr>
          <w:lang w:val="en-US"/>
        </w:rPr>
        <w:t>services</w:t>
      </w:r>
      <w:proofErr w:type="gramEnd"/>
      <w:r w:rsidRPr="00BC5CEA">
        <w:rPr>
          <w:lang w:val="en-US"/>
        </w:rPr>
        <w:t xml:space="preserve"> or which operate stations</w:t>
      </w:r>
      <w:r>
        <w:rPr>
          <w:lang w:val="en-US"/>
        </w:rPr>
        <w:t xml:space="preserve"> </w:t>
      </w:r>
      <w:r w:rsidRPr="00BC5CEA">
        <w:rPr>
          <w:lang w:val="en-US"/>
        </w:rPr>
        <w:t>capable of causing harmful interference to the radio services</w:t>
      </w:r>
      <w:r>
        <w:rPr>
          <w:lang w:val="en-US"/>
        </w:rPr>
        <w:t xml:space="preserve"> </w:t>
      </w:r>
      <w:r w:rsidRPr="00BC5CEA">
        <w:rPr>
          <w:lang w:val="en-US"/>
        </w:rPr>
        <w:t>of other countries.</w:t>
      </w:r>
    </w:p>
    <w:p w14:paraId="172651BA" w14:textId="4C38D3F6" w:rsidR="00912EBC" w:rsidRDefault="00912EBC" w:rsidP="00052D13">
      <w:pPr>
        <w:keepNext/>
        <w:rPr>
          <w:lang w:val="en-US"/>
        </w:rPr>
      </w:pPr>
      <w:r>
        <w:rPr>
          <w:lang w:val="en-US"/>
        </w:rPr>
        <w:lastRenderedPageBreak/>
        <w:t>4</w:t>
      </w:r>
      <w:r w:rsidR="00052D13">
        <w:rPr>
          <w:lang w:val="en-US"/>
        </w:rPr>
        <w:tab/>
      </w:r>
      <w:r>
        <w:rPr>
          <w:lang w:val="en-US"/>
        </w:rPr>
        <w:t>Article 6 of the 1988 ITRs states:</w:t>
      </w:r>
    </w:p>
    <w:p w14:paraId="341A08E3" w14:textId="014DA87D" w:rsidR="00912EBC" w:rsidRDefault="00912EBC" w:rsidP="007D02AE">
      <w:pPr>
        <w:pStyle w:val="enumlev2"/>
        <w:jc w:val="both"/>
        <w:rPr>
          <w:lang w:val="en-US"/>
        </w:rPr>
      </w:pPr>
      <w:r>
        <w:rPr>
          <w:lang w:val="en-US"/>
        </w:rPr>
        <w:t>6.2.1</w:t>
      </w:r>
      <w:r w:rsidR="00052D13">
        <w:rPr>
          <w:lang w:val="en-US"/>
        </w:rPr>
        <w:tab/>
      </w:r>
      <w:r>
        <w:rPr>
          <w:lang w:val="en-US"/>
        </w:rPr>
        <w:t xml:space="preserve">For each applicable service </w:t>
      </w:r>
      <w:proofErr w:type="gramStart"/>
      <w:r>
        <w:rPr>
          <w:lang w:val="en-US"/>
        </w:rPr>
        <w:t>in a given</w:t>
      </w:r>
      <w:proofErr w:type="gramEnd"/>
      <w:r>
        <w:rPr>
          <w:lang w:val="en-US"/>
        </w:rPr>
        <w:t xml:space="preserve"> relation, administrations [or private recognized operating agencies] shall by mutual agreement establish and revise accounting rates to be applied between them, in accordance with the provisions of Appendix 1 and taking into account relevant </w:t>
      </w:r>
      <w:proofErr w:type="spellStart"/>
      <w:r>
        <w:rPr>
          <w:lang w:val="en-US"/>
        </w:rPr>
        <w:t>CCITT</w:t>
      </w:r>
      <w:proofErr w:type="spellEnd"/>
      <w:r>
        <w:rPr>
          <w:lang w:val="en-US"/>
        </w:rPr>
        <w:t xml:space="preserve"> Recommendations and relevant cost trends.</w:t>
      </w:r>
    </w:p>
    <w:p w14:paraId="65D3CEC5" w14:textId="484808F1" w:rsidR="00912EBC" w:rsidRDefault="00912EBC" w:rsidP="007D02AE">
      <w:pPr>
        <w:jc w:val="both"/>
        <w:rPr>
          <w:lang w:val="en-US"/>
        </w:rPr>
      </w:pPr>
      <w:r>
        <w:rPr>
          <w:lang w:val="en-US"/>
        </w:rPr>
        <w:t>5</w:t>
      </w:r>
      <w:r w:rsidR="00052D13">
        <w:rPr>
          <w:lang w:val="en-US"/>
        </w:rPr>
        <w:tab/>
      </w:r>
      <w:r>
        <w:rPr>
          <w:lang w:val="en-US"/>
        </w:rPr>
        <w:t>Since all ITU Member States are bound by the 1988 ITRs, they are all bound by the provision cited above.</w:t>
      </w:r>
    </w:p>
    <w:p w14:paraId="09B04166" w14:textId="465EB739" w:rsidR="00912EBC" w:rsidRDefault="00912EBC" w:rsidP="007D02AE">
      <w:pPr>
        <w:jc w:val="both"/>
        <w:rPr>
          <w:lang w:val="en-US"/>
        </w:rPr>
      </w:pPr>
      <w:r>
        <w:rPr>
          <w:lang w:val="en-US"/>
        </w:rPr>
        <w:t>6</w:t>
      </w:r>
      <w:r w:rsidR="00052D13">
        <w:rPr>
          <w:lang w:val="en-US"/>
        </w:rPr>
        <w:tab/>
      </w:r>
      <w:r>
        <w:rPr>
          <w:lang w:val="en-US"/>
        </w:rPr>
        <w:t xml:space="preserve">In some countries, some operators are considered private recognized operating agencies. </w:t>
      </w:r>
      <w:r w:rsidR="00BA41BB">
        <w:rPr>
          <w:lang w:val="en-US"/>
        </w:rPr>
        <w:t>Thus,</w:t>
      </w:r>
      <w:r>
        <w:rPr>
          <w:lang w:val="en-US"/>
        </w:rPr>
        <w:t xml:space="preserve"> Member States are bound by the ITU Constitution </w:t>
      </w:r>
      <w:r w:rsidRPr="00BC5CEA">
        <w:rPr>
          <w:lang w:val="en-US"/>
        </w:rPr>
        <w:t>to take the</w:t>
      </w:r>
      <w:r>
        <w:rPr>
          <w:lang w:val="en-US"/>
        </w:rPr>
        <w:t xml:space="preserve"> </w:t>
      </w:r>
      <w:r w:rsidRPr="00BC5CEA">
        <w:rPr>
          <w:lang w:val="en-US"/>
        </w:rPr>
        <w:t>necessary steps to impose the observance of th</w:t>
      </w:r>
      <w:r>
        <w:rPr>
          <w:lang w:val="en-US"/>
        </w:rPr>
        <w:t xml:space="preserve">e cited </w:t>
      </w:r>
      <w:r w:rsidRPr="00BC5CEA">
        <w:rPr>
          <w:lang w:val="en-US"/>
        </w:rPr>
        <w:t>provision</w:t>
      </w:r>
      <w:r>
        <w:rPr>
          <w:lang w:val="en-US"/>
        </w:rPr>
        <w:t xml:space="preserve"> of Article 6 on such operators. That is, such operators would have to use the accounting rate system.</w:t>
      </w:r>
    </w:p>
    <w:p w14:paraId="55367209" w14:textId="4E1C205D" w:rsidR="00912EBC" w:rsidRDefault="00912EBC" w:rsidP="007D02AE">
      <w:pPr>
        <w:jc w:val="both"/>
        <w:rPr>
          <w:lang w:val="en-US"/>
        </w:rPr>
      </w:pPr>
      <w:r>
        <w:rPr>
          <w:lang w:val="en-US"/>
        </w:rPr>
        <w:t>7</w:t>
      </w:r>
      <w:r w:rsidR="00052D13">
        <w:rPr>
          <w:lang w:val="en-US"/>
        </w:rPr>
        <w:tab/>
      </w:r>
      <w:r>
        <w:rPr>
          <w:lang w:val="en-US"/>
        </w:rPr>
        <w:t>Information on Recognized Operating Agencies (which is the term currently used for “private recognized operating agencies”) can be found at:</w:t>
      </w:r>
      <w:r w:rsidR="00052D13">
        <w:rPr>
          <w:lang w:val="en-US"/>
        </w:rPr>
        <w:br/>
      </w:r>
      <w:hyperlink r:id="rId15" w:history="1">
        <w:r w:rsidRPr="001B3F53">
          <w:rPr>
            <w:rStyle w:val="Hyperlink"/>
            <w:rFonts w:cs="Calibri"/>
            <w:bCs/>
            <w:szCs w:val="24"/>
            <w:lang w:val="en-US"/>
          </w:rPr>
          <w:t>https://www.itu.int/en/ITU-T/inr/Pages/roa.aspx</w:t>
        </w:r>
      </w:hyperlink>
      <w:r w:rsidR="007D02AE">
        <w:rPr>
          <w:lang w:val="en-US"/>
        </w:rPr>
        <w:t>.</w:t>
      </w:r>
    </w:p>
    <w:p w14:paraId="34335BA5" w14:textId="648D9AC1" w:rsidR="00912EBC" w:rsidRDefault="00912EBC" w:rsidP="007D02AE">
      <w:pPr>
        <w:rPr>
          <w:lang w:val="en-US"/>
        </w:rPr>
      </w:pPr>
      <w:r>
        <w:rPr>
          <w:lang w:val="en-US"/>
        </w:rPr>
        <w:t>8</w:t>
      </w:r>
      <w:r w:rsidR="007D02AE">
        <w:rPr>
          <w:lang w:val="en-US"/>
        </w:rPr>
        <w:tab/>
      </w:r>
      <w:r>
        <w:rPr>
          <w:lang w:val="en-US"/>
        </w:rPr>
        <w:t>The list, by country, of Recognized Operating Agencies is at:</w:t>
      </w:r>
      <w:r w:rsidR="007D02AE">
        <w:rPr>
          <w:lang w:val="en-US"/>
        </w:rPr>
        <w:br/>
      </w:r>
      <w:hyperlink r:id="rId16" w:history="1">
        <w:r w:rsidRPr="001B3F53">
          <w:rPr>
            <w:rStyle w:val="Hyperlink"/>
            <w:rFonts w:cs="Calibri"/>
            <w:bCs/>
            <w:szCs w:val="24"/>
            <w:lang w:val="en-US"/>
          </w:rPr>
          <w:t>https://www.itu.int/oth/T0204</w:t>
        </w:r>
      </w:hyperlink>
      <w:r w:rsidR="007D02AE">
        <w:rPr>
          <w:lang w:val="en-US"/>
        </w:rPr>
        <w:t>.</w:t>
      </w:r>
    </w:p>
    <w:p w14:paraId="314F9751" w14:textId="77777777" w:rsidR="00912EBC" w:rsidRDefault="00912EBC" w:rsidP="007D02AE">
      <w:pPr>
        <w:jc w:val="both"/>
        <w:rPr>
          <w:lang w:val="en-US"/>
        </w:rPr>
      </w:pPr>
      <w:r>
        <w:rPr>
          <w:lang w:val="en-US"/>
        </w:rPr>
        <w:t xml:space="preserve">It can be seen from this list that some operators in Bulgaria, Czech Republic, Croatia, Denmark, France, Germany, Italy, Netherlands, Portugal, Romania, Sweden, United Kingdom, and United States (among other countries) are Recognized Operating Agencies. It appears that, in some countries, most (if not all) operators </w:t>
      </w:r>
      <w:proofErr w:type="gramStart"/>
      <w:r>
        <w:rPr>
          <w:lang w:val="en-US"/>
        </w:rPr>
        <w:t>are considered to be</w:t>
      </w:r>
      <w:proofErr w:type="gramEnd"/>
      <w:r>
        <w:rPr>
          <w:lang w:val="en-US"/>
        </w:rPr>
        <w:t xml:space="preserve"> Recognized Operating Agencies.</w:t>
      </w:r>
    </w:p>
    <w:p w14:paraId="556CD81D" w14:textId="457B22E9" w:rsidR="00912EBC" w:rsidRDefault="00912EBC" w:rsidP="007D02AE">
      <w:pPr>
        <w:jc w:val="both"/>
        <w:rPr>
          <w:lang w:val="en-US"/>
        </w:rPr>
      </w:pPr>
      <w:r>
        <w:rPr>
          <w:lang w:val="en-US"/>
        </w:rPr>
        <w:t>9</w:t>
      </w:r>
      <w:r w:rsidR="007D02AE">
        <w:rPr>
          <w:lang w:val="en-US"/>
        </w:rPr>
        <w:tab/>
      </w:r>
      <w:r>
        <w:rPr>
          <w:lang w:val="en-US"/>
        </w:rPr>
        <w:t xml:space="preserve">As noted above, such operators would, pursuant to Article 6 of the 1988 ITRs, </w:t>
      </w:r>
      <w:proofErr w:type="gramStart"/>
      <w:r>
        <w:rPr>
          <w:lang w:val="en-US"/>
        </w:rPr>
        <w:t>have to</w:t>
      </w:r>
      <w:proofErr w:type="gramEnd"/>
      <w:r>
        <w:rPr>
          <w:lang w:val="en-US"/>
        </w:rPr>
        <w:t xml:space="preserve"> use the accounting rate system. However, Article 9 of the 1988 ITRs states:</w:t>
      </w:r>
    </w:p>
    <w:p w14:paraId="4BABBAA2" w14:textId="2DC501A0" w:rsidR="00912EBC" w:rsidRDefault="00912EBC" w:rsidP="007D02AE">
      <w:pPr>
        <w:pStyle w:val="enumlev2"/>
        <w:jc w:val="both"/>
        <w:rPr>
          <w:lang w:val="en-US"/>
        </w:rPr>
      </w:pPr>
      <w:r>
        <w:rPr>
          <w:lang w:val="en-US"/>
        </w:rPr>
        <w:t>9.1(a)</w:t>
      </w:r>
      <w:r w:rsidR="007D02AE">
        <w:rPr>
          <w:lang w:val="en-US"/>
        </w:rPr>
        <w:tab/>
      </w:r>
      <w:r>
        <w:rPr>
          <w:lang w:val="en-US"/>
        </w:rPr>
        <w:t>Pursuant to Article 31 of the International Telecommunication Convention (Nairobi, 1982), special arrangements may be entered into on telecommunication matters which do not concern Members in general. Subject to national laws, Members may allow administrations [or private recognized operating agencies] or other organizations or persons to enter into such special mutual agreements with Members, administrations [or private recognized operating agencies]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Members concerned, and including, as necessary, those financial, technical, or operating conditions to be observed.</w:t>
      </w:r>
    </w:p>
    <w:p w14:paraId="1623BA7C" w14:textId="3D18469B" w:rsidR="00912EBC" w:rsidRDefault="00912EBC" w:rsidP="007D02AE">
      <w:pPr>
        <w:jc w:val="both"/>
        <w:rPr>
          <w:lang w:val="en-US"/>
        </w:rPr>
      </w:pPr>
      <w:r>
        <w:rPr>
          <w:lang w:val="en-US"/>
        </w:rPr>
        <w:t>10</w:t>
      </w:r>
      <w:r w:rsidR="007D02AE">
        <w:rPr>
          <w:lang w:val="en-US"/>
        </w:rPr>
        <w:tab/>
      </w:r>
      <w:r>
        <w:rPr>
          <w:lang w:val="en-US"/>
        </w:rPr>
        <w:t>Thus, pursuant to the cited Article 9, Member States may agree to waive the requirement to impose use of the accounting rate system.</w:t>
      </w:r>
    </w:p>
    <w:p w14:paraId="73B5F485" w14:textId="412BB942" w:rsidR="00912EBC" w:rsidRDefault="00912EBC" w:rsidP="007D02AE">
      <w:pPr>
        <w:jc w:val="both"/>
        <w:rPr>
          <w:lang w:val="en-US"/>
        </w:rPr>
      </w:pPr>
      <w:r>
        <w:rPr>
          <w:lang w:val="en-US"/>
        </w:rPr>
        <w:t>11</w:t>
      </w:r>
      <w:r w:rsidR="007D02AE">
        <w:rPr>
          <w:lang w:val="en-US"/>
        </w:rPr>
        <w:tab/>
      </w:r>
      <w:r>
        <w:rPr>
          <w:lang w:val="en-US"/>
        </w:rPr>
        <w:t>And indeed, this is now the prevailing practice, and it was recognized and enshrined in Article 8 of the 2012 ITRs, which states:</w:t>
      </w:r>
    </w:p>
    <w:p w14:paraId="26728B7A" w14:textId="77777777" w:rsidR="00912EBC" w:rsidRPr="001E6B21" w:rsidRDefault="00912EBC" w:rsidP="007D02AE">
      <w:pPr>
        <w:pStyle w:val="enumlev2"/>
        <w:jc w:val="both"/>
        <w:rPr>
          <w:lang w:val="en-US"/>
        </w:rPr>
      </w:pPr>
      <w:r w:rsidRPr="001E6B21">
        <w:rPr>
          <w:lang w:val="en-US"/>
        </w:rPr>
        <w:t>8.1.1</w:t>
      </w:r>
      <w:r w:rsidRPr="001E6B21">
        <w:rPr>
          <w:lang w:val="en-US"/>
        </w:rPr>
        <w:tab/>
        <w:t>Subject to applicable national law, the terms and conditions for international telecommunication service arrangements may be established through commercial agreements or through accounting-rate principles established pursuant to national regulation.</w:t>
      </w:r>
    </w:p>
    <w:p w14:paraId="135D9639" w14:textId="14D9313E" w:rsidR="00912EBC" w:rsidRDefault="00912EBC" w:rsidP="007D02AE">
      <w:pPr>
        <w:jc w:val="both"/>
        <w:rPr>
          <w:lang w:val="en-US"/>
        </w:rPr>
      </w:pPr>
      <w:r>
        <w:rPr>
          <w:lang w:val="en-US"/>
        </w:rPr>
        <w:lastRenderedPageBreak/>
        <w:t>12</w:t>
      </w:r>
      <w:r w:rsidR="007D02AE">
        <w:rPr>
          <w:lang w:val="en-US"/>
        </w:rPr>
        <w:tab/>
      </w:r>
      <w:r>
        <w:rPr>
          <w:lang w:val="en-US"/>
        </w:rPr>
        <w:t xml:space="preserve">However, not all ITU Member States have adopted the 2012 ITRs. </w:t>
      </w:r>
    </w:p>
    <w:p w14:paraId="0858C674" w14:textId="49EDCE29" w:rsidR="00912EBC" w:rsidRDefault="00912EBC" w:rsidP="007D02AE">
      <w:pPr>
        <w:jc w:val="both"/>
        <w:rPr>
          <w:lang w:val="en-US"/>
        </w:rPr>
      </w:pPr>
      <w:r>
        <w:rPr>
          <w:lang w:val="en-US"/>
        </w:rPr>
        <w:t>13</w:t>
      </w:r>
      <w:r w:rsidR="007D02AE">
        <w:rPr>
          <w:lang w:val="en-US"/>
        </w:rPr>
        <w:tab/>
      </w:r>
      <w:r w:rsidR="00BA41BB">
        <w:rPr>
          <w:lang w:val="en-US"/>
        </w:rPr>
        <w:t>So,</w:t>
      </w:r>
      <w:r>
        <w:rPr>
          <w:lang w:val="en-US"/>
        </w:rPr>
        <w:t xml:space="preserve"> the Member States that have not adopted the 2012 ITRs do rely on the Special Arrangements provision (Article 9 of the 1988 ITRs) </w:t>
      </w:r>
      <w:proofErr w:type="gramStart"/>
      <w:r>
        <w:rPr>
          <w:lang w:val="en-US"/>
        </w:rPr>
        <w:t>in order to</w:t>
      </w:r>
      <w:proofErr w:type="gramEnd"/>
      <w:r>
        <w:rPr>
          <w:lang w:val="en-US"/>
        </w:rPr>
        <w:t xml:space="preserve"> avoid having to impose the accounting rate system on certain operators (recognized private operating agencies).</w:t>
      </w:r>
    </w:p>
    <w:p w14:paraId="50C1F707" w14:textId="5325EC2A" w:rsidR="00912EBC" w:rsidRDefault="00912EBC" w:rsidP="007D02AE">
      <w:pPr>
        <w:jc w:val="both"/>
        <w:rPr>
          <w:lang w:val="en-US"/>
        </w:rPr>
      </w:pPr>
      <w:r>
        <w:rPr>
          <w:lang w:val="en-US"/>
        </w:rPr>
        <w:t>14</w:t>
      </w:r>
      <w:r w:rsidR="007D02AE">
        <w:rPr>
          <w:lang w:val="en-US"/>
        </w:rPr>
        <w:tab/>
      </w:r>
      <w:r w:rsidR="00BA41BB">
        <w:rPr>
          <w:lang w:val="en-US"/>
        </w:rPr>
        <w:t>Thus,</w:t>
      </w:r>
      <w:r>
        <w:rPr>
          <w:lang w:val="en-US"/>
        </w:rPr>
        <w:t xml:space="preserve"> some operators in those Members States implicitly use the 1988 ITRs </w:t>
      </w:r>
      <w:proofErr w:type="gramStart"/>
      <w:r>
        <w:rPr>
          <w:lang w:val="en-US"/>
        </w:rPr>
        <w:t>in order to</w:t>
      </w:r>
      <w:proofErr w:type="gramEnd"/>
      <w:r>
        <w:rPr>
          <w:lang w:val="en-US"/>
        </w:rPr>
        <w:t xml:space="preserve"> avoid having to use the accounting rate system.</w:t>
      </w:r>
    </w:p>
    <w:p w14:paraId="3C2EABCC" w14:textId="77777777" w:rsidR="00912EBC" w:rsidRDefault="00912EBC" w:rsidP="007D02AE">
      <w:pPr>
        <w:pStyle w:val="Headingb"/>
      </w:pPr>
      <w:r w:rsidRPr="00CE562D">
        <w:t>Proposal</w:t>
      </w:r>
    </w:p>
    <w:p w14:paraId="052FB722" w14:textId="4E7DEBF7" w:rsidR="00BA41BB" w:rsidRDefault="00912EBC" w:rsidP="007D02AE">
      <w:pPr>
        <w:jc w:val="both"/>
        <w:rPr>
          <w:lang w:val="en-US"/>
        </w:rPr>
      </w:pPr>
      <w:r>
        <w:rPr>
          <w:lang w:val="en-US"/>
        </w:rPr>
        <w:t>15</w:t>
      </w:r>
      <w:r w:rsidR="007D02AE">
        <w:rPr>
          <w:lang w:val="en-US"/>
        </w:rPr>
        <w:tab/>
      </w:r>
      <w:r>
        <w:rPr>
          <w:lang w:val="en-US"/>
        </w:rPr>
        <w:t>Transparency would be improved if all Member States could agree to a new version of the ITRs that contains the language of Article 8 of the 2012 ITRs.</w:t>
      </w:r>
    </w:p>
    <w:p w14:paraId="12913599" w14:textId="77777777" w:rsidR="00BA41BB" w:rsidRDefault="00BA41BB" w:rsidP="00BA41BB">
      <w:pPr>
        <w:spacing w:before="840"/>
        <w:jc w:val="center"/>
      </w:pPr>
      <w:r>
        <w:t>______________</w:t>
      </w:r>
    </w:p>
    <w:sectPr w:rsidR="00BA41BB"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8D5F5" w14:textId="77777777" w:rsidR="001F2EAC" w:rsidRDefault="001F2EAC">
      <w:r>
        <w:separator/>
      </w:r>
    </w:p>
  </w:endnote>
  <w:endnote w:type="continuationSeparator" w:id="0">
    <w:p w14:paraId="3BEBBC50" w14:textId="77777777" w:rsidR="001F2EAC" w:rsidRDefault="001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0721C1A4" w14:textId="77777777" w:rsidTr="0042469C">
      <w:trPr>
        <w:jc w:val="center"/>
      </w:trPr>
      <w:tc>
        <w:tcPr>
          <w:tcW w:w="1803" w:type="dxa"/>
          <w:vAlign w:val="center"/>
        </w:tcPr>
        <w:p w14:paraId="796323F7" w14:textId="77777777" w:rsidR="00EE49E8" w:rsidRDefault="00EE49E8" w:rsidP="00EE49E8">
          <w:pPr>
            <w:pStyle w:val="Header"/>
            <w:jc w:val="left"/>
            <w:rPr>
              <w:noProof/>
            </w:rPr>
          </w:pPr>
        </w:p>
      </w:tc>
      <w:tc>
        <w:tcPr>
          <w:tcW w:w="8261" w:type="dxa"/>
        </w:tcPr>
        <w:p w14:paraId="6B67C5F2" w14:textId="0B1F244E"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EG-ITRs-4</w:t>
          </w:r>
          <w:r w:rsidR="00F73B2C">
            <w:rPr>
              <w:bCs/>
              <w:lang w:val="es-ES"/>
            </w:rPr>
            <w:t>/</w:t>
          </w:r>
          <w:r w:rsidR="00DE2633">
            <w:rPr>
              <w:bCs/>
              <w:lang w:val="es-ES"/>
            </w:rPr>
            <w:t>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50E534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77777777" w:rsidR="00EE49E8" w:rsidRPr="00052D13" w:rsidRDefault="0025570E" w:rsidP="00EE49E8">
          <w:pPr>
            <w:pStyle w:val="Header"/>
            <w:jc w:val="left"/>
            <w:rPr>
              <w:noProof/>
            </w:rPr>
          </w:pPr>
          <w:hyperlink r:id="rId1" w:history="1">
            <w:r w:rsidRPr="00052D13">
              <w:rPr>
                <w:rStyle w:val="Hyperlink"/>
                <w:u w:val="none"/>
              </w:rPr>
              <w:t>https://council.itu.int/working-groups</w:t>
            </w:r>
          </w:hyperlink>
        </w:p>
      </w:tc>
      <w:tc>
        <w:tcPr>
          <w:tcW w:w="6957" w:type="dxa"/>
        </w:tcPr>
        <w:p w14:paraId="570A165D" w14:textId="0B32A76D"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EG-ITRs-4</w:t>
          </w:r>
          <w:r w:rsidR="00205D4E">
            <w:rPr>
              <w:bCs/>
              <w:lang w:val="es-ES"/>
            </w:rPr>
            <w:t>/</w:t>
          </w:r>
          <w:r w:rsidR="00DE2633">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07E86" w14:textId="77777777" w:rsidR="001F2EAC" w:rsidRDefault="001F2EAC">
      <w:r>
        <w:t>____________________</w:t>
      </w:r>
    </w:p>
  </w:footnote>
  <w:footnote w:type="continuationSeparator" w:id="0">
    <w:p w14:paraId="7ACE855A" w14:textId="77777777" w:rsidR="001F2EAC" w:rsidRDefault="001F2EAC">
      <w:r>
        <w:continuationSeparator/>
      </w:r>
    </w:p>
  </w:footnote>
  <w:footnote w:id="1">
    <w:p w14:paraId="57607EB3" w14:textId="470E46A5" w:rsidR="00912EBC" w:rsidRDefault="00912EBC" w:rsidP="00912EBC">
      <w:pPr>
        <w:pStyle w:val="FootnoteText"/>
      </w:pPr>
      <w:r>
        <w:rPr>
          <w:rStyle w:val="FootnoteReference"/>
        </w:rPr>
        <w:footnoteRef/>
      </w:r>
      <w:r w:rsidR="00052D13">
        <w:tab/>
      </w:r>
      <w:r>
        <w:t>Hill, Richard (2013)</w:t>
      </w:r>
      <w:r w:rsidR="00052D13">
        <w:t>,</w:t>
      </w:r>
      <w:r>
        <w:t xml:space="preserve"> </w:t>
      </w:r>
      <w:r w:rsidRPr="00206DCC">
        <w:rPr>
          <w:i/>
          <w:iCs/>
        </w:rPr>
        <w:t xml:space="preserve">The New International Telecommunications Regulations and the Internet: A Commentary and Legislative </w:t>
      </w:r>
      <w:proofErr w:type="spellStart"/>
      <w:r w:rsidRPr="00206DCC">
        <w:rPr>
          <w:i/>
          <w:iCs/>
        </w:rPr>
        <w:t>History</w:t>
      </w:r>
      <w:r>
        <w:t>,S</w:t>
      </w:r>
      <w:r w:rsidRPr="00206DCC">
        <w:t>chulthess</w:t>
      </w:r>
      <w:proofErr w:type="spellEnd"/>
      <w:r w:rsidRPr="00206DCC">
        <w:t>/Springer</w:t>
      </w:r>
      <w:r>
        <w:t>, p. 8</w:t>
      </w:r>
      <w:r w:rsidR="00052D1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rsidTr="002F314B">
      <w:trPr>
        <w:trHeight w:val="1304"/>
        <w:jc w:val="center"/>
      </w:trPr>
      <w:tc>
        <w:tcPr>
          <w:tcW w:w="6546" w:type="dxa"/>
        </w:tcPr>
        <w:bookmarkStart w:id="11" w:name="_Hlk133422111"/>
        <w:p w14:paraId="70D5ED7A" w14:textId="77777777" w:rsidR="00E04331" w:rsidRPr="009621F8" w:rsidRDefault="00E04331" w:rsidP="00E04331">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77777777" w:rsidR="00E04331" w:rsidRDefault="00E04331" w:rsidP="00E04331">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DDCF1E"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7AA06DC" w14:textId="77777777" w:rsidR="00E04331" w:rsidRDefault="00E04331" w:rsidP="00E04331">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r>
            <w:rPr>
              <w:rFonts w:ascii="Arial" w:hAnsi="Arial" w:cs="Arial"/>
              <w:b/>
              <w:bCs/>
              <w:noProof/>
              <w:color w:val="009CD6"/>
              <w:sz w:val="36"/>
              <w:szCs w:val="36"/>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D2DE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AC"/>
    <w:rsid w:val="000041A9"/>
    <w:rsid w:val="00004C8C"/>
    <w:rsid w:val="000120E4"/>
    <w:rsid w:val="000210D4"/>
    <w:rsid w:val="00052D13"/>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1F2EAC"/>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07B88"/>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544D9"/>
    <w:rsid w:val="00460344"/>
    <w:rsid w:val="00472BAD"/>
    <w:rsid w:val="00484009"/>
    <w:rsid w:val="00490E72"/>
    <w:rsid w:val="00491157"/>
    <w:rsid w:val="004921C8"/>
    <w:rsid w:val="00495B0B"/>
    <w:rsid w:val="004A1B8B"/>
    <w:rsid w:val="004D1851"/>
    <w:rsid w:val="004D599D"/>
    <w:rsid w:val="004E06D1"/>
    <w:rsid w:val="004E2EA5"/>
    <w:rsid w:val="004E3AEB"/>
    <w:rsid w:val="00500CA4"/>
    <w:rsid w:val="0050223C"/>
    <w:rsid w:val="005170FD"/>
    <w:rsid w:val="005243FF"/>
    <w:rsid w:val="005311D6"/>
    <w:rsid w:val="0053462D"/>
    <w:rsid w:val="00536422"/>
    <w:rsid w:val="0054526E"/>
    <w:rsid w:val="005536C2"/>
    <w:rsid w:val="00564FBC"/>
    <w:rsid w:val="005800BC"/>
    <w:rsid w:val="00582442"/>
    <w:rsid w:val="005A335D"/>
    <w:rsid w:val="005B0869"/>
    <w:rsid w:val="005C13D4"/>
    <w:rsid w:val="005E2BD5"/>
    <w:rsid w:val="005E4F47"/>
    <w:rsid w:val="005F3269"/>
    <w:rsid w:val="00601575"/>
    <w:rsid w:val="00615961"/>
    <w:rsid w:val="00623AE3"/>
    <w:rsid w:val="006261F4"/>
    <w:rsid w:val="0064737F"/>
    <w:rsid w:val="006535F1"/>
    <w:rsid w:val="0065557D"/>
    <w:rsid w:val="00660D50"/>
    <w:rsid w:val="00662984"/>
    <w:rsid w:val="00663050"/>
    <w:rsid w:val="006716BB"/>
    <w:rsid w:val="006973C8"/>
    <w:rsid w:val="006A4862"/>
    <w:rsid w:val="006B1859"/>
    <w:rsid w:val="006B6680"/>
    <w:rsid w:val="006B6DCC"/>
    <w:rsid w:val="00701C70"/>
    <w:rsid w:val="00702DEF"/>
    <w:rsid w:val="007067EC"/>
    <w:rsid w:val="00706861"/>
    <w:rsid w:val="007247CF"/>
    <w:rsid w:val="00726B8C"/>
    <w:rsid w:val="0075051B"/>
    <w:rsid w:val="0077110E"/>
    <w:rsid w:val="00775655"/>
    <w:rsid w:val="007849D5"/>
    <w:rsid w:val="00793188"/>
    <w:rsid w:val="00794D34"/>
    <w:rsid w:val="007D02AE"/>
    <w:rsid w:val="007E227B"/>
    <w:rsid w:val="008019F3"/>
    <w:rsid w:val="00806E3C"/>
    <w:rsid w:val="00813E5E"/>
    <w:rsid w:val="00816C2C"/>
    <w:rsid w:val="0083581B"/>
    <w:rsid w:val="0084185A"/>
    <w:rsid w:val="00860EED"/>
    <w:rsid w:val="00863874"/>
    <w:rsid w:val="00864AFF"/>
    <w:rsid w:val="00865925"/>
    <w:rsid w:val="00877BF2"/>
    <w:rsid w:val="00891503"/>
    <w:rsid w:val="008A2F06"/>
    <w:rsid w:val="008B4A6A"/>
    <w:rsid w:val="008C7E27"/>
    <w:rsid w:val="008F3822"/>
    <w:rsid w:val="008F7448"/>
    <w:rsid w:val="0090147A"/>
    <w:rsid w:val="0090389B"/>
    <w:rsid w:val="00912EBC"/>
    <w:rsid w:val="009173EF"/>
    <w:rsid w:val="00932906"/>
    <w:rsid w:val="00961860"/>
    <w:rsid w:val="00961B0B"/>
    <w:rsid w:val="00962D33"/>
    <w:rsid w:val="009B38C3"/>
    <w:rsid w:val="009D46C7"/>
    <w:rsid w:val="009E17BD"/>
    <w:rsid w:val="009E485A"/>
    <w:rsid w:val="00A04CEC"/>
    <w:rsid w:val="00A10672"/>
    <w:rsid w:val="00A27F92"/>
    <w:rsid w:val="00A3049D"/>
    <w:rsid w:val="00A32257"/>
    <w:rsid w:val="00A36D20"/>
    <w:rsid w:val="00A43C03"/>
    <w:rsid w:val="00A46CD0"/>
    <w:rsid w:val="00A514A4"/>
    <w:rsid w:val="00A52C84"/>
    <w:rsid w:val="00A55622"/>
    <w:rsid w:val="00A83502"/>
    <w:rsid w:val="00AD15B3"/>
    <w:rsid w:val="00AD3606"/>
    <w:rsid w:val="00AD4A3D"/>
    <w:rsid w:val="00AF1977"/>
    <w:rsid w:val="00AF6E49"/>
    <w:rsid w:val="00B04A67"/>
    <w:rsid w:val="00B0583C"/>
    <w:rsid w:val="00B1562D"/>
    <w:rsid w:val="00B248BC"/>
    <w:rsid w:val="00B358B2"/>
    <w:rsid w:val="00B40A81"/>
    <w:rsid w:val="00B44910"/>
    <w:rsid w:val="00B72267"/>
    <w:rsid w:val="00B73DD1"/>
    <w:rsid w:val="00B76EB6"/>
    <w:rsid w:val="00B7737B"/>
    <w:rsid w:val="00B824C8"/>
    <w:rsid w:val="00B849D3"/>
    <w:rsid w:val="00B84B9D"/>
    <w:rsid w:val="00BA3A51"/>
    <w:rsid w:val="00BA41BB"/>
    <w:rsid w:val="00BA55FC"/>
    <w:rsid w:val="00BC251A"/>
    <w:rsid w:val="00BD032B"/>
    <w:rsid w:val="00BD094B"/>
    <w:rsid w:val="00BE2640"/>
    <w:rsid w:val="00C01189"/>
    <w:rsid w:val="00C374DE"/>
    <w:rsid w:val="00C47AD4"/>
    <w:rsid w:val="00C52D81"/>
    <w:rsid w:val="00C55198"/>
    <w:rsid w:val="00C725C6"/>
    <w:rsid w:val="00C81B52"/>
    <w:rsid w:val="00C922C7"/>
    <w:rsid w:val="00CA6393"/>
    <w:rsid w:val="00CB18FF"/>
    <w:rsid w:val="00CB24AA"/>
    <w:rsid w:val="00CD0C08"/>
    <w:rsid w:val="00CD3C91"/>
    <w:rsid w:val="00CE03FB"/>
    <w:rsid w:val="00CE433C"/>
    <w:rsid w:val="00CF0161"/>
    <w:rsid w:val="00CF08C4"/>
    <w:rsid w:val="00CF33F3"/>
    <w:rsid w:val="00D06183"/>
    <w:rsid w:val="00D06252"/>
    <w:rsid w:val="00D22C42"/>
    <w:rsid w:val="00D45669"/>
    <w:rsid w:val="00D464CC"/>
    <w:rsid w:val="00D522F6"/>
    <w:rsid w:val="00D65041"/>
    <w:rsid w:val="00D67039"/>
    <w:rsid w:val="00D86E6C"/>
    <w:rsid w:val="00DB00D5"/>
    <w:rsid w:val="00DB1936"/>
    <w:rsid w:val="00DB384B"/>
    <w:rsid w:val="00DE17BA"/>
    <w:rsid w:val="00DE2633"/>
    <w:rsid w:val="00DF0189"/>
    <w:rsid w:val="00E04331"/>
    <w:rsid w:val="00E06FD5"/>
    <w:rsid w:val="00E10E80"/>
    <w:rsid w:val="00E124F0"/>
    <w:rsid w:val="00E227F3"/>
    <w:rsid w:val="00E37A3A"/>
    <w:rsid w:val="00E4728B"/>
    <w:rsid w:val="00E545C6"/>
    <w:rsid w:val="00E60F04"/>
    <w:rsid w:val="00E63EFF"/>
    <w:rsid w:val="00E65B24"/>
    <w:rsid w:val="00E854E4"/>
    <w:rsid w:val="00E85B67"/>
    <w:rsid w:val="00E86DBF"/>
    <w:rsid w:val="00EB0D6F"/>
    <w:rsid w:val="00EB2232"/>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15:docId w15:val="{01D94A4B-A735-4BB8-9828-245A4675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052D13"/>
    <w:pPr>
      <w:keepLines/>
      <w:tabs>
        <w:tab w:val="left" w:pos="256"/>
      </w:tabs>
      <w:ind w:left="256" w:hanging="256"/>
    </w:pPr>
    <w:rPr>
      <w:sz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052D13"/>
    <w:pPr>
      <w:spacing w:before="160"/>
      <w:outlineLvl w:val="0"/>
    </w:pPr>
    <w:rPr>
      <w:sz w:val="26"/>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character" w:customStyle="1" w:styleId="FootnoteTextChar">
    <w:name w:val="Footnote Text Char"/>
    <w:basedOn w:val="DefaultParagraphFont"/>
    <w:link w:val="FootnoteText"/>
    <w:rsid w:val="00052D13"/>
    <w:rPr>
      <w:rFonts w:ascii="Calibri" w:hAnsi="Calibri"/>
      <w:sz w:val="22"/>
      <w:lang w:val="en-GB" w:eastAsia="en-US"/>
    </w:rPr>
  </w:style>
  <w:style w:type="paragraph" w:customStyle="1" w:styleId="Reasons">
    <w:name w:val="Reasons"/>
    <w:basedOn w:val="Normal"/>
    <w:qFormat/>
    <w:rsid w:val="00BA41BB"/>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4-EGITRS3-C-0007/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4-EGITRS2-C-0019/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oth/T02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EGITRS3-C-0007/en" TargetMode="External"/><Relationship Id="rId5" Type="http://schemas.openxmlformats.org/officeDocument/2006/relationships/webSettings" Target="webSettings.xml"/><Relationship Id="rId15" Type="http://schemas.openxmlformats.org/officeDocument/2006/relationships/hyperlink" Target="https://www.itu.int/en/ITU-T/inr/Pages/roa.aspx" TargetMode="External"/><Relationship Id="rId10" Type="http://schemas.openxmlformats.org/officeDocument/2006/relationships/hyperlink" Target="https://www.itu.int/md/S24-EGITRS3-C-0002/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4-EGITRS2-C-0019/en" TargetMode="External"/><Relationship Id="rId14" Type="http://schemas.openxmlformats.org/officeDocument/2006/relationships/hyperlink" Target="https://www.itu.int/md/S24-EGITRS3-C-000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4</Pages>
  <Words>1041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Workplan</vt:lpstr>
    </vt:vector>
  </TitlesOfParts>
  <Manager/>
  <Company/>
  <LinksUpToDate>false</LinksUpToDate>
  <CharactersWithSpaces>7362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Workplan</dc:title>
  <dc:subject>ITU Expert Group on ITRs</dc:subject>
  <dc:creator>LRT</dc:creator>
  <cp:keywords>EG-ITRs</cp:keywords>
  <dc:description/>
  <cp:lastModifiedBy>LRT</cp:lastModifiedBy>
  <cp:revision>6</cp:revision>
  <dcterms:created xsi:type="dcterms:W3CDTF">2024-11-14T10:42:00Z</dcterms:created>
  <dcterms:modified xsi:type="dcterms:W3CDTF">2024-11-15T10:03:00Z</dcterms:modified>
  <cp:category>Conference document</cp:category>
</cp:coreProperties>
</file>