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27DCE" w14:paraId="02ED0B8B" w14:textId="77777777" w:rsidTr="00AD3606">
        <w:trPr>
          <w:cantSplit/>
          <w:trHeight w:val="23"/>
        </w:trPr>
        <w:tc>
          <w:tcPr>
            <w:tcW w:w="3969" w:type="dxa"/>
            <w:vMerge w:val="restart"/>
            <w:tcMar>
              <w:left w:w="0" w:type="dxa"/>
            </w:tcMar>
          </w:tcPr>
          <w:p w14:paraId="26D50040"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47761BA" w14:textId="1B73B8B6" w:rsidR="00AD3606" w:rsidRPr="000B5AB0" w:rsidRDefault="00E85B67" w:rsidP="001E74E4">
            <w:pPr>
              <w:tabs>
                <w:tab w:val="left" w:pos="851"/>
              </w:tabs>
              <w:spacing w:before="0" w:line="240" w:lineRule="atLeast"/>
              <w:jc w:val="right"/>
              <w:rPr>
                <w:b/>
              </w:rPr>
            </w:pPr>
            <w:r w:rsidRPr="000B5AB0">
              <w:rPr>
                <w:b/>
              </w:rPr>
              <w:t xml:space="preserve">Document </w:t>
            </w:r>
            <w:r w:rsidR="00EB0FAA" w:rsidRPr="000B5AB0">
              <w:rPr>
                <w:b/>
              </w:rPr>
              <w:t>EG-DEC482-</w:t>
            </w:r>
            <w:r w:rsidR="00374585" w:rsidRPr="000B5AB0">
              <w:rPr>
                <w:b/>
              </w:rPr>
              <w:t>4</w:t>
            </w:r>
            <w:r w:rsidR="00EB0FAA" w:rsidRPr="000B5AB0">
              <w:rPr>
                <w:b/>
              </w:rPr>
              <w:t>/</w:t>
            </w:r>
            <w:r w:rsidR="006D3E01">
              <w:rPr>
                <w:b/>
              </w:rPr>
              <w:t>4</w:t>
            </w:r>
          </w:p>
        </w:tc>
      </w:tr>
      <w:tr w:rsidR="00AD3606" w:rsidRPr="00147C54" w14:paraId="2BEB83D6" w14:textId="77777777" w:rsidTr="00AD3606">
        <w:trPr>
          <w:cantSplit/>
        </w:trPr>
        <w:tc>
          <w:tcPr>
            <w:tcW w:w="3969" w:type="dxa"/>
            <w:vMerge/>
          </w:tcPr>
          <w:p w14:paraId="5AE08758" w14:textId="77777777" w:rsidR="00AD3606" w:rsidRPr="00127DCE" w:rsidRDefault="00AD3606" w:rsidP="00AD3606">
            <w:pPr>
              <w:tabs>
                <w:tab w:val="left" w:pos="851"/>
              </w:tabs>
              <w:spacing w:line="240" w:lineRule="atLeast"/>
              <w:rPr>
                <w:b/>
              </w:rPr>
            </w:pPr>
            <w:bookmarkStart w:id="6" w:name="ddate" w:colFirst="1" w:colLast="1"/>
            <w:bookmarkEnd w:id="0"/>
            <w:bookmarkEnd w:id="1"/>
          </w:p>
        </w:tc>
        <w:tc>
          <w:tcPr>
            <w:tcW w:w="5245" w:type="dxa"/>
          </w:tcPr>
          <w:p w14:paraId="72B52F7B" w14:textId="4AAA23F7" w:rsidR="00AD3606" w:rsidRPr="00147C54" w:rsidRDefault="002D3A82" w:rsidP="00EB0FAA">
            <w:pPr>
              <w:tabs>
                <w:tab w:val="left" w:pos="851"/>
              </w:tabs>
              <w:spacing w:before="0"/>
              <w:jc w:val="right"/>
              <w:rPr>
                <w:b/>
              </w:rPr>
            </w:pPr>
            <w:r>
              <w:rPr>
                <w:b/>
              </w:rPr>
              <w:t xml:space="preserve">28 </w:t>
            </w:r>
            <w:r w:rsidR="00374585">
              <w:rPr>
                <w:b/>
              </w:rPr>
              <w:t>March</w:t>
            </w:r>
            <w:r w:rsidR="00A3248C">
              <w:rPr>
                <w:b/>
              </w:rPr>
              <w:t xml:space="preserve"> 2025</w:t>
            </w:r>
          </w:p>
        </w:tc>
      </w:tr>
      <w:tr w:rsidR="00AD3606" w:rsidRPr="00147C54" w14:paraId="255FAC33" w14:textId="77777777" w:rsidTr="00AD3606">
        <w:trPr>
          <w:cantSplit/>
          <w:trHeight w:val="23"/>
        </w:trPr>
        <w:tc>
          <w:tcPr>
            <w:tcW w:w="3969" w:type="dxa"/>
            <w:vMerge/>
          </w:tcPr>
          <w:p w14:paraId="052D6FD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3B28C02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76CBEE55" w14:textId="77777777" w:rsidTr="00AD3606">
        <w:trPr>
          <w:cantSplit/>
          <w:trHeight w:val="23"/>
        </w:trPr>
        <w:tc>
          <w:tcPr>
            <w:tcW w:w="3969" w:type="dxa"/>
          </w:tcPr>
          <w:p w14:paraId="625DDDD1" w14:textId="77777777" w:rsidR="00472BAD" w:rsidRPr="00147C54" w:rsidRDefault="00472BAD" w:rsidP="00AD3606">
            <w:pPr>
              <w:tabs>
                <w:tab w:val="left" w:pos="851"/>
              </w:tabs>
              <w:spacing w:line="240" w:lineRule="atLeast"/>
              <w:rPr>
                <w:b/>
              </w:rPr>
            </w:pPr>
          </w:p>
        </w:tc>
        <w:tc>
          <w:tcPr>
            <w:tcW w:w="5245" w:type="dxa"/>
          </w:tcPr>
          <w:p w14:paraId="46138B18" w14:textId="77777777" w:rsidR="00472BAD" w:rsidRPr="00147C54" w:rsidRDefault="00472BAD" w:rsidP="00AD3606">
            <w:pPr>
              <w:tabs>
                <w:tab w:val="left" w:pos="851"/>
              </w:tabs>
              <w:spacing w:before="0" w:line="240" w:lineRule="atLeast"/>
              <w:jc w:val="right"/>
              <w:rPr>
                <w:b/>
              </w:rPr>
            </w:pPr>
          </w:p>
        </w:tc>
      </w:tr>
      <w:tr w:rsidR="00AD3606" w:rsidRPr="00147C54" w14:paraId="2C28FFEE" w14:textId="77777777" w:rsidTr="00AD3606">
        <w:trPr>
          <w:cantSplit/>
        </w:trPr>
        <w:tc>
          <w:tcPr>
            <w:tcW w:w="9214" w:type="dxa"/>
            <w:gridSpan w:val="2"/>
            <w:tcMar>
              <w:left w:w="0" w:type="dxa"/>
            </w:tcMar>
          </w:tcPr>
          <w:p w14:paraId="08833230" w14:textId="149715E9" w:rsidR="00AD3606" w:rsidRPr="00147C54" w:rsidRDefault="00EB0FAA" w:rsidP="00EB0FAA">
            <w:pPr>
              <w:pStyle w:val="Source"/>
              <w:framePr w:hSpace="0" w:wrap="auto" w:vAnchor="margin" w:hAnchor="text" w:xAlign="left" w:yAlign="inline"/>
            </w:pPr>
            <w:bookmarkStart w:id="8" w:name="dsource" w:colFirst="0" w:colLast="0"/>
            <w:bookmarkEnd w:id="7"/>
            <w:r w:rsidRPr="00374585">
              <w:t>Co</w:t>
            </w:r>
            <w:r w:rsidR="00374585" w:rsidRPr="00374585">
              <w:t>ntribution</w:t>
            </w:r>
            <w:r w:rsidR="004C158D" w:rsidRPr="00374585">
              <w:t xml:space="preserve"> </w:t>
            </w:r>
            <w:r w:rsidRPr="00374585">
              <w:t xml:space="preserve">by </w:t>
            </w:r>
            <w:r w:rsidR="000B5AB0">
              <w:t>France, Germany, Montenegro</w:t>
            </w:r>
          </w:p>
        </w:tc>
      </w:tr>
      <w:tr w:rsidR="00AD3606" w:rsidRPr="00147C54" w14:paraId="5DA74A77" w14:textId="77777777" w:rsidTr="00AD3606">
        <w:trPr>
          <w:cantSplit/>
        </w:trPr>
        <w:tc>
          <w:tcPr>
            <w:tcW w:w="9214" w:type="dxa"/>
            <w:gridSpan w:val="2"/>
            <w:tcMar>
              <w:left w:w="0" w:type="dxa"/>
            </w:tcMar>
          </w:tcPr>
          <w:p w14:paraId="3BEF128C" w14:textId="22AC90CA" w:rsidR="00AD3606" w:rsidRPr="00A3248C" w:rsidRDefault="002D3A82" w:rsidP="00A24E1D">
            <w:pPr>
              <w:pStyle w:val="Subtitle"/>
              <w:framePr w:hSpace="0" w:wrap="auto" w:xAlign="left" w:yAlign="inline"/>
              <w:rPr>
                <w:spacing w:val="-2"/>
              </w:rPr>
            </w:pPr>
            <w:bookmarkStart w:id="9" w:name="dtitle1" w:colFirst="0" w:colLast="0"/>
            <w:bookmarkEnd w:id="8"/>
            <w:r>
              <w:rPr>
                <w:spacing w:val="-2"/>
              </w:rPr>
              <w:t xml:space="preserve">REVIEW OF </w:t>
            </w:r>
            <w:r w:rsidR="00A24E1D" w:rsidRPr="00A24E1D">
              <w:rPr>
                <w:i/>
                <w:iCs/>
                <w:spacing w:val="-2"/>
              </w:rPr>
              <w:t>REVISION 2 TO DOCUMENT EG-DEC482-2/DT/3</w:t>
            </w:r>
          </w:p>
        </w:tc>
      </w:tr>
      <w:tr w:rsidR="00942AD2" w14:paraId="20125DB8" w14:textId="77777777" w:rsidTr="00823594">
        <w:trPr>
          <w:cantSplit/>
        </w:trPr>
        <w:tc>
          <w:tcPr>
            <w:tcW w:w="9214" w:type="dxa"/>
            <w:gridSpan w:val="2"/>
            <w:tcBorders>
              <w:top w:val="single" w:sz="4" w:space="0" w:color="auto"/>
            </w:tcBorders>
            <w:tcMar>
              <w:left w:w="0" w:type="dxa"/>
            </w:tcMar>
          </w:tcPr>
          <w:p w14:paraId="4E7636EB" w14:textId="47DF4660" w:rsidR="00942AD2" w:rsidRPr="00374585" w:rsidRDefault="00374585" w:rsidP="00823594">
            <w:pPr>
              <w:spacing w:after="160"/>
              <w:rPr>
                <w:b/>
                <w:bCs/>
              </w:rPr>
            </w:pPr>
            <w:bookmarkStart w:id="10" w:name="_Hlk133421428"/>
            <w:bookmarkEnd w:id="2"/>
            <w:bookmarkEnd w:id="9"/>
            <w:r w:rsidRPr="00374585">
              <w:rPr>
                <w:b/>
                <w:bCs/>
              </w:rPr>
              <w:t>Purpose</w:t>
            </w:r>
          </w:p>
          <w:p w14:paraId="108693F6" w14:textId="018415EF" w:rsidR="00374585" w:rsidRDefault="000B5AB0" w:rsidP="00A24E1D">
            <w:pPr>
              <w:spacing w:after="160"/>
            </w:pPr>
            <w:r>
              <w:t>France, Germany</w:t>
            </w:r>
            <w:r w:rsidR="00FB76C4">
              <w:t xml:space="preserve"> and </w:t>
            </w:r>
            <w:r>
              <w:t xml:space="preserve">Montenegro </w:t>
            </w:r>
            <w:r w:rsidR="00A24E1D">
              <w:t xml:space="preserve">provide observations, comments and proposals on the document </w:t>
            </w:r>
            <w:r w:rsidR="00A24E1D" w:rsidRPr="000B5AB0">
              <w:rPr>
                <w:i/>
                <w:iCs/>
              </w:rPr>
              <w:t>Revision 2 to Document EG-DEC482-2/DT/3</w:t>
            </w:r>
            <w:r w:rsidR="00374585">
              <w:rPr>
                <w:lang w:val="en-US"/>
              </w:rPr>
              <w:t>.</w:t>
            </w:r>
            <w:r w:rsidR="00374585" w:rsidRPr="001D5F26">
              <w:rPr>
                <w:lang w:val="en-US"/>
              </w:rPr>
              <w:t xml:space="preserve"> </w:t>
            </w:r>
            <w:r w:rsidR="00374585">
              <w:t xml:space="preserve"> </w:t>
            </w:r>
          </w:p>
          <w:p w14:paraId="4BFAA62D" w14:textId="77777777" w:rsidR="00374585" w:rsidRPr="00374585" w:rsidRDefault="00374585" w:rsidP="00823594">
            <w:pPr>
              <w:spacing w:after="160"/>
              <w:rPr>
                <w:b/>
                <w:bCs/>
              </w:rPr>
            </w:pPr>
            <w:r w:rsidRPr="00374585">
              <w:rPr>
                <w:b/>
                <w:bCs/>
              </w:rPr>
              <w:t>Action required</w:t>
            </w:r>
          </w:p>
          <w:p w14:paraId="2F530C7A" w14:textId="7E887DE7" w:rsidR="00374585" w:rsidRDefault="00374585" w:rsidP="00823594">
            <w:pPr>
              <w:spacing w:after="160"/>
            </w:pPr>
            <w:r w:rsidRPr="001D5F26">
              <w:rPr>
                <w:lang w:val="en-US"/>
              </w:rPr>
              <w:t xml:space="preserve">The Expert Group on Decision 482 is invited to </w:t>
            </w:r>
            <w:r w:rsidRPr="000B5AB0">
              <w:rPr>
                <w:b/>
                <w:bCs/>
                <w:lang w:val="en-US"/>
              </w:rPr>
              <w:t>consider</w:t>
            </w:r>
            <w:r w:rsidRPr="001D5F26">
              <w:rPr>
                <w:lang w:val="en-US"/>
              </w:rPr>
              <w:t xml:space="preserve"> this document</w:t>
            </w:r>
            <w:r>
              <w:rPr>
                <w:lang w:val="en-US"/>
              </w:rPr>
              <w:t>.</w:t>
            </w:r>
          </w:p>
        </w:tc>
      </w:tr>
    </w:tbl>
    <w:p w14:paraId="6545F1DF" w14:textId="77777777" w:rsidR="00E227F3" w:rsidRPr="00147C54" w:rsidRDefault="00E227F3" w:rsidP="009E3801">
      <w:pPr>
        <w:pBdr>
          <w:bottom w:val="single" w:sz="4" w:space="1" w:color="auto"/>
        </w:pBdr>
        <w:tabs>
          <w:tab w:val="clear" w:pos="567"/>
          <w:tab w:val="clear" w:pos="1134"/>
          <w:tab w:val="clear" w:pos="1701"/>
          <w:tab w:val="clear" w:pos="2268"/>
          <w:tab w:val="clear" w:pos="2835"/>
        </w:tabs>
        <w:overflowPunct/>
        <w:autoSpaceDE/>
        <w:autoSpaceDN/>
        <w:adjustRightInd/>
        <w:spacing w:before="0"/>
        <w:textAlignment w:val="auto"/>
      </w:pPr>
    </w:p>
    <w:bookmarkEnd w:id="3"/>
    <w:bookmarkEnd w:id="4"/>
    <w:p w14:paraId="475CD885" w14:textId="0793A4AF"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p w14:paraId="3CB5CD0F" w14:textId="50FBBCE0" w:rsidR="00374585" w:rsidRPr="000B5AB0" w:rsidRDefault="00A24E1D" w:rsidP="00374585">
      <w:pPr>
        <w:jc w:val="both"/>
      </w:pPr>
      <w:bookmarkStart w:id="11" w:name="_Hlk194301788"/>
      <w:bookmarkEnd w:id="5"/>
      <w:bookmarkEnd w:id="10"/>
      <w:r w:rsidRPr="000B5AB0">
        <w:lastRenderedPageBreak/>
        <w:t>We</w:t>
      </w:r>
      <w:r w:rsidR="00374585" w:rsidRPr="000B5AB0">
        <w:t xml:space="preserve"> present hereafter </w:t>
      </w:r>
      <w:r w:rsidRPr="000B5AB0">
        <w:t xml:space="preserve">our </w:t>
      </w:r>
      <w:r w:rsidR="00374585" w:rsidRPr="000B5AB0">
        <w:t>views on each of the item</w:t>
      </w:r>
      <w:r w:rsidR="00967887" w:rsidRPr="000B5AB0">
        <w:t>s</w:t>
      </w:r>
      <w:r w:rsidR="00374585" w:rsidRPr="000B5AB0">
        <w:t xml:space="preserve"> that the Expert Group </w:t>
      </w:r>
      <w:proofErr w:type="gramStart"/>
      <w:r w:rsidR="00374585" w:rsidRPr="000B5AB0">
        <w:t>has to</w:t>
      </w:r>
      <w:proofErr w:type="gramEnd"/>
      <w:r w:rsidR="00374585" w:rsidRPr="000B5AB0">
        <w:t xml:space="preserve"> examine according to the </w:t>
      </w:r>
      <w:r w:rsidR="00967887" w:rsidRPr="000B5AB0">
        <w:t xml:space="preserve">Council </w:t>
      </w:r>
      <w:r w:rsidR="00374585" w:rsidRPr="000B5AB0">
        <w:t xml:space="preserve">Decision. It is recognized that the mandate of the group is limited to technically understand and validate the formula and calculation process </w:t>
      </w:r>
      <w:proofErr w:type="gramStart"/>
      <w:r w:rsidR="00374585" w:rsidRPr="000B5AB0">
        <w:t>taking into account</w:t>
      </w:r>
      <w:proofErr w:type="gramEnd"/>
      <w:r w:rsidR="00374585" w:rsidRPr="000B5AB0">
        <w:t xml:space="preserve"> the new role played by NGSO constellations. Costs and Budget issues themselves are out of scope and to be discussed at Council level.</w:t>
      </w:r>
    </w:p>
    <w:p w14:paraId="03DF6CDE" w14:textId="26E9077E" w:rsidR="00374585" w:rsidRPr="000B5AB0" w:rsidRDefault="00CB185D" w:rsidP="00374585">
      <w:pPr>
        <w:jc w:val="both"/>
      </w:pPr>
      <w:r w:rsidRPr="009E3801">
        <w:rPr>
          <w:spacing w:val="-2"/>
        </w:rPr>
        <w:t>We</w:t>
      </w:r>
      <w:r w:rsidR="00374585" w:rsidRPr="009E3801">
        <w:rPr>
          <w:spacing w:val="-2"/>
        </w:rPr>
        <w:t xml:space="preserve"> </w:t>
      </w:r>
      <w:r w:rsidRPr="009E3801">
        <w:rPr>
          <w:spacing w:val="-2"/>
        </w:rPr>
        <w:t>are of the view that</w:t>
      </w:r>
      <w:r w:rsidR="00374585" w:rsidRPr="009E3801">
        <w:rPr>
          <w:spacing w:val="-2"/>
        </w:rPr>
        <w:t xml:space="preserve"> a</w:t>
      </w:r>
      <w:r w:rsidRPr="009E3801">
        <w:rPr>
          <w:spacing w:val="-2"/>
        </w:rPr>
        <w:t>ny discussion that would suggest a</w:t>
      </w:r>
      <w:r w:rsidR="00374585" w:rsidRPr="009E3801">
        <w:rPr>
          <w:spacing w:val="-2"/>
        </w:rPr>
        <w:t xml:space="preserve"> reconsideration of the Resolution</w:t>
      </w:r>
      <w:r w:rsidR="009E3801" w:rsidRPr="009E3801">
        <w:rPr>
          <w:spacing w:val="-2"/>
        </w:rPr>
        <w:t> </w:t>
      </w:r>
      <w:r w:rsidR="00374585" w:rsidRPr="009E3801">
        <w:rPr>
          <w:spacing w:val="-2"/>
        </w:rPr>
        <w:t>91</w:t>
      </w:r>
      <w:r w:rsidR="00374585" w:rsidRPr="000B5AB0">
        <w:t xml:space="preserve"> about the indirect and direct costs</w:t>
      </w:r>
      <w:r w:rsidRPr="000B5AB0">
        <w:t xml:space="preserve"> is out of the scope of the Expert Group on Decision 482</w:t>
      </w:r>
      <w:r w:rsidR="00374585" w:rsidRPr="000B5AB0">
        <w:t xml:space="preserve">. Such consideration </w:t>
      </w:r>
      <w:proofErr w:type="gramStart"/>
      <w:r w:rsidR="00374585" w:rsidRPr="000B5AB0">
        <w:t>has to</w:t>
      </w:r>
      <w:proofErr w:type="gramEnd"/>
      <w:r w:rsidR="00374585" w:rsidRPr="000B5AB0">
        <w:t xml:space="preserve"> be limited to ITU-Council preparation.</w:t>
      </w:r>
    </w:p>
    <w:p w14:paraId="2D603E2B" w14:textId="1B1E5EF0" w:rsidR="00374585" w:rsidRPr="000B5AB0" w:rsidRDefault="00374585" w:rsidP="00374585">
      <w:pPr>
        <w:jc w:val="both"/>
      </w:pPr>
      <w:r w:rsidRPr="000B5AB0">
        <w:t xml:space="preserve">Following the third meeting of the Expert Group on Decision 482, held on 10 and 11 February 2025, and the associated report from the Secretary (Document </w:t>
      </w:r>
      <w:hyperlink r:id="rId11" w:history="1">
        <w:r w:rsidRPr="009E3801">
          <w:rPr>
            <w:rStyle w:val="Hyperlink"/>
          </w:rPr>
          <w:t>CWG-FHR-20/29</w:t>
        </w:r>
      </w:hyperlink>
      <w:r w:rsidRPr="000B5AB0">
        <w:t>), it is noted that an agreement leading to increases in cost recovery was reached for only four items (b, e, h, and i of the Terms of Reference). Several key items related to non-geostationary systems (items f and g of the Terms of Reference) remain unresolved. The Secretar</w:t>
      </w:r>
      <w:r w:rsidR="009E3801">
        <w:t>iat</w:t>
      </w:r>
      <w:r w:rsidRPr="000B5AB0">
        <w:t xml:space="preserve"> document states that no changes should be made to Decision 482 in response to two items (a and j of the Terms of Reference) and that no changes can be proposed at this stage in response to item c).</w:t>
      </w:r>
    </w:p>
    <w:p w14:paraId="603DAFF7" w14:textId="39FBBF67" w:rsidR="00374585" w:rsidRPr="000B5AB0" w:rsidRDefault="00CB185D" w:rsidP="00374585">
      <w:pPr>
        <w:jc w:val="both"/>
      </w:pPr>
      <w:r w:rsidRPr="000B5AB0">
        <w:t xml:space="preserve">We </w:t>
      </w:r>
      <w:r w:rsidR="00374585" w:rsidRPr="000B5AB0">
        <w:t>consider that the decisions related to items c) and d) remain unclear and that the status of item d) was not included in the Secretar</w:t>
      </w:r>
      <w:r w:rsidR="009E3801">
        <w:t>iat</w:t>
      </w:r>
      <w:r w:rsidR="00374585" w:rsidRPr="000B5AB0">
        <w:t>'s report.</w:t>
      </w:r>
    </w:p>
    <w:p w14:paraId="398531E6" w14:textId="77777777" w:rsidR="00CB185D" w:rsidRPr="000B5AB0" w:rsidRDefault="00CB185D" w:rsidP="00374585">
      <w:pPr>
        <w:jc w:val="both"/>
      </w:pPr>
    </w:p>
    <w:tbl>
      <w:tblPr>
        <w:tblStyle w:val="TableGrid"/>
        <w:tblW w:w="0" w:type="auto"/>
        <w:tblLook w:val="04A0" w:firstRow="1" w:lastRow="0" w:firstColumn="1" w:lastColumn="0" w:noHBand="0" w:noVBand="1"/>
      </w:tblPr>
      <w:tblGrid>
        <w:gridCol w:w="9061"/>
      </w:tblGrid>
      <w:tr w:rsidR="00374585" w:rsidRPr="0055373C" w14:paraId="3D1ED7CD" w14:textId="77777777" w:rsidTr="00076856">
        <w:tc>
          <w:tcPr>
            <w:tcW w:w="9061" w:type="dxa"/>
          </w:tcPr>
          <w:p w14:paraId="39948759" w14:textId="77777777" w:rsidR="00374585" w:rsidRPr="000B5AB0" w:rsidRDefault="00374585" w:rsidP="00076856">
            <w:pPr>
              <w:pStyle w:val="Headingb"/>
            </w:pPr>
            <w:r w:rsidRPr="000B5AB0">
              <w:t>a)</w:t>
            </w:r>
            <w:r w:rsidRPr="000B5AB0">
              <w:tab/>
              <w:t xml:space="preserve">In the case of non-receivable filings, the appropriateness or otherwise of charging a fraction of the amount of an equivalent receivable filing for such cases, </w:t>
            </w:r>
            <w:proofErr w:type="gramStart"/>
            <w:r w:rsidRPr="000B5AB0">
              <w:t>taking into account</w:t>
            </w:r>
            <w:proofErr w:type="gramEnd"/>
            <w:r w:rsidRPr="000B5AB0">
              <w:t xml:space="preserve"> the needs of developing countries</w:t>
            </w:r>
          </w:p>
          <w:p w14:paraId="12193B66"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w:t>
            </w:r>
            <w:r w:rsidRPr="000B5AB0">
              <w:rPr>
                <w:rFonts w:eastAsia="SimSun"/>
                <w:i/>
                <w:iCs/>
                <w:lang w:eastAsia="zh-CN"/>
              </w:rPr>
              <w:t xml:space="preserve"> (…) the Group noted the need for further study to determine whether using the date of submission, rather than the date of receipt for the amendment to the Annex to Council Decision 482 is appropriate.</w:t>
            </w:r>
          </w:p>
          <w:p w14:paraId="6D087844" w14:textId="77777777" w:rsidR="00374585" w:rsidRPr="000B5AB0" w:rsidRDefault="00374585" w:rsidP="00076856">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xml:space="preserve">: This item could be implemented into a revised Decision 482 by adding a new </w:t>
            </w:r>
            <w:r w:rsidRPr="000B5AB0">
              <w:rPr>
                <w:rFonts w:eastAsia="SimSun"/>
                <w:i/>
                <w:iCs/>
                <w:lang w:eastAsia="zh-CN"/>
              </w:rPr>
              <w:t>decides</w:t>
            </w:r>
            <w:r w:rsidRPr="000B5AB0">
              <w:rPr>
                <w:rFonts w:eastAsia="SimSun"/>
                <w:lang w:eastAsia="zh-CN"/>
              </w:rPr>
              <w:t xml:space="preserve"> 2o) and a footnote giving the proposed percentage of fees to be invoiced for cases of non-receivable filings, according to the same categories listed in the Annex to the Decision 482. A possible example of such implementation is given in the Annex of this document.</w:t>
            </w:r>
          </w:p>
          <w:p w14:paraId="460EB411" w14:textId="15A97075" w:rsidR="00374585" w:rsidRPr="000B5AB0" w:rsidRDefault="00374585" w:rsidP="00967887">
            <w:pPr>
              <w:jc w:val="both"/>
            </w:pPr>
            <w:r w:rsidRPr="000B5AB0">
              <w:rPr>
                <w:rFonts w:eastAsia="SimSun"/>
                <w:lang w:eastAsia="zh-CN"/>
              </w:rPr>
              <w:t xml:space="preserve">See Document </w:t>
            </w:r>
            <w:hyperlink r:id="rId12" w:history="1">
              <w:r w:rsidRPr="000B5AB0">
                <w:rPr>
                  <w:rStyle w:val="Hyperlink"/>
                </w:rPr>
                <w:t>EG-DEC482-3/2</w:t>
              </w:r>
            </w:hyperlink>
            <w:r w:rsidRPr="000B5AB0">
              <w:t xml:space="preserve"> for background information on the proposed suggestions.</w:t>
            </w:r>
          </w:p>
        </w:tc>
      </w:tr>
      <w:tr w:rsidR="00374585" w:rsidRPr="0055373C" w14:paraId="1DBE39E6" w14:textId="77777777" w:rsidTr="00076856">
        <w:tc>
          <w:tcPr>
            <w:tcW w:w="9061" w:type="dxa"/>
          </w:tcPr>
          <w:p w14:paraId="6349B554" w14:textId="54644F74" w:rsidR="00374585" w:rsidRPr="000B5AB0" w:rsidRDefault="002160D8" w:rsidP="00076856">
            <w:r w:rsidRPr="000B5AB0">
              <w:t xml:space="preserve">We </w:t>
            </w:r>
            <w:r w:rsidR="00374585" w:rsidRPr="000B5AB0">
              <w:t>agree with the proposal of the Bureau.</w:t>
            </w:r>
          </w:p>
        </w:tc>
      </w:tr>
    </w:tbl>
    <w:p w14:paraId="25BFF2FD"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269A3BD0" w14:textId="77777777" w:rsidTr="00076856">
        <w:tc>
          <w:tcPr>
            <w:tcW w:w="9061" w:type="dxa"/>
          </w:tcPr>
          <w:p w14:paraId="4FD9A3DC" w14:textId="77777777" w:rsidR="00374585" w:rsidRPr="000B5AB0" w:rsidRDefault="00374585" w:rsidP="00076856">
            <w:pPr>
              <w:pStyle w:val="Headingb"/>
            </w:pPr>
            <w:r w:rsidRPr="000B5AB0">
              <w:lastRenderedPageBreak/>
              <w:t>b)</w:t>
            </w:r>
            <w:r w:rsidRPr="000B5AB0">
              <w:tab/>
              <w:t>Whether there are categories of filings for non-GSO satellite systems that, due to their complexity, should not be eligible for free entitlement</w:t>
            </w:r>
          </w:p>
          <w:p w14:paraId="6B70017E" w14:textId="77777777" w:rsidR="00374585" w:rsidRPr="000B5AB0" w:rsidRDefault="00374585" w:rsidP="00076856">
            <w:pPr>
              <w:jc w:val="both"/>
            </w:pPr>
            <w:r w:rsidRPr="000B5AB0">
              <w:rPr>
                <w:rFonts w:eastAsia="SimSun"/>
                <w:u w:val="single"/>
                <w:lang w:eastAsia="zh-CN"/>
              </w:rPr>
              <w:t>Possible amendments to Council Decision 482</w:t>
            </w:r>
            <w:r w:rsidRPr="000B5AB0">
              <w:rPr>
                <w:rFonts w:eastAsia="SimSun"/>
                <w:lang w:eastAsia="zh-CN"/>
              </w:rPr>
              <w:t xml:space="preserve">: This item could be implemented into a revised Decision 482 by inserting exceptions for “large non-GSO satellite systems” to the free entitlement mechanism in </w:t>
            </w:r>
            <w:r w:rsidRPr="000B5AB0">
              <w:rPr>
                <w:rFonts w:eastAsia="SimSun"/>
                <w:i/>
                <w:iCs/>
                <w:lang w:eastAsia="zh-CN"/>
              </w:rPr>
              <w:t>decides</w:t>
            </w:r>
            <w:r w:rsidRPr="000B5AB0">
              <w:rPr>
                <w:rFonts w:eastAsia="SimSun"/>
                <w:lang w:eastAsia="zh-CN"/>
              </w:rPr>
              <w:t xml:space="preserve"> 4. A possible example of such implementation is given in the Annex of this document. See Document </w:t>
            </w:r>
            <w:hyperlink r:id="rId13" w:history="1">
              <w:r w:rsidRPr="000B5AB0">
                <w:rPr>
                  <w:rStyle w:val="Hyperlink"/>
                </w:rPr>
                <w:t>EG-DEC482-3/2</w:t>
              </w:r>
            </w:hyperlink>
            <w:r w:rsidRPr="000B5AB0">
              <w:t xml:space="preserve"> for information about which types of non-GSO should be considered as “large non-GSO satellite systems”.</w:t>
            </w:r>
          </w:p>
          <w:p w14:paraId="42F61F0E" w14:textId="77777777" w:rsidR="00374585" w:rsidRPr="000B5AB0" w:rsidRDefault="00374585" w:rsidP="00076856">
            <w:pPr>
              <w:jc w:val="both"/>
              <w:rPr>
                <w:rFonts w:eastAsia="SimSun"/>
                <w:lang w:eastAsia="zh-CN"/>
              </w:rPr>
            </w:pPr>
            <w:r w:rsidRPr="000B5AB0">
              <w:rPr>
                <w:rFonts w:eastAsia="SimSun"/>
                <w:lang w:eastAsia="zh-CN"/>
              </w:rPr>
              <w:t xml:space="preserve">Noting that the intent of this item is to recover the costs of submissions requiring a lot of ITU resources, non-GSO satellite systems meeting at least one of the three following criteria should be considered as </w:t>
            </w:r>
            <w:r w:rsidRPr="000B5AB0">
              <w:rPr>
                <w:rFonts w:eastAsia="SimSun"/>
                <w:i/>
                <w:iCs/>
                <w:lang w:eastAsia="zh-CN"/>
              </w:rPr>
              <w:t xml:space="preserve">“large non-GSO satellite systems” </w:t>
            </w:r>
            <w:r w:rsidRPr="000B5AB0">
              <w:rPr>
                <w:rFonts w:eastAsia="SimSun"/>
                <w:lang w:eastAsia="zh-CN"/>
              </w:rPr>
              <w:t>and</w:t>
            </w:r>
            <w:r w:rsidRPr="000B5AB0">
              <w:rPr>
                <w:rFonts w:eastAsia="SimSun"/>
                <w:i/>
                <w:iCs/>
                <w:lang w:eastAsia="zh-CN"/>
              </w:rPr>
              <w:t xml:space="preserve"> </w:t>
            </w:r>
            <w:r w:rsidRPr="000B5AB0">
              <w:rPr>
                <w:rFonts w:eastAsia="SimSun"/>
                <w:lang w:eastAsia="zh-CN"/>
              </w:rPr>
              <w:t xml:space="preserve">be excluded from eligibility for free entitlement because they each require substantially higher resources to be processed: </w:t>
            </w:r>
          </w:p>
          <w:p w14:paraId="771245A8" w14:textId="77777777" w:rsidR="00374585" w:rsidRPr="000B5AB0" w:rsidRDefault="00374585" w:rsidP="00076856">
            <w:pPr>
              <w:pStyle w:val="enumlev1"/>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with more than 25 000 </w:t>
            </w:r>
            <w:proofErr w:type="gramStart"/>
            <w:r w:rsidRPr="000B5AB0">
              <w:rPr>
                <w:rFonts w:eastAsia="SimSun"/>
                <w:lang w:eastAsia="zh-CN"/>
              </w:rPr>
              <w:t>units;</w:t>
            </w:r>
            <w:proofErr w:type="gramEnd"/>
          </w:p>
          <w:p w14:paraId="13073B9D" w14:textId="77777777" w:rsidR="00374585" w:rsidRPr="000B5AB0" w:rsidRDefault="00374585" w:rsidP="00076856">
            <w:pPr>
              <w:pStyle w:val="enumlev1"/>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containing two or more mutually exclusive </w:t>
            </w:r>
            <w:proofErr w:type="gramStart"/>
            <w:r w:rsidRPr="000B5AB0">
              <w:rPr>
                <w:rFonts w:eastAsia="SimSun"/>
                <w:lang w:eastAsia="zh-CN"/>
              </w:rPr>
              <w:t>configurations;</w:t>
            </w:r>
            <w:proofErr w:type="gramEnd"/>
          </w:p>
          <w:p w14:paraId="1786B9FF" w14:textId="77777777" w:rsidR="00374585" w:rsidRPr="000B5AB0" w:rsidRDefault="00374585" w:rsidP="00076856">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subject to </w:t>
            </w:r>
            <w:proofErr w:type="spellStart"/>
            <w:r w:rsidRPr="000B5AB0">
              <w:rPr>
                <w:rFonts w:eastAsia="SimSun"/>
                <w:lang w:eastAsia="zh-CN"/>
              </w:rPr>
              <w:t>epfd</w:t>
            </w:r>
            <w:proofErr w:type="spellEnd"/>
            <w:r w:rsidRPr="000B5AB0">
              <w:rPr>
                <w:rFonts w:eastAsia="SimSun"/>
                <w:lang w:eastAsia="zh-CN"/>
              </w:rPr>
              <w:t xml:space="preserve"> limits of Article </w:t>
            </w:r>
            <w:r w:rsidRPr="000B5AB0">
              <w:rPr>
                <w:rFonts w:eastAsia="SimSun"/>
                <w:b/>
                <w:bCs/>
                <w:lang w:eastAsia="zh-CN"/>
              </w:rPr>
              <w:t>22</w:t>
            </w:r>
            <w:r w:rsidRPr="000B5AB0">
              <w:rPr>
                <w:rFonts w:eastAsia="SimSun"/>
                <w:lang w:eastAsia="zh-CN"/>
              </w:rPr>
              <w:t xml:space="preserve"> of the Radio Regulations.</w:t>
            </w:r>
          </w:p>
        </w:tc>
      </w:tr>
      <w:tr w:rsidR="00374585" w:rsidRPr="0055373C" w14:paraId="1C98282C" w14:textId="77777777" w:rsidTr="00076856">
        <w:tc>
          <w:tcPr>
            <w:tcW w:w="9061" w:type="dxa"/>
          </w:tcPr>
          <w:p w14:paraId="30CACFC5" w14:textId="33D1272F" w:rsidR="00374585" w:rsidRPr="000B5AB0" w:rsidRDefault="002160D8" w:rsidP="00076856">
            <w:r w:rsidRPr="000B5AB0">
              <w:rPr>
                <w:szCs w:val="24"/>
              </w:rPr>
              <w:t xml:space="preserve">We </w:t>
            </w:r>
            <w:r w:rsidR="00374585" w:rsidRPr="000B5AB0">
              <w:rPr>
                <w:szCs w:val="24"/>
              </w:rPr>
              <w:t>agree that large non-GSO satellite systems as defined by the BR should not be eligible for the current free entitlement filing per administration.</w:t>
            </w:r>
          </w:p>
          <w:p w14:paraId="3B6E96B3" w14:textId="16D15ADB" w:rsidR="00374585" w:rsidRPr="000B5AB0" w:rsidRDefault="002160D8" w:rsidP="00076856">
            <w:r w:rsidRPr="000B5AB0">
              <w:t xml:space="preserve">We </w:t>
            </w:r>
            <w:r w:rsidR="00374585" w:rsidRPr="000B5AB0">
              <w:t>agree with the principles of the Bureau</w:t>
            </w:r>
            <w:r w:rsidRPr="000B5AB0">
              <w:t>.</w:t>
            </w:r>
            <w:r w:rsidR="00374585" w:rsidRPr="000B5AB0">
              <w:t xml:space="preserve"> </w:t>
            </w:r>
          </w:p>
        </w:tc>
      </w:tr>
    </w:tbl>
    <w:p w14:paraId="1449DCFB"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2A5515AC" w14:textId="77777777" w:rsidTr="00076856">
        <w:tc>
          <w:tcPr>
            <w:tcW w:w="9061" w:type="dxa"/>
          </w:tcPr>
          <w:p w14:paraId="70AF371D" w14:textId="77777777" w:rsidR="00374585" w:rsidRPr="000B5AB0" w:rsidRDefault="00374585" w:rsidP="00076856">
            <w:pPr>
              <w:pStyle w:val="Headingb"/>
            </w:pPr>
            <w:r w:rsidRPr="000B5AB0">
              <w:lastRenderedPageBreak/>
              <w:t>c)</w:t>
            </w:r>
            <w:r w:rsidRPr="000B5AB0">
              <w:tab/>
              <w:t>Whether specific fees should be paid for processing submissions related to earth stations in motion while avoiding double invoicing</w:t>
            </w:r>
          </w:p>
          <w:p w14:paraId="5DF056A8" w14:textId="77777777" w:rsidR="00374585" w:rsidRPr="000B5AB0" w:rsidRDefault="00374585" w:rsidP="00076856">
            <w:pPr>
              <w:jc w:val="both"/>
              <w:rPr>
                <w:rFonts w:eastAsia="SimSun"/>
                <w:i/>
                <w:iCs/>
                <w:lang w:eastAsia="zh-CN"/>
              </w:rPr>
            </w:pPr>
            <w:r w:rsidRPr="000B5AB0">
              <w:rPr>
                <w:rFonts w:eastAsia="SimSun"/>
                <w:i/>
                <w:iCs/>
                <w:lang w:eastAsia="zh-CN"/>
              </w:rPr>
              <w:t xml:space="preserve">The Group requested that the Bureau reassess the workload involved in processing ESIM notices submitted under Resolutions </w:t>
            </w:r>
            <w:r w:rsidRPr="000B5AB0">
              <w:rPr>
                <w:rFonts w:eastAsia="SimSun"/>
                <w:b/>
                <w:bCs/>
                <w:i/>
                <w:iCs/>
                <w:lang w:eastAsia="zh-CN"/>
              </w:rPr>
              <w:t>121 (WRC-23)</w:t>
            </w:r>
            <w:r w:rsidRPr="000B5AB0">
              <w:rPr>
                <w:rFonts w:eastAsia="SimSun"/>
                <w:i/>
                <w:iCs/>
                <w:lang w:eastAsia="zh-CN"/>
              </w:rPr>
              <w:t xml:space="preserve">, </w:t>
            </w:r>
            <w:r w:rsidRPr="000B5AB0">
              <w:rPr>
                <w:rFonts w:eastAsia="SimSun"/>
                <w:b/>
                <w:bCs/>
                <w:i/>
                <w:iCs/>
                <w:lang w:eastAsia="zh-CN"/>
              </w:rPr>
              <w:t>123 (WRC-23)</w:t>
            </w:r>
            <w:r w:rsidRPr="000B5AB0">
              <w:rPr>
                <w:rFonts w:eastAsia="SimSun"/>
                <w:i/>
                <w:iCs/>
                <w:lang w:eastAsia="zh-CN"/>
              </w:rPr>
              <w:t xml:space="preserve">, and </w:t>
            </w:r>
            <w:r w:rsidRPr="000B5AB0">
              <w:rPr>
                <w:rFonts w:eastAsia="SimSun"/>
                <w:b/>
                <w:bCs/>
                <w:i/>
                <w:iCs/>
                <w:lang w:eastAsia="zh-CN"/>
              </w:rPr>
              <w:t>169 (Rev.WRC-23)</w:t>
            </w:r>
            <w:r w:rsidRPr="000B5AB0">
              <w:rPr>
                <w:rFonts w:eastAsia="SimSun"/>
                <w:i/>
                <w:iCs/>
                <w:lang w:eastAsia="zh-CN"/>
              </w:rPr>
              <w:t>, with a view to fully implementing the Resolutions in their entirety. It was noted that the comprehensive implementation of these Resolutions and their annexes entails a workload that exceeds that of processing a single space notice</w:t>
            </w:r>
          </w:p>
          <w:p w14:paraId="77EE925D" w14:textId="77777777" w:rsidR="00374585" w:rsidRPr="000B5AB0" w:rsidRDefault="00374585" w:rsidP="00C06DA0">
            <w:pPr>
              <w:spacing w:before="240"/>
              <w:jc w:val="both"/>
              <w:rPr>
                <w:rFonts w:eastAsia="SimSun"/>
                <w:lang w:eastAsia="zh-CN"/>
              </w:rPr>
            </w:pPr>
            <w:r w:rsidRPr="000B5AB0">
              <w:rPr>
                <w:rFonts w:eastAsia="SimSun"/>
                <w:lang w:eastAsia="zh-CN"/>
              </w:rPr>
              <w:t xml:space="preserve">The workload involved in the processing of ESIM notices from submission until publication of the special section was described in section c) of Document </w:t>
            </w:r>
            <w:hyperlink r:id="rId14" w:history="1">
              <w:r w:rsidRPr="000B5AB0">
                <w:rPr>
                  <w:rStyle w:val="Hyperlink"/>
                  <w:rFonts w:eastAsia="SimSun"/>
                  <w:lang w:eastAsia="zh-CN"/>
                </w:rPr>
                <w:t>EG-DEC482-2/3</w:t>
              </w:r>
            </w:hyperlink>
            <w:r w:rsidRPr="000B5AB0">
              <w:rPr>
                <w:rFonts w:eastAsia="SimSun"/>
                <w:lang w:eastAsia="zh-CN"/>
              </w:rPr>
              <w:t xml:space="preserve">. </w:t>
            </w:r>
          </w:p>
          <w:p w14:paraId="1671E263" w14:textId="77777777" w:rsidR="00374585" w:rsidRPr="000B5AB0" w:rsidRDefault="00374585" w:rsidP="00076856">
            <w:pPr>
              <w:jc w:val="both"/>
              <w:rPr>
                <w:lang w:eastAsia="zh-CN"/>
              </w:rPr>
            </w:pPr>
            <w:r w:rsidRPr="000B5AB0">
              <w:rPr>
                <w:rFonts w:eastAsia="SimSun"/>
                <w:lang w:eastAsia="zh-CN"/>
              </w:rPr>
              <w:t xml:space="preserve">However, Resolutions </w:t>
            </w:r>
            <w:r w:rsidRPr="000B5AB0">
              <w:rPr>
                <w:rFonts w:eastAsia="SimSun"/>
                <w:b/>
                <w:bCs/>
                <w:lang w:eastAsia="zh-CN"/>
              </w:rPr>
              <w:t>121 (WRC-23)</w:t>
            </w:r>
            <w:r w:rsidRPr="000B5AB0">
              <w:rPr>
                <w:rFonts w:eastAsia="SimSun"/>
                <w:lang w:eastAsia="zh-CN"/>
              </w:rPr>
              <w:t xml:space="preserve"> and </w:t>
            </w:r>
            <w:r w:rsidRPr="000B5AB0">
              <w:rPr>
                <w:rFonts w:eastAsia="SimSun"/>
                <w:b/>
                <w:bCs/>
                <w:lang w:eastAsia="zh-CN"/>
              </w:rPr>
              <w:t xml:space="preserve">123 (WRC-23) </w:t>
            </w:r>
            <w:r w:rsidRPr="000B5AB0">
              <w:rPr>
                <w:rFonts w:eastAsia="SimSun"/>
                <w:lang w:eastAsia="zh-CN"/>
              </w:rPr>
              <w:t>also</w:t>
            </w:r>
            <w:r w:rsidRPr="000B5AB0">
              <w:rPr>
                <w:rFonts w:eastAsia="SimSun"/>
                <w:b/>
                <w:bCs/>
                <w:lang w:eastAsia="zh-CN"/>
              </w:rPr>
              <w:t xml:space="preserve"> </w:t>
            </w:r>
            <w:r w:rsidRPr="000B5AB0">
              <w:rPr>
                <w:rFonts w:eastAsia="SimSun"/>
                <w:lang w:eastAsia="zh-CN"/>
              </w:rPr>
              <w:t xml:space="preserve">contain provisions </w:t>
            </w:r>
            <w:proofErr w:type="gramStart"/>
            <w:r w:rsidRPr="000B5AB0">
              <w:rPr>
                <w:lang w:eastAsia="zh-CN"/>
              </w:rPr>
              <w:t>in the event that</w:t>
            </w:r>
            <w:proofErr w:type="gramEnd"/>
            <w:r w:rsidRPr="000B5AB0">
              <w:rPr>
                <w:lang w:eastAsia="zh-CN"/>
              </w:rPr>
              <w:t xml:space="preserve"> unacceptable interference is reported, which would add to the overall implementation workload of the Bureau, should it occur. Noting that these provisions are applied only in cases of the actual occurrence of unacceptable interference and the lack of experience since they have only entered into force on 1</w:t>
            </w:r>
            <w:r w:rsidRPr="000B5AB0">
              <w:rPr>
                <w:vertAlign w:val="superscript"/>
                <w:lang w:eastAsia="zh-CN"/>
              </w:rPr>
              <w:t>st</w:t>
            </w:r>
            <w:r w:rsidRPr="000B5AB0">
              <w:rPr>
                <w:lang w:eastAsia="zh-CN"/>
              </w:rPr>
              <w:t xml:space="preserve"> January 2025, it is difficult to estimate the workload associated with such provisions and to compute a corresponding fee that would be added to the processing costs of every such submission. </w:t>
            </w:r>
          </w:p>
          <w:p w14:paraId="2A06B952" w14:textId="77777777" w:rsidR="00374585" w:rsidRPr="000B5AB0" w:rsidRDefault="00374585" w:rsidP="00076856">
            <w:pPr>
              <w:jc w:val="both"/>
              <w:rPr>
                <w:lang w:eastAsia="zh-CN"/>
              </w:rPr>
            </w:pPr>
            <w:r w:rsidRPr="000B5AB0">
              <w:rPr>
                <w:rFonts w:eastAsia="SimSun"/>
                <w:lang w:eastAsia="zh-CN"/>
              </w:rPr>
              <w:t>Alternatively</w:t>
            </w:r>
            <w:r w:rsidRPr="000B5AB0">
              <w:rPr>
                <w:lang w:eastAsia="zh-CN"/>
              </w:rPr>
              <w:t xml:space="preserve">, the Expert Group may wish to consider a mechanism by which a fee is paid only in cases where unacceptable interference is </w:t>
            </w:r>
            <w:proofErr w:type="gramStart"/>
            <w:r w:rsidRPr="000B5AB0">
              <w:rPr>
                <w:lang w:eastAsia="zh-CN"/>
              </w:rPr>
              <w:t>actually caused</w:t>
            </w:r>
            <w:proofErr w:type="gramEnd"/>
            <w:r w:rsidRPr="000B5AB0">
              <w:rPr>
                <w:lang w:eastAsia="zh-CN"/>
              </w:rPr>
              <w:t xml:space="preserve">. </w:t>
            </w:r>
          </w:p>
          <w:p w14:paraId="5F0051F5" w14:textId="77777777" w:rsidR="00374585" w:rsidRPr="000B5AB0" w:rsidRDefault="00374585" w:rsidP="00076856"/>
        </w:tc>
      </w:tr>
      <w:tr w:rsidR="00374585" w:rsidRPr="0055373C" w14:paraId="01FA914D" w14:textId="77777777" w:rsidTr="00076856">
        <w:tc>
          <w:tcPr>
            <w:tcW w:w="9061" w:type="dxa"/>
          </w:tcPr>
          <w:p w14:paraId="1D2D3004" w14:textId="5DD092CD" w:rsidR="00374585" w:rsidRPr="000B5AB0" w:rsidRDefault="002160D8" w:rsidP="00076856">
            <w:r w:rsidRPr="000B5AB0">
              <w:t xml:space="preserve">We </w:t>
            </w:r>
            <w:r w:rsidR="00374585" w:rsidRPr="000B5AB0">
              <w:t xml:space="preserve">agree that the proper </w:t>
            </w:r>
            <w:proofErr w:type="gramStart"/>
            <w:r w:rsidR="00374585" w:rsidRPr="000B5AB0">
              <w:t>words</w:t>
            </w:r>
            <w:proofErr w:type="gramEnd"/>
            <w:r w:rsidR="00374585" w:rsidRPr="000B5AB0">
              <w:t xml:space="preserve"> for this item </w:t>
            </w:r>
            <w:r w:rsidR="00374585" w:rsidRPr="000B5AB0">
              <w:rPr>
                <w:b/>
                <w:bCs/>
                <w:i/>
                <w:iCs/>
              </w:rPr>
              <w:t>is the cost recovery for the submission of a space station to which associated earth stations in motion (ESIM)</w:t>
            </w:r>
            <w:r w:rsidR="00374585" w:rsidRPr="000B5AB0">
              <w:t xml:space="preserve"> and charges as for a single space notice is adequate. </w:t>
            </w:r>
          </w:p>
          <w:p w14:paraId="6997DCB2" w14:textId="259C9FE9" w:rsidR="00374585" w:rsidRPr="000B5AB0" w:rsidRDefault="002778E1" w:rsidP="00076856">
            <w:r w:rsidRPr="000B5AB0">
              <w:t>We are</w:t>
            </w:r>
            <w:r w:rsidR="00374585" w:rsidRPr="000B5AB0">
              <w:t xml:space="preserve"> of the view that interference resolution cannot be subject to cost recovery, </w:t>
            </w:r>
            <w:proofErr w:type="gramStart"/>
            <w:r w:rsidR="00374585" w:rsidRPr="000B5AB0">
              <w:t>in particular when</w:t>
            </w:r>
            <w:proofErr w:type="gramEnd"/>
            <w:r w:rsidR="00374585" w:rsidRPr="000B5AB0">
              <w:t xml:space="preserve"> the interfering system is compliant with the RR. </w:t>
            </w:r>
          </w:p>
        </w:tc>
      </w:tr>
    </w:tbl>
    <w:p w14:paraId="04A4FB63"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3866C2D7" w14:textId="77777777" w:rsidTr="00076856">
        <w:tc>
          <w:tcPr>
            <w:tcW w:w="9061" w:type="dxa"/>
          </w:tcPr>
          <w:p w14:paraId="484CB239" w14:textId="77777777" w:rsidR="00374585" w:rsidRPr="000B5AB0" w:rsidRDefault="00374585" w:rsidP="00076856">
            <w:pPr>
              <w:pStyle w:val="Headingb"/>
            </w:pPr>
            <w:r w:rsidRPr="000B5AB0">
              <w:lastRenderedPageBreak/>
              <w:t>d)</w:t>
            </w:r>
            <w:r w:rsidRPr="000B5AB0">
              <w:tab/>
              <w:t>The cost of processing resubmissions of notification requests.</w:t>
            </w:r>
          </w:p>
          <w:p w14:paraId="415E1A73"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 xml:space="preserve">: </w:t>
            </w:r>
            <w:r w:rsidRPr="000B5AB0">
              <w:rPr>
                <w:rFonts w:eastAsia="SimSun"/>
                <w:i/>
                <w:iCs/>
                <w:lang w:eastAsia="zh-CN"/>
              </w:rPr>
              <w:t xml:space="preserve">During the meeting, concerns were expressed about the idea of charging each resubmission separately. The possibility of charging resubmissions, particularly those with modified technical characteristics, which lead to a lot of </w:t>
            </w:r>
            <w:proofErr w:type="gramStart"/>
            <w:r w:rsidRPr="000B5AB0">
              <w:rPr>
                <w:rFonts w:eastAsia="SimSun"/>
                <w:i/>
                <w:iCs/>
                <w:lang w:eastAsia="zh-CN"/>
              </w:rPr>
              <w:t>workload</w:t>
            </w:r>
            <w:proofErr w:type="gramEnd"/>
            <w:r w:rsidRPr="000B5AB0">
              <w:rPr>
                <w:rFonts w:eastAsia="SimSun"/>
                <w:i/>
                <w:iCs/>
                <w:lang w:eastAsia="zh-CN"/>
              </w:rPr>
              <w:t xml:space="preserve">, was discussed. The Group requested that the Bureau suggest, for the next meeting, possible amendments to the Annex to Council Decision 482 to address this issue. The possible amendments would introduce an additional fee for notices that are likely to be resubmitted under RR No. </w:t>
            </w:r>
            <w:r w:rsidRPr="000B5AB0">
              <w:rPr>
                <w:rFonts w:eastAsia="SimSun"/>
                <w:b/>
                <w:bCs/>
                <w:i/>
                <w:iCs/>
                <w:lang w:eastAsia="zh-CN"/>
              </w:rPr>
              <w:t>11.46</w:t>
            </w:r>
            <w:r w:rsidRPr="000B5AB0">
              <w:rPr>
                <w:rFonts w:eastAsia="SimSun"/>
                <w:i/>
                <w:iCs/>
                <w:lang w:eastAsia="zh-CN"/>
              </w:rPr>
              <w:t>, to be included in the first notification fee, thereby reducing the need for multiple invoices.</w:t>
            </w:r>
          </w:p>
          <w:p w14:paraId="522991F5" w14:textId="103BC95D" w:rsidR="00374585" w:rsidRPr="000B5AB0" w:rsidRDefault="00374585" w:rsidP="00076856">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xml:space="preserve">: Notifications under categories N1 to N3 (i.e. those related to satellite systems subject to coordination) are those susceptible to be resubmitted under No. </w:t>
            </w:r>
            <w:r w:rsidRPr="000B5AB0">
              <w:rPr>
                <w:rFonts w:eastAsia="SimSun"/>
                <w:b/>
                <w:bCs/>
                <w:lang w:eastAsia="zh-CN"/>
              </w:rPr>
              <w:t>11.46</w:t>
            </w:r>
            <w:r w:rsidRPr="000B5AB0">
              <w:rPr>
                <w:rFonts w:eastAsia="SimSun"/>
                <w:lang w:eastAsia="zh-CN"/>
              </w:rPr>
              <w:t xml:space="preserve"> since examination under Nos. </w:t>
            </w:r>
            <w:r w:rsidRPr="000B5AB0">
              <w:rPr>
                <w:rFonts w:eastAsia="SimSun"/>
                <w:b/>
                <w:bCs/>
                <w:lang w:eastAsia="zh-CN"/>
              </w:rPr>
              <w:t xml:space="preserve">11.32 </w:t>
            </w:r>
            <w:r w:rsidRPr="000B5AB0">
              <w:rPr>
                <w:rFonts w:eastAsia="SimSun"/>
                <w:lang w:eastAsia="zh-CN"/>
              </w:rPr>
              <w:t>and</w:t>
            </w:r>
            <w:r w:rsidRPr="000B5AB0">
              <w:rPr>
                <w:rFonts w:eastAsia="SimSun"/>
                <w:b/>
                <w:bCs/>
                <w:lang w:eastAsia="zh-CN"/>
              </w:rPr>
              <w:t xml:space="preserve"> 11.32A </w:t>
            </w:r>
            <w:r w:rsidRPr="000B5AB0">
              <w:rPr>
                <w:rFonts w:eastAsia="SimSun"/>
                <w:lang w:eastAsia="zh-CN"/>
              </w:rPr>
              <w:t xml:space="preserve">applies only to these cases. It is therefore proposed to add a note in the description of these three categories indicating that an additional fee equal to 80% of the initial fee will be charged for these categories. This percentage </w:t>
            </w:r>
            <w:proofErr w:type="gramStart"/>
            <w:r w:rsidRPr="000B5AB0">
              <w:rPr>
                <w:rFonts w:eastAsia="SimSun"/>
                <w:lang w:eastAsia="zh-CN"/>
              </w:rPr>
              <w:t>takes into account</w:t>
            </w:r>
            <w:proofErr w:type="gramEnd"/>
            <w:r w:rsidRPr="000B5AB0">
              <w:rPr>
                <w:rFonts w:eastAsia="SimSun"/>
                <w:lang w:eastAsia="zh-CN"/>
              </w:rPr>
              <w:t xml:space="preserve"> the fact that some notifications may be resubmitted twice (i.e. after unfavo</w:t>
            </w:r>
            <w:r w:rsidR="0055373C">
              <w:rPr>
                <w:rFonts w:eastAsia="SimSun"/>
                <w:lang w:eastAsia="zh-CN"/>
              </w:rPr>
              <w:t>u</w:t>
            </w:r>
            <w:r w:rsidRPr="000B5AB0">
              <w:rPr>
                <w:rFonts w:eastAsia="SimSun"/>
                <w:lang w:eastAsia="zh-CN"/>
              </w:rPr>
              <w:t xml:space="preserve">rable findings under No. </w:t>
            </w:r>
            <w:r w:rsidRPr="000B5AB0">
              <w:rPr>
                <w:rFonts w:eastAsia="SimSun"/>
                <w:b/>
                <w:bCs/>
                <w:lang w:eastAsia="zh-CN"/>
              </w:rPr>
              <w:t>11.32</w:t>
            </w:r>
            <w:r w:rsidRPr="000B5AB0">
              <w:rPr>
                <w:rFonts w:eastAsia="SimSun"/>
                <w:lang w:eastAsia="zh-CN"/>
              </w:rPr>
              <w:t xml:space="preserve"> and after unfavo</w:t>
            </w:r>
            <w:r w:rsidR="0055373C">
              <w:rPr>
                <w:rFonts w:eastAsia="SimSun"/>
                <w:lang w:eastAsia="zh-CN"/>
              </w:rPr>
              <w:t>u</w:t>
            </w:r>
            <w:r w:rsidRPr="000B5AB0">
              <w:rPr>
                <w:rFonts w:eastAsia="SimSun"/>
                <w:lang w:eastAsia="zh-CN"/>
              </w:rPr>
              <w:t xml:space="preserve">rable findings under No. </w:t>
            </w:r>
            <w:r w:rsidRPr="000B5AB0">
              <w:rPr>
                <w:rFonts w:eastAsia="SimSun"/>
                <w:b/>
                <w:bCs/>
                <w:lang w:eastAsia="zh-CN"/>
              </w:rPr>
              <w:t>11.32A</w:t>
            </w:r>
            <w:r w:rsidRPr="000B5AB0">
              <w:rPr>
                <w:rFonts w:eastAsia="SimSun"/>
                <w:lang w:eastAsia="zh-CN"/>
              </w:rPr>
              <w:t xml:space="preserve">) and assumes that resubmissions may contain modified technical parameters. The value of 80% is an average between different cases of resubmissions (i.e. with or without modified technical parameters, updating information on coordination agreements or not, applying No. </w:t>
            </w:r>
            <w:r w:rsidRPr="000B5AB0">
              <w:rPr>
                <w:rFonts w:eastAsia="SimSun"/>
                <w:b/>
                <w:bCs/>
                <w:lang w:eastAsia="zh-CN"/>
              </w:rPr>
              <w:t>11.32A</w:t>
            </w:r>
            <w:r w:rsidRPr="000B5AB0">
              <w:rPr>
                <w:rFonts w:eastAsia="SimSun"/>
                <w:lang w:eastAsia="zh-CN"/>
              </w:rPr>
              <w:t xml:space="preserve"> or not) </w:t>
            </w:r>
            <w:proofErr w:type="gramStart"/>
            <w:r w:rsidRPr="000B5AB0">
              <w:rPr>
                <w:rFonts w:eastAsia="SimSun"/>
                <w:lang w:eastAsia="zh-CN"/>
              </w:rPr>
              <w:t>in order to</w:t>
            </w:r>
            <w:proofErr w:type="gramEnd"/>
            <w:r w:rsidRPr="000B5AB0">
              <w:rPr>
                <w:rFonts w:eastAsia="SimSun"/>
                <w:lang w:eastAsia="zh-CN"/>
              </w:rPr>
              <w:t xml:space="preserve"> avoid the need for multiple invoices as requested by the Expert Group. </w:t>
            </w:r>
          </w:p>
          <w:p w14:paraId="1FD1383A" w14:textId="77777777" w:rsidR="00374585" w:rsidRPr="000B5AB0" w:rsidRDefault="00374585" w:rsidP="00076856"/>
        </w:tc>
      </w:tr>
      <w:tr w:rsidR="00374585" w:rsidRPr="0055373C" w14:paraId="6B051FFA" w14:textId="77777777" w:rsidTr="00076856">
        <w:trPr>
          <w:trHeight w:val="2172"/>
        </w:trPr>
        <w:tc>
          <w:tcPr>
            <w:tcW w:w="9061" w:type="dxa"/>
          </w:tcPr>
          <w:p w14:paraId="594D8DAB" w14:textId="5A163270" w:rsidR="00374585" w:rsidRPr="000B5AB0" w:rsidRDefault="002778E1" w:rsidP="00076856">
            <w:pPr>
              <w:jc w:val="both"/>
              <w:rPr>
                <w:rFonts w:eastAsia="Microsoft JhengHei UI" w:cs="Arial"/>
                <w:szCs w:val="24"/>
              </w:rPr>
            </w:pPr>
            <w:r w:rsidRPr="000B5AB0">
              <w:rPr>
                <w:rFonts w:eastAsia="Microsoft JhengHei UI" w:cs="Arial"/>
                <w:bCs/>
                <w:szCs w:val="24"/>
              </w:rPr>
              <w:t>We are</w:t>
            </w:r>
            <w:r w:rsidR="00374585" w:rsidRPr="000B5AB0">
              <w:rPr>
                <w:rFonts w:eastAsia="Microsoft JhengHei UI" w:cs="Arial"/>
                <w:szCs w:val="24"/>
              </w:rPr>
              <w:t xml:space="preserve"> concerned with an additional increase of 80% for all N1 to N3 submissions, which will result in N2 and N3 notifications fee of over CHF 125K for one GSO network.  The Bureau has not fully justified the 80% increase or provided sufficient granularity in its information for administrations to propose alternative percentages if any. It would be useful for the Bureau to provide a list of the filings notified in 2024 and indicate how many of these included modified technical parameters, which seems to be the driving factor for this very high fee.</w:t>
            </w:r>
          </w:p>
          <w:p w14:paraId="26573BFE" w14:textId="2099D2E6" w:rsidR="00374585" w:rsidRPr="000B5AB0" w:rsidRDefault="00374585" w:rsidP="00076856">
            <w:pPr>
              <w:rPr>
                <w:rFonts w:eastAsia="Microsoft JhengHei UI" w:cs="Arial"/>
                <w:szCs w:val="24"/>
              </w:rPr>
            </w:pPr>
            <w:r w:rsidRPr="000B5AB0">
              <w:rPr>
                <w:rFonts w:eastAsia="Microsoft JhengHei UI" w:cs="Arial"/>
                <w:szCs w:val="24"/>
              </w:rPr>
              <w:t xml:space="preserve">At this stage </w:t>
            </w:r>
            <w:r w:rsidR="002778E1" w:rsidRPr="000B5AB0">
              <w:rPr>
                <w:rFonts w:eastAsia="Microsoft JhengHei UI" w:cs="Arial"/>
                <w:szCs w:val="24"/>
              </w:rPr>
              <w:t>we do</w:t>
            </w:r>
            <w:r w:rsidRPr="000B5AB0">
              <w:rPr>
                <w:rFonts w:eastAsia="Microsoft JhengHei UI" w:cs="Arial"/>
                <w:szCs w:val="24"/>
              </w:rPr>
              <w:t xml:space="preserve"> not support the inclusion of the proposed note by the Bureau.</w:t>
            </w:r>
          </w:p>
          <w:p w14:paraId="7BA546C0" w14:textId="20935379" w:rsidR="00374585" w:rsidRPr="000B5AB0" w:rsidRDefault="002778E1" w:rsidP="00076856">
            <w:r w:rsidRPr="000B5AB0">
              <w:t xml:space="preserve">We </w:t>
            </w:r>
            <w:r w:rsidR="00374585" w:rsidRPr="000B5AB0">
              <w:t xml:space="preserve">disagree with the arguments expressed in the group that multiple invoices </w:t>
            </w:r>
            <w:proofErr w:type="gramStart"/>
            <w:r w:rsidR="00374585" w:rsidRPr="000B5AB0">
              <w:t>have to</w:t>
            </w:r>
            <w:proofErr w:type="gramEnd"/>
            <w:r w:rsidR="00374585" w:rsidRPr="000B5AB0">
              <w:t xml:space="preserve"> be avoided, and each resubmission should be charged individually.</w:t>
            </w:r>
          </w:p>
          <w:p w14:paraId="01B19683" w14:textId="07AED661" w:rsidR="00374585" w:rsidRPr="000B5AB0" w:rsidRDefault="002778E1" w:rsidP="00076856">
            <w:r w:rsidRPr="000B5AB0">
              <w:t xml:space="preserve">We are </w:t>
            </w:r>
            <w:r w:rsidR="00374585" w:rsidRPr="000B5AB0">
              <w:t>of the view that finalisation of coordination is nowadays not feasible at 100% in 7</w:t>
            </w:r>
            <w:r w:rsidR="009E3801">
              <w:t> </w:t>
            </w:r>
            <w:r w:rsidR="00374585" w:rsidRPr="000B5AB0">
              <w:t xml:space="preserve">years period and one first resubmission is almost systematic. </w:t>
            </w:r>
          </w:p>
          <w:p w14:paraId="14E7BF5D" w14:textId="1C8D1647" w:rsidR="00374585" w:rsidRPr="000B5AB0" w:rsidRDefault="002778E1" w:rsidP="00076856">
            <w:r w:rsidRPr="000B5AB0">
              <w:t xml:space="preserve">We </w:t>
            </w:r>
            <w:r w:rsidR="00374585" w:rsidRPr="000B5AB0">
              <w:t>propose to limit the overall increase of question d) from 80% to only 20%</w:t>
            </w:r>
            <w:r w:rsidR="00312E51">
              <w:t xml:space="preserve"> </w:t>
            </w:r>
            <w:r w:rsidR="00312E51" w:rsidRPr="00312E51">
              <w:t xml:space="preserve">(this 20% increase is the one already contained in item e) </w:t>
            </w:r>
            <w:r w:rsidR="000B5AB0" w:rsidRPr="00312E51">
              <w:t xml:space="preserve">below) </w:t>
            </w:r>
            <w:r w:rsidR="000B5AB0" w:rsidRPr="000B5AB0">
              <w:t>including</w:t>
            </w:r>
            <w:r w:rsidR="00374585" w:rsidRPr="000B5AB0">
              <w:t xml:space="preserve"> the first resubmission. Each additional resubmission with modification of technical parameters may imply an additional cost of 60% and a new invoice. </w:t>
            </w:r>
            <w:r w:rsidR="006F5D90">
              <w:t>We are</w:t>
            </w:r>
            <w:r w:rsidR="00374585" w:rsidRPr="000B5AB0">
              <w:t xml:space="preserve"> also of the view that additional resubmission should only be subject to cost recovery when the resubmission is a request from the notifying administration. Resubmission requests by the Bureau to align some parameters should be exempt of cost recovery.</w:t>
            </w:r>
          </w:p>
          <w:p w14:paraId="19A506DE" w14:textId="77777777" w:rsidR="00374585" w:rsidRPr="000B5AB0" w:rsidRDefault="00374585" w:rsidP="00076856">
            <w:r w:rsidRPr="000B5AB0">
              <w:t>Resubmission without modification of the technical parameters should be exempt of additional cost recovery.</w:t>
            </w:r>
          </w:p>
        </w:tc>
      </w:tr>
    </w:tbl>
    <w:p w14:paraId="3EA8B5E7"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5D1ACA56" w14:textId="77777777" w:rsidTr="00076856">
        <w:tc>
          <w:tcPr>
            <w:tcW w:w="9061" w:type="dxa"/>
          </w:tcPr>
          <w:p w14:paraId="695730F6" w14:textId="77777777" w:rsidR="00374585" w:rsidRPr="000B5AB0" w:rsidRDefault="00374585" w:rsidP="00076856">
            <w:pPr>
              <w:pStyle w:val="Headingb"/>
            </w:pPr>
            <w:r w:rsidRPr="000B5AB0">
              <w:t>e)</w:t>
            </w:r>
            <w:r w:rsidRPr="000B5AB0">
              <w:tab/>
              <w:t>The costs associated with the BR’s implementation of additional provisions: Resolutions 4 (Rev.WRC-03) and 49 (Rev.WRC-23), Nos. 11.32A, 11.41, 11.47, 11.49, Subsection IID of Article 9, Sections 1 and 2 of Article 13, Article 14</w:t>
            </w:r>
          </w:p>
          <w:p w14:paraId="50FE4999"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w:t>
            </w:r>
            <w:r w:rsidRPr="000B5AB0">
              <w:rPr>
                <w:rFonts w:eastAsia="SimSun"/>
                <w:i/>
                <w:iCs/>
                <w:lang w:eastAsia="zh-CN"/>
              </w:rPr>
              <w:t xml:space="preserve"> The Group noted that charging a separate fee for each provision should be avoided and that assistance to developing countries should not be charged. The Group also discussed whether it is necessary to increase the fee for notification considering that the current fee for notification is already high. The Group requested that the Bureau (…) suggest, for the next meeting, possible amendments to the Annex to Council Decision 482 to address this issue. The possible amendments could introduce an additional fee, ranging from 10% to 30% of the first notification fee, </w:t>
            </w:r>
            <w:proofErr w:type="gramStart"/>
            <w:r w:rsidRPr="000B5AB0">
              <w:rPr>
                <w:rFonts w:eastAsia="SimSun"/>
                <w:i/>
                <w:iCs/>
                <w:lang w:eastAsia="zh-CN"/>
              </w:rPr>
              <w:t>taking into account</w:t>
            </w:r>
            <w:proofErr w:type="gramEnd"/>
            <w:r w:rsidRPr="000B5AB0">
              <w:rPr>
                <w:rFonts w:eastAsia="SimSun"/>
                <w:i/>
                <w:iCs/>
                <w:lang w:eastAsia="zh-CN"/>
              </w:rPr>
              <w:t xml:space="preserve"> that certain provisions, such as Resolution </w:t>
            </w:r>
            <w:r w:rsidRPr="000B5AB0">
              <w:rPr>
                <w:rFonts w:eastAsia="SimSun"/>
                <w:b/>
                <w:bCs/>
                <w:i/>
                <w:iCs/>
                <w:lang w:eastAsia="zh-CN"/>
              </w:rPr>
              <w:t>49</w:t>
            </w:r>
            <w:r w:rsidRPr="000B5AB0">
              <w:rPr>
                <w:rFonts w:eastAsia="SimSun"/>
                <w:i/>
                <w:iCs/>
                <w:lang w:eastAsia="zh-CN"/>
              </w:rPr>
              <w:t xml:space="preserve"> or Resolution </w:t>
            </w:r>
            <w:r w:rsidRPr="000B5AB0">
              <w:rPr>
                <w:rFonts w:eastAsia="SimSun"/>
                <w:b/>
                <w:bCs/>
                <w:i/>
                <w:iCs/>
                <w:lang w:eastAsia="zh-CN"/>
              </w:rPr>
              <w:t>35</w:t>
            </w:r>
            <w:r w:rsidRPr="000B5AB0">
              <w:rPr>
                <w:rFonts w:eastAsia="SimSun"/>
                <w:i/>
                <w:iCs/>
                <w:lang w:eastAsia="zh-CN"/>
              </w:rPr>
              <w:t>, are not applied to all notifications.</w:t>
            </w:r>
          </w:p>
          <w:p w14:paraId="465A5291" w14:textId="77777777" w:rsidR="00374585" w:rsidRPr="000B5AB0" w:rsidRDefault="00374585" w:rsidP="00076856">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xml:space="preserve">: It is suggested to increase the starting fee and the flat fee of categories N1 to N3 by 20% compared to the value of 2005 (i.e. the one currently contained in the Annex to Decision 482). These categories relate to the notification of satellite networks and systems that are subject to coordination, which are also those linked with the application of most of the additional provisions decided by WRCs since 2005. </w:t>
            </w:r>
          </w:p>
          <w:p w14:paraId="121E524E" w14:textId="77777777" w:rsidR="00374585" w:rsidRPr="000B5AB0" w:rsidRDefault="00374585" w:rsidP="00076856">
            <w:pPr>
              <w:jc w:val="both"/>
              <w:rPr>
                <w:rFonts w:eastAsia="SimSun"/>
                <w:lang w:eastAsia="zh-CN"/>
              </w:rPr>
            </w:pPr>
            <w:r w:rsidRPr="000B5AB0">
              <w:rPr>
                <w:rFonts w:eastAsia="SimSun"/>
                <w:lang w:eastAsia="zh-CN"/>
              </w:rPr>
              <w:t xml:space="preserve">See also document </w:t>
            </w:r>
            <w:hyperlink r:id="rId15" w:history="1">
              <w:r w:rsidRPr="000B5AB0">
                <w:rPr>
                  <w:rStyle w:val="Hyperlink"/>
                </w:rPr>
                <w:t>EG-DEC482-3/2</w:t>
              </w:r>
            </w:hyperlink>
            <w:r w:rsidRPr="000B5AB0">
              <w:t>.</w:t>
            </w:r>
          </w:p>
          <w:p w14:paraId="304834B5" w14:textId="77777777" w:rsidR="00374585" w:rsidRPr="000B5AB0" w:rsidRDefault="00374585" w:rsidP="00076856"/>
        </w:tc>
      </w:tr>
      <w:tr w:rsidR="00374585" w:rsidRPr="0055373C" w14:paraId="6CB31B99" w14:textId="77777777" w:rsidTr="00076856">
        <w:tc>
          <w:tcPr>
            <w:tcW w:w="9061" w:type="dxa"/>
          </w:tcPr>
          <w:p w14:paraId="5D3D7351" w14:textId="3601DC3C" w:rsidR="00374585" w:rsidRPr="000B5AB0" w:rsidRDefault="00374585" w:rsidP="00076856">
            <w:pPr>
              <w:pStyle w:val="Tabletext"/>
              <w:spacing w:line="259" w:lineRule="auto"/>
              <w:jc w:val="both"/>
              <w:rPr>
                <w:rFonts w:asciiTheme="minorHAnsi" w:eastAsia="Microsoft JhengHei UI" w:hAnsiTheme="minorHAnsi" w:cs="Arial"/>
                <w:sz w:val="24"/>
                <w:szCs w:val="24"/>
              </w:rPr>
            </w:pPr>
            <w:r w:rsidRPr="000B5AB0">
              <w:rPr>
                <w:rFonts w:asciiTheme="minorHAnsi" w:eastAsia="Microsoft JhengHei UI" w:hAnsiTheme="minorHAnsi" w:cs="Arial"/>
                <w:sz w:val="24"/>
                <w:szCs w:val="24"/>
              </w:rPr>
              <w:t>The proposal to increase the Notification fees by 20% does not seem unreasonable at first glance, however it is noted that the current Decision 482 already indicates that the current fee “</w:t>
            </w:r>
            <w:r w:rsidRPr="000B5AB0">
              <w:rPr>
                <w:rFonts w:asciiTheme="minorHAnsi" w:hAnsiTheme="minorHAnsi" w:cs="Arial"/>
                <w:sz w:val="24"/>
                <w:szCs w:val="24"/>
              </w:rPr>
              <w:t xml:space="preserve">includes the application of Resolutions </w:t>
            </w:r>
            <w:r w:rsidRPr="000B5AB0">
              <w:rPr>
                <w:rFonts w:asciiTheme="minorHAnsi" w:hAnsiTheme="minorHAnsi" w:cs="Arial"/>
                <w:b/>
                <w:bCs/>
                <w:sz w:val="24"/>
                <w:szCs w:val="24"/>
              </w:rPr>
              <w:t>4</w:t>
            </w:r>
            <w:r w:rsidRPr="000B5AB0">
              <w:rPr>
                <w:rFonts w:asciiTheme="minorHAnsi" w:hAnsiTheme="minorHAnsi" w:cs="Arial"/>
                <w:sz w:val="24"/>
                <w:szCs w:val="24"/>
              </w:rPr>
              <w:t xml:space="preserve"> and </w:t>
            </w:r>
            <w:r w:rsidRPr="000B5AB0">
              <w:rPr>
                <w:rFonts w:asciiTheme="minorHAnsi" w:hAnsiTheme="minorHAnsi" w:cs="Arial"/>
                <w:b/>
                <w:bCs/>
                <w:sz w:val="24"/>
                <w:szCs w:val="24"/>
              </w:rPr>
              <w:t>49</w:t>
            </w:r>
            <w:r w:rsidRPr="000B5AB0">
              <w:rPr>
                <w:rFonts w:asciiTheme="minorHAnsi" w:hAnsiTheme="minorHAnsi" w:cs="Arial"/>
                <w:sz w:val="24"/>
                <w:szCs w:val="24"/>
              </w:rPr>
              <w:t xml:space="preserve">, Nos. </w:t>
            </w:r>
            <w:r w:rsidRPr="000B5AB0">
              <w:rPr>
                <w:rFonts w:asciiTheme="minorHAnsi" w:hAnsiTheme="minorHAnsi" w:cs="Arial"/>
                <w:b/>
                <w:bCs/>
                <w:sz w:val="24"/>
                <w:szCs w:val="24"/>
              </w:rPr>
              <w:t>11.32A</w:t>
            </w:r>
            <w:r w:rsidRPr="000B5AB0">
              <w:rPr>
                <w:rFonts w:asciiTheme="minorHAnsi" w:hAnsiTheme="minorHAnsi" w:cs="Arial"/>
                <w:sz w:val="24"/>
                <w:szCs w:val="24"/>
              </w:rPr>
              <w:t xml:space="preserve"> (see footnote </w:t>
            </w:r>
            <w:r w:rsidRPr="000B5AB0">
              <w:rPr>
                <w:rFonts w:asciiTheme="minorHAnsi" w:hAnsiTheme="minorHAnsi" w:cs="Arial"/>
                <w:i/>
                <w:iCs/>
                <w:sz w:val="24"/>
                <w:szCs w:val="24"/>
              </w:rPr>
              <w:t>a)</w:t>
            </w:r>
            <w:r w:rsidRPr="000B5AB0">
              <w:rPr>
                <w:rFonts w:asciiTheme="minorHAnsi" w:hAnsiTheme="minorHAnsi" w:cs="Arial"/>
                <w:sz w:val="24"/>
                <w:szCs w:val="24"/>
              </w:rPr>
              <w:t xml:space="preserve">), </w:t>
            </w:r>
            <w:r w:rsidRPr="000B5AB0">
              <w:rPr>
                <w:rFonts w:asciiTheme="minorHAnsi" w:hAnsiTheme="minorHAnsi" w:cs="Arial"/>
                <w:b/>
                <w:bCs/>
                <w:sz w:val="24"/>
                <w:szCs w:val="24"/>
              </w:rPr>
              <w:t>11.41</w:t>
            </w:r>
            <w:r w:rsidRPr="000B5AB0">
              <w:rPr>
                <w:rFonts w:asciiTheme="minorHAnsi" w:hAnsiTheme="minorHAnsi" w:cs="Arial"/>
                <w:sz w:val="24"/>
                <w:szCs w:val="24"/>
              </w:rPr>
              <w:t xml:space="preserve">, </w:t>
            </w:r>
            <w:r w:rsidRPr="000B5AB0">
              <w:rPr>
                <w:rFonts w:asciiTheme="minorHAnsi" w:hAnsiTheme="minorHAnsi" w:cs="Arial"/>
                <w:b/>
                <w:bCs/>
                <w:sz w:val="24"/>
                <w:szCs w:val="24"/>
              </w:rPr>
              <w:t>11.47</w:t>
            </w:r>
            <w:r w:rsidRPr="000B5AB0">
              <w:rPr>
                <w:rFonts w:asciiTheme="minorHAnsi" w:hAnsiTheme="minorHAnsi" w:cs="Arial"/>
                <w:sz w:val="24"/>
                <w:szCs w:val="24"/>
              </w:rPr>
              <w:t xml:space="preserve">, </w:t>
            </w:r>
            <w:r w:rsidRPr="000B5AB0">
              <w:rPr>
                <w:rFonts w:asciiTheme="minorHAnsi" w:hAnsiTheme="minorHAnsi" w:cs="Arial"/>
                <w:b/>
                <w:bCs/>
                <w:sz w:val="24"/>
                <w:szCs w:val="24"/>
              </w:rPr>
              <w:t>11.49</w:t>
            </w:r>
            <w:r w:rsidRPr="000B5AB0">
              <w:rPr>
                <w:rFonts w:asciiTheme="minorHAnsi" w:hAnsiTheme="minorHAnsi" w:cs="Arial"/>
                <w:sz w:val="24"/>
                <w:szCs w:val="24"/>
              </w:rPr>
              <w:t>, Sub</w:t>
            </w:r>
            <w:r w:rsidRPr="000B5AB0">
              <w:rPr>
                <w:rFonts w:asciiTheme="minorHAnsi" w:hAnsiTheme="minorHAnsi" w:cs="Arial"/>
                <w:sz w:val="24"/>
                <w:szCs w:val="24"/>
              </w:rPr>
              <w:noBreakHyphen/>
              <w:t xml:space="preserve">section IID of Article </w:t>
            </w:r>
            <w:r w:rsidRPr="000B5AB0">
              <w:rPr>
                <w:rFonts w:asciiTheme="minorHAnsi" w:hAnsiTheme="minorHAnsi" w:cs="Arial"/>
                <w:b/>
                <w:bCs/>
                <w:sz w:val="24"/>
                <w:szCs w:val="24"/>
              </w:rPr>
              <w:t>9</w:t>
            </w:r>
            <w:r w:rsidRPr="000B5AB0">
              <w:rPr>
                <w:rFonts w:asciiTheme="minorHAnsi" w:hAnsiTheme="minorHAnsi" w:cs="Arial"/>
                <w:sz w:val="24"/>
                <w:szCs w:val="24"/>
              </w:rPr>
              <w:t xml:space="preserve">, Sections 1 and 2 of Article </w:t>
            </w:r>
            <w:r w:rsidRPr="000B5AB0">
              <w:rPr>
                <w:rFonts w:asciiTheme="minorHAnsi" w:hAnsiTheme="minorHAnsi" w:cs="Arial"/>
                <w:b/>
                <w:bCs/>
                <w:sz w:val="24"/>
                <w:szCs w:val="24"/>
              </w:rPr>
              <w:t>13</w:t>
            </w:r>
            <w:r w:rsidRPr="000B5AB0">
              <w:rPr>
                <w:rFonts w:asciiTheme="minorHAnsi" w:hAnsiTheme="minorHAnsi" w:cs="Arial"/>
                <w:sz w:val="24"/>
                <w:szCs w:val="24"/>
              </w:rPr>
              <w:t xml:space="preserve">, Article </w:t>
            </w:r>
            <w:r w:rsidRPr="000B5AB0">
              <w:rPr>
                <w:rFonts w:asciiTheme="minorHAnsi" w:hAnsiTheme="minorHAnsi" w:cs="Arial"/>
                <w:b/>
                <w:bCs/>
                <w:sz w:val="24"/>
                <w:szCs w:val="24"/>
              </w:rPr>
              <w:t>14</w:t>
            </w:r>
            <w:r w:rsidRPr="000B5AB0">
              <w:rPr>
                <w:rFonts w:asciiTheme="minorHAnsi" w:hAnsiTheme="minorHAnsi" w:cs="Arial"/>
                <w:sz w:val="24"/>
                <w:szCs w:val="24"/>
              </w:rPr>
              <w:t xml:space="preserve"> and will not be separately charged.” Therefore, it is not totally clear what additional work the Bureau needs to undertake under the stated provisions that would require such an increase in the fee structure. </w:t>
            </w:r>
            <w:r w:rsidR="002778E1" w:rsidRPr="000B5AB0">
              <w:rPr>
                <w:rFonts w:asciiTheme="minorHAnsi" w:eastAsia="Microsoft JhengHei UI" w:hAnsiTheme="minorHAnsi" w:cs="Arial"/>
                <w:sz w:val="24"/>
                <w:szCs w:val="24"/>
              </w:rPr>
              <w:t>We</w:t>
            </w:r>
            <w:r w:rsidRPr="000B5AB0">
              <w:rPr>
                <w:rFonts w:asciiTheme="minorHAnsi" w:eastAsia="Microsoft JhengHei UI" w:hAnsiTheme="minorHAnsi" w:cs="Arial"/>
                <w:sz w:val="24"/>
                <w:szCs w:val="24"/>
              </w:rPr>
              <w:t xml:space="preserve"> view this paragraph and d) as related since the N1 to N3 filings would be impacted twice and seem to cover some of the same provisions.  </w:t>
            </w:r>
          </w:p>
          <w:p w14:paraId="197DCB76" w14:textId="77777777" w:rsidR="00374585" w:rsidRPr="000B5AB0" w:rsidRDefault="00374585" w:rsidP="00076856">
            <w:pPr>
              <w:rPr>
                <w:rFonts w:eastAsia="Microsoft JhengHei UI"/>
              </w:rPr>
            </w:pPr>
            <w:r w:rsidRPr="000B5AB0">
              <w:rPr>
                <w:rFonts w:eastAsia="Microsoft JhengHei UI"/>
              </w:rPr>
              <w:t>(…)</w:t>
            </w:r>
          </w:p>
          <w:p w14:paraId="09F329F7" w14:textId="77777777" w:rsidR="00374585" w:rsidRPr="000B5AB0" w:rsidRDefault="00374585" w:rsidP="00076856">
            <w:pPr>
              <w:pStyle w:val="Headingb"/>
              <w:rPr>
                <w:rFonts w:eastAsia="Microsoft JhengHei UI"/>
                <w:b w:val="0"/>
              </w:rPr>
            </w:pPr>
            <w:r w:rsidRPr="000B5AB0">
              <w:rPr>
                <w:rFonts w:eastAsia="Microsoft JhengHei UI"/>
                <w:b w:val="0"/>
              </w:rPr>
              <w:t>Other matters</w:t>
            </w:r>
          </w:p>
          <w:p w14:paraId="47A14465" w14:textId="186A9236" w:rsidR="00374585" w:rsidRPr="000B5AB0" w:rsidRDefault="00374585" w:rsidP="00076856">
            <w:pPr>
              <w:rPr>
                <w:rFonts w:eastAsia="Microsoft JhengHei UI"/>
              </w:rPr>
            </w:pPr>
            <w:r w:rsidRPr="000B5AB0">
              <w:rPr>
                <w:rFonts w:eastAsia="Microsoft JhengHei UI"/>
              </w:rPr>
              <w:t xml:space="preserve">Given the significant impact of fees being proposed, </w:t>
            </w:r>
            <w:r w:rsidR="002778E1" w:rsidRPr="000B5AB0">
              <w:rPr>
                <w:rFonts w:eastAsia="Microsoft JhengHei UI"/>
              </w:rPr>
              <w:t xml:space="preserve">we are </w:t>
            </w:r>
            <w:r w:rsidRPr="000B5AB0">
              <w:rPr>
                <w:rFonts w:eastAsia="Microsoft JhengHei UI"/>
              </w:rPr>
              <w:t>of the view that the filings subject to these fees should be those submitted after 1 January 2026. Budgets for 2025 have been established and applying new fees may impact planned ITU filings.</w:t>
            </w:r>
          </w:p>
          <w:p w14:paraId="237DAEFA" w14:textId="48132F4E" w:rsidR="00374585" w:rsidRPr="000B5AB0" w:rsidRDefault="002778E1" w:rsidP="00076856">
            <w:r w:rsidRPr="000B5AB0">
              <w:t xml:space="preserve">We </w:t>
            </w:r>
            <w:r w:rsidR="00374585" w:rsidRPr="000B5AB0">
              <w:t>agree with the 20% increase for N1, N2 and N3 accepted at the last meeting.</w:t>
            </w:r>
          </w:p>
          <w:p w14:paraId="27AE81B7" w14:textId="77777777" w:rsidR="00374585" w:rsidRPr="000B5AB0" w:rsidRDefault="00374585" w:rsidP="00076856"/>
        </w:tc>
      </w:tr>
    </w:tbl>
    <w:p w14:paraId="2E36BFC8"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587AD54D" w14:textId="77777777" w:rsidTr="00076856">
        <w:tc>
          <w:tcPr>
            <w:tcW w:w="9061" w:type="dxa"/>
          </w:tcPr>
          <w:p w14:paraId="05683799" w14:textId="77777777" w:rsidR="00374585" w:rsidRPr="000B5AB0" w:rsidRDefault="00374585" w:rsidP="00076856">
            <w:pPr>
              <w:pStyle w:val="Headingb"/>
            </w:pPr>
            <w:r w:rsidRPr="000B5AB0">
              <w:lastRenderedPageBreak/>
              <w:t>f)</w:t>
            </w:r>
            <w:r w:rsidRPr="000B5AB0">
              <w:tab/>
              <w:t xml:space="preserve">The costs of processing non-GSO filings having more than 75 000 units or, alternatively, whether the formula to compute units for such non-GSO satellite systems should </w:t>
            </w:r>
            <w:proofErr w:type="gramStart"/>
            <w:r w:rsidRPr="000B5AB0">
              <w:t>take into account</w:t>
            </w:r>
            <w:proofErr w:type="gramEnd"/>
            <w:r w:rsidRPr="000B5AB0">
              <w:t xml:space="preserve"> the impact of the number of different orbital altitudes, number of satellites, number of earth stations, or other characteristics affecting workload associated with the processing of non-GSO systems</w:t>
            </w:r>
          </w:p>
          <w:p w14:paraId="0A299731" w14:textId="77777777" w:rsidR="00374585" w:rsidRPr="000B5AB0" w:rsidRDefault="00374585" w:rsidP="00076856">
            <w:pPr>
              <w:jc w:val="both"/>
              <w:rPr>
                <w:rFonts w:eastAsia="SimSun"/>
                <w:lang w:eastAsia="zh-CN"/>
              </w:rPr>
            </w:pPr>
            <w:r w:rsidRPr="000B5AB0">
              <w:rPr>
                <w:rFonts w:eastAsia="SimSun"/>
                <w:u w:val="single"/>
                <w:lang w:eastAsia="zh-CN"/>
              </w:rPr>
              <w:t>Relevant part of the outcome of the second meeting of the Expert Group</w:t>
            </w:r>
            <w:r w:rsidRPr="000B5AB0">
              <w:rPr>
                <w:rFonts w:eastAsia="SimSun"/>
                <w:lang w:eastAsia="zh-CN"/>
              </w:rPr>
              <w:t xml:space="preserve">: </w:t>
            </w:r>
            <w:r w:rsidRPr="000B5AB0">
              <w:rPr>
                <w:rFonts w:eastAsia="SimSun"/>
                <w:i/>
                <w:iCs/>
                <w:lang w:eastAsia="zh-CN"/>
              </w:rPr>
              <w:t xml:space="preserve">The Group requested that the Bureau (…) suggest, for the next meeting, possible amendments to the Annex to Council Decision 482 revising the ceilings, </w:t>
            </w:r>
            <w:proofErr w:type="gramStart"/>
            <w:r w:rsidRPr="000B5AB0">
              <w:rPr>
                <w:rFonts w:eastAsia="SimSun"/>
                <w:i/>
                <w:iCs/>
                <w:lang w:eastAsia="zh-CN"/>
              </w:rPr>
              <w:t>in particular that</w:t>
            </w:r>
            <w:proofErr w:type="gramEnd"/>
            <w:r w:rsidRPr="000B5AB0">
              <w:rPr>
                <w:rFonts w:eastAsia="SimSun"/>
                <w:i/>
                <w:iCs/>
                <w:lang w:eastAsia="zh-CN"/>
              </w:rPr>
              <w:t xml:space="preserve"> of 75 000 units and also reconsidering the methodology for calculating units for non-GSO satellite systems.</w:t>
            </w:r>
          </w:p>
          <w:p w14:paraId="7899E586" w14:textId="77777777" w:rsidR="00374585" w:rsidRPr="000B5AB0" w:rsidRDefault="00374585" w:rsidP="00076856">
            <w:pPr>
              <w:jc w:val="both"/>
            </w:pPr>
            <w:r w:rsidRPr="000B5AB0">
              <w:rPr>
                <w:rFonts w:eastAsia="SimSun"/>
                <w:u w:val="single"/>
                <w:lang w:eastAsia="zh-CN"/>
              </w:rPr>
              <w:t>Possible amendments to Council Decision 482</w:t>
            </w:r>
            <w:r w:rsidRPr="000B5AB0">
              <w:rPr>
                <w:rFonts w:eastAsia="SimSun"/>
                <w:lang w:eastAsia="zh-CN"/>
              </w:rPr>
              <w:t xml:space="preserve">: Ceilings in the fee structure inherently create difficulties to properly recover the costs associated with the processing of filings having more units than the threshold value corresponding to the ceiling, because adding units beyond the threshold level does not result in increased fees. </w:t>
            </w:r>
            <w:proofErr w:type="gramStart"/>
            <w:r w:rsidRPr="000B5AB0">
              <w:rPr>
                <w:rFonts w:eastAsia="SimSun"/>
                <w:lang w:eastAsia="zh-CN"/>
              </w:rPr>
              <w:t>In order to</w:t>
            </w:r>
            <w:proofErr w:type="gramEnd"/>
            <w:r w:rsidRPr="000B5AB0">
              <w:rPr>
                <w:rFonts w:eastAsia="SimSun"/>
                <w:lang w:eastAsia="zh-CN"/>
              </w:rPr>
              <w:t xml:space="preserve"> minimize this issue, while also keeping a cap on cost recovery invoices, it is suggested to raise the threshold number of units at which the fee ceiling starts from 75 000 to 500 000 (noting that </w:t>
            </w:r>
            <w:r w:rsidRPr="000B5AB0">
              <w:t xml:space="preserve">the maximum number of units for a given satellite system received by the Bureau had reached 485 640 in previous years). See suggested modification of note e) in the Annex of Decision 482. </w:t>
            </w:r>
          </w:p>
          <w:p w14:paraId="08E5A2B8" w14:textId="6B27DC7E" w:rsidR="00374585" w:rsidRPr="000B5AB0" w:rsidRDefault="00374585" w:rsidP="00076856">
            <w:pPr>
              <w:jc w:val="both"/>
              <w:rPr>
                <w:rFonts w:eastAsia="SimSun"/>
                <w:lang w:eastAsia="zh-CN"/>
              </w:rPr>
            </w:pPr>
            <w:r w:rsidRPr="000B5AB0">
              <w:rPr>
                <w:rFonts w:eastAsia="SimSun"/>
                <w:lang w:eastAsia="zh-CN"/>
              </w:rPr>
              <w:t xml:space="preserve">Concerning the methodology for calculating units for non-GSO satellite systems, it is suggested to insert in the computation of units the number of different sets of orbital planes and the number of forms of coordination per frequency range (see Document </w:t>
            </w:r>
            <w:hyperlink r:id="rId16" w:history="1">
              <w:r w:rsidRPr="000B5AB0">
                <w:rPr>
                  <w:rStyle w:val="Hyperlink"/>
                  <w:rFonts w:eastAsia="SimSun"/>
                  <w:lang w:eastAsia="zh-CN"/>
                </w:rPr>
                <w:t>EG-DEC482-2/3</w:t>
              </w:r>
            </w:hyperlink>
            <w:r w:rsidRPr="000B5AB0">
              <w:rPr>
                <w:rFonts w:eastAsia="SimSun"/>
                <w:lang w:eastAsia="zh-CN"/>
              </w:rPr>
              <w:t xml:space="preserve"> for background information) in the description of the cost recovery unit for categories of coordination (C) and notification (N). </w:t>
            </w:r>
          </w:p>
          <w:p w14:paraId="6CA010F5" w14:textId="77777777" w:rsidR="00374585" w:rsidRPr="000B5AB0" w:rsidRDefault="00374585" w:rsidP="00076856">
            <w:pPr>
              <w:jc w:val="both"/>
              <w:rPr>
                <w:rFonts w:eastAsia="SimSun"/>
                <w:lang w:eastAsia="zh-CN"/>
              </w:rPr>
            </w:pPr>
            <w:r w:rsidRPr="000B5AB0">
              <w:rPr>
                <w:rFonts w:eastAsia="SimSun"/>
                <w:lang w:eastAsia="zh-CN"/>
              </w:rPr>
              <w:t xml:space="preserve">Noting that the intent of this item is to recover the costs of submissions requiring a lot of ITU resources, non-GSO satellite systems meeting at least one of the three following criteria should be considered as </w:t>
            </w:r>
            <w:r w:rsidRPr="000B5AB0">
              <w:rPr>
                <w:rFonts w:eastAsia="SimSun"/>
                <w:i/>
                <w:iCs/>
                <w:lang w:eastAsia="zh-CN"/>
              </w:rPr>
              <w:t>“large non-GSO satellite systems”</w:t>
            </w:r>
            <w:r w:rsidRPr="000B5AB0">
              <w:rPr>
                <w:rFonts w:eastAsia="SimSun"/>
                <w:lang w:eastAsia="zh-CN"/>
              </w:rPr>
              <w:t xml:space="preserve">: </w:t>
            </w:r>
          </w:p>
          <w:p w14:paraId="53B775F9" w14:textId="77777777" w:rsidR="00374585" w:rsidRPr="000B5AB0" w:rsidRDefault="00374585" w:rsidP="00076856">
            <w:pPr>
              <w:pStyle w:val="enumlev1"/>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with more than 25 000 </w:t>
            </w:r>
            <w:proofErr w:type="gramStart"/>
            <w:r w:rsidRPr="000B5AB0">
              <w:rPr>
                <w:rFonts w:eastAsia="SimSun"/>
                <w:lang w:eastAsia="zh-CN"/>
              </w:rPr>
              <w:t>units;</w:t>
            </w:r>
            <w:proofErr w:type="gramEnd"/>
          </w:p>
          <w:p w14:paraId="4035ABBF" w14:textId="77777777" w:rsidR="00374585" w:rsidRPr="000B5AB0" w:rsidRDefault="00374585" w:rsidP="00076856">
            <w:pPr>
              <w:pStyle w:val="enumlev1"/>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containing two or more mutually exclusive </w:t>
            </w:r>
            <w:proofErr w:type="gramStart"/>
            <w:r w:rsidRPr="000B5AB0">
              <w:rPr>
                <w:rFonts w:eastAsia="SimSun"/>
                <w:lang w:eastAsia="zh-CN"/>
              </w:rPr>
              <w:t>configurations;</w:t>
            </w:r>
            <w:proofErr w:type="gramEnd"/>
          </w:p>
          <w:p w14:paraId="3EC9A2E4" w14:textId="7342AEE1" w:rsidR="00374585" w:rsidRPr="000B5AB0" w:rsidRDefault="00374585" w:rsidP="00967887">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non-GSO satellite systems subject to </w:t>
            </w:r>
            <w:proofErr w:type="spellStart"/>
            <w:r w:rsidRPr="000B5AB0">
              <w:rPr>
                <w:rFonts w:eastAsia="SimSun"/>
                <w:lang w:eastAsia="zh-CN"/>
              </w:rPr>
              <w:t>epfd</w:t>
            </w:r>
            <w:proofErr w:type="spellEnd"/>
            <w:r w:rsidRPr="000B5AB0">
              <w:rPr>
                <w:rFonts w:eastAsia="SimSun"/>
                <w:lang w:eastAsia="zh-CN"/>
              </w:rPr>
              <w:t xml:space="preserve"> limits of Article </w:t>
            </w:r>
            <w:r w:rsidRPr="000B5AB0">
              <w:rPr>
                <w:rFonts w:eastAsia="SimSun"/>
                <w:b/>
                <w:bCs/>
                <w:lang w:eastAsia="zh-CN"/>
              </w:rPr>
              <w:t>22</w:t>
            </w:r>
            <w:r w:rsidRPr="000B5AB0">
              <w:rPr>
                <w:rFonts w:eastAsia="SimSun"/>
                <w:lang w:eastAsia="zh-CN"/>
              </w:rPr>
              <w:t xml:space="preserve"> of the Radio Regulations.</w:t>
            </w:r>
          </w:p>
        </w:tc>
      </w:tr>
      <w:tr w:rsidR="00374585" w:rsidRPr="0055373C" w14:paraId="4B8FD76B" w14:textId="77777777" w:rsidTr="00076856">
        <w:tc>
          <w:tcPr>
            <w:tcW w:w="9061" w:type="dxa"/>
          </w:tcPr>
          <w:p w14:paraId="7B55C7F5" w14:textId="463FE3DC" w:rsidR="00374585" w:rsidRPr="000B5AB0" w:rsidRDefault="002778E1" w:rsidP="00076856">
            <w:r w:rsidRPr="000B5AB0">
              <w:t xml:space="preserve">We </w:t>
            </w:r>
            <w:r w:rsidR="00374585" w:rsidRPr="000B5AB0">
              <w:t xml:space="preserve">disagree with a raise of the fee with the number of units above 25000 for satellite systems subject to Res 35 as during the EG 482 meeting the Bureau agreed satellite networks even with 500000 units did not change significantly the workload. </w:t>
            </w:r>
          </w:p>
          <w:p w14:paraId="7D370397" w14:textId="77C6104F" w:rsidR="00374585" w:rsidRPr="000B5AB0" w:rsidRDefault="002778E1" w:rsidP="00076856">
            <w:r w:rsidRPr="000B5AB0">
              <w:t xml:space="preserve">We </w:t>
            </w:r>
            <w:r w:rsidR="00374585" w:rsidRPr="000B5AB0">
              <w:t>agree with principles that large constellations satellite systems should be more charged when the number of set of configurations of orbitals characteristics or technical parameters increase significantly the workload of the Bureau (including submission of different set of power for the same assignments that force the Bureau to execute several calculations).</w:t>
            </w:r>
          </w:p>
          <w:p w14:paraId="6BED0228" w14:textId="6C4B7284" w:rsidR="00374585" w:rsidRPr="000B5AB0" w:rsidRDefault="002778E1" w:rsidP="00076856">
            <w:r w:rsidRPr="000B5AB0">
              <w:t xml:space="preserve">We </w:t>
            </w:r>
            <w:r w:rsidR="00374585" w:rsidRPr="000B5AB0">
              <w:t xml:space="preserve">disagree with the use of a set of orbital plans as a factor as it does not represent the way constellation </w:t>
            </w:r>
            <w:r w:rsidR="000B5AB0" w:rsidRPr="000B5AB0">
              <w:t>is</w:t>
            </w:r>
            <w:r w:rsidR="00374585" w:rsidRPr="000B5AB0">
              <w:t xml:space="preserve"> really deployed and would support to take the number of orbital positions (i.e. number of satellite) as an appropriate parameter with a factor to be defined. </w:t>
            </w:r>
          </w:p>
          <w:p w14:paraId="7E78A360" w14:textId="51C21582" w:rsidR="00374585" w:rsidRPr="000B5AB0" w:rsidRDefault="0055373C" w:rsidP="00076856">
            <w:pPr>
              <w:rPr>
                <w:lang w:val="en-US"/>
              </w:rPr>
            </w:pPr>
            <w:r w:rsidRPr="000B5AB0">
              <w:lastRenderedPageBreak/>
              <w:t xml:space="preserve">We </w:t>
            </w:r>
            <w:r w:rsidR="00374585" w:rsidRPr="000B5AB0">
              <w:t>propose to use a multiplication factor to the</w:t>
            </w:r>
            <w:r w:rsidR="00967887" w:rsidRPr="000B5AB0">
              <w:t xml:space="preserve"> </w:t>
            </w:r>
            <w:r w:rsidR="00374585" w:rsidRPr="000B5AB0">
              <w:t>number of units (with no modification to the definition of units) that represents slices of thousands of satellites: i.e. 1 for 0 to 1</w:t>
            </w:r>
            <w:r w:rsidR="000B5AB0">
              <w:t xml:space="preserve"> </w:t>
            </w:r>
            <w:r w:rsidR="00374585" w:rsidRPr="000B5AB0">
              <w:t>000 satellites, 2 for 1</w:t>
            </w:r>
            <w:r w:rsidR="000B5AB0">
              <w:t xml:space="preserve"> </w:t>
            </w:r>
            <w:r w:rsidR="00374585" w:rsidRPr="000B5AB0">
              <w:t>000 to 2</w:t>
            </w:r>
            <w:r w:rsidR="000B5AB0">
              <w:t xml:space="preserve"> </w:t>
            </w:r>
            <w:r w:rsidR="00374585" w:rsidRPr="000B5AB0">
              <w:t>000 satellites, 3 for 2</w:t>
            </w:r>
            <w:r w:rsidR="000B5AB0">
              <w:t xml:space="preserve"> </w:t>
            </w:r>
            <w:r w:rsidR="00374585" w:rsidRPr="000B5AB0">
              <w:t>000 to 3</w:t>
            </w:r>
            <w:r w:rsidR="000B5AB0">
              <w:t xml:space="preserve"> </w:t>
            </w:r>
            <w:r w:rsidR="00374585" w:rsidRPr="000B5AB0">
              <w:t xml:space="preserve">000 satellites: </w:t>
            </w:r>
            <w:r w:rsidR="00374585" w:rsidRPr="000B5AB0">
              <w:rPr>
                <w:lang w:val="en-US"/>
              </w:rPr>
              <w:t xml:space="preserve">and to apply the following formula: </w:t>
            </w:r>
          </w:p>
          <w:p w14:paraId="75209AF9" w14:textId="77777777" w:rsidR="00374585" w:rsidRPr="000B5AB0" w:rsidRDefault="00374585" w:rsidP="00374585">
            <w:pPr>
              <w:numPr>
                <w:ilvl w:val="0"/>
                <w:numId w:val="7"/>
              </w:numPr>
              <w:tabs>
                <w:tab w:val="clear" w:pos="567"/>
                <w:tab w:val="clear" w:pos="1134"/>
                <w:tab w:val="clear" w:pos="1701"/>
                <w:tab w:val="clear" w:pos="2268"/>
                <w:tab w:val="clear" w:pos="2835"/>
              </w:tabs>
              <w:overflowPunct/>
              <w:autoSpaceDE/>
              <w:autoSpaceDN/>
              <w:adjustRightInd/>
              <w:spacing w:before="0"/>
              <w:textAlignment w:val="auto"/>
            </w:pPr>
            <w:r w:rsidRPr="000B5AB0">
              <w:rPr>
                <w:lang w:val="en-US"/>
              </w:rPr>
              <w:t xml:space="preserve">New number of units = current number of units x multiplication factor. </w:t>
            </w:r>
          </w:p>
          <w:p w14:paraId="7EE64175" w14:textId="791B3F39" w:rsidR="00374585" w:rsidRPr="000B5AB0" w:rsidRDefault="00374585" w:rsidP="00374585">
            <w:pPr>
              <w:numPr>
                <w:ilvl w:val="0"/>
                <w:numId w:val="7"/>
              </w:numPr>
              <w:tabs>
                <w:tab w:val="clear" w:pos="567"/>
                <w:tab w:val="clear" w:pos="1134"/>
                <w:tab w:val="clear" w:pos="1701"/>
                <w:tab w:val="clear" w:pos="2268"/>
                <w:tab w:val="clear" w:pos="2835"/>
              </w:tabs>
              <w:overflowPunct/>
              <w:autoSpaceDE/>
              <w:autoSpaceDN/>
              <w:adjustRightInd/>
              <w:spacing w:before="0"/>
              <w:textAlignment w:val="auto"/>
            </w:pPr>
            <w:r w:rsidRPr="000B5AB0">
              <w:rPr>
                <w:lang w:val="en-US"/>
              </w:rPr>
              <w:t>For new number of units &gt; 25</w:t>
            </w:r>
            <w:r w:rsidR="000B5AB0">
              <w:rPr>
                <w:lang w:val="en-US"/>
              </w:rPr>
              <w:t xml:space="preserve"> </w:t>
            </w:r>
            <w:r w:rsidRPr="000B5AB0">
              <w:rPr>
                <w:lang w:val="en-US"/>
              </w:rPr>
              <w:t>000: Flat fee + (Flat fee / 50</w:t>
            </w:r>
            <w:r w:rsidR="000B5AB0">
              <w:rPr>
                <w:lang w:val="en-US"/>
              </w:rPr>
              <w:t xml:space="preserve"> </w:t>
            </w:r>
            <w:r w:rsidRPr="000B5AB0">
              <w:rPr>
                <w:lang w:val="en-US"/>
              </w:rPr>
              <w:t>000) * (additional units – 25</w:t>
            </w:r>
            <w:r w:rsidR="000B5AB0">
              <w:rPr>
                <w:lang w:val="en-US"/>
              </w:rPr>
              <w:t xml:space="preserve"> </w:t>
            </w:r>
            <w:r w:rsidRPr="000B5AB0">
              <w:rPr>
                <w:lang w:val="en-US"/>
              </w:rPr>
              <w:t>000).  </w:t>
            </w:r>
            <w:r w:rsidRPr="000B5AB0">
              <w:t>Above 500 000 units, there is no additional fee per additional unit.</w:t>
            </w:r>
          </w:p>
          <w:p w14:paraId="1C88EA43" w14:textId="0316CB0D" w:rsidR="00374585" w:rsidRPr="000B5AB0" w:rsidRDefault="00374585" w:rsidP="00076856">
            <w:pPr>
              <w:numPr>
                <w:ilvl w:val="0"/>
                <w:numId w:val="7"/>
              </w:numPr>
              <w:tabs>
                <w:tab w:val="clear" w:pos="567"/>
                <w:tab w:val="clear" w:pos="1134"/>
                <w:tab w:val="clear" w:pos="1701"/>
                <w:tab w:val="clear" w:pos="2268"/>
                <w:tab w:val="clear" w:pos="2835"/>
              </w:tabs>
              <w:overflowPunct/>
              <w:autoSpaceDE/>
              <w:autoSpaceDN/>
              <w:adjustRightInd/>
              <w:spacing w:before="0"/>
              <w:textAlignment w:val="auto"/>
              <w:rPr>
                <w:color w:val="0070C0"/>
              </w:rPr>
            </w:pPr>
            <w:r w:rsidRPr="000B5AB0">
              <w:t>Proposed coefficient of 50 000 to be discussed.</w:t>
            </w:r>
          </w:p>
        </w:tc>
      </w:tr>
      <w:tr w:rsidR="00374585" w:rsidRPr="0055373C" w14:paraId="16C39AA9" w14:textId="77777777" w:rsidTr="00076856">
        <w:tc>
          <w:tcPr>
            <w:tcW w:w="9061" w:type="dxa"/>
          </w:tcPr>
          <w:p w14:paraId="2CE2C088" w14:textId="77777777" w:rsidR="00374585" w:rsidRPr="000B5AB0" w:rsidRDefault="00374585" w:rsidP="00076856">
            <w:pPr>
              <w:pStyle w:val="Headingb"/>
            </w:pPr>
            <w:r w:rsidRPr="000B5AB0">
              <w:lastRenderedPageBreak/>
              <w:t>g)</w:t>
            </w:r>
            <w:r w:rsidRPr="000B5AB0">
              <w:tab/>
              <w:t>Consider the introduction of units in categories A1 and N4, with a different fee being charged for more complex or larger systems, depending on the number of units</w:t>
            </w:r>
          </w:p>
          <w:p w14:paraId="1200F28F"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 xml:space="preserve">: </w:t>
            </w:r>
            <w:r w:rsidRPr="000B5AB0">
              <w:rPr>
                <w:rFonts w:eastAsia="SimSun"/>
                <w:i/>
                <w:iCs/>
                <w:lang w:eastAsia="zh-CN"/>
              </w:rPr>
              <w:t>The Group noted that significant changes to the fee structure of the small satellite networks should be avoided when considering the introduction of units in categories A1 and N4. The Group requested that the Bureau (…) suggest, for the next meeting, possible amendments to the Annex to Council Decision 482 to take account of the ideas set out above.</w:t>
            </w:r>
          </w:p>
          <w:p w14:paraId="4966008F" w14:textId="77777777" w:rsidR="00374585" w:rsidRPr="000B5AB0" w:rsidRDefault="00374585" w:rsidP="00076856">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xml:space="preserve">: five suggested revisions are included in the Annex to this document as possible implementation of this item: </w:t>
            </w:r>
          </w:p>
          <w:p w14:paraId="69305905" w14:textId="77777777" w:rsidR="00374585" w:rsidRPr="000B5AB0" w:rsidRDefault="00374585" w:rsidP="00076856">
            <w:pPr>
              <w:pStyle w:val="enumlev1"/>
              <w:jc w:val="both"/>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Concerning API (category A1), units are suggested to be introduced with a description similar to the revised description of units for non-geostationary satellite systems in categories C and N (see item f) but with the number of frequency assignments replaced by the number of frequency ranges since API contains frequency ranges instead of centre frequencies and without the number of forms of coordination per frequency range since API relates to satellite filing not subject to coordination. </w:t>
            </w:r>
          </w:p>
          <w:p w14:paraId="7ED4044E" w14:textId="77777777" w:rsidR="00374585" w:rsidRPr="000B5AB0" w:rsidRDefault="00374585" w:rsidP="00076856">
            <w:pPr>
              <w:pStyle w:val="enumlev1"/>
              <w:jc w:val="both"/>
              <w:rPr>
                <w:rFonts w:eastAsia="SimSun"/>
                <w:spacing w:val="-2"/>
                <w:lang w:eastAsia="zh-CN"/>
              </w:rPr>
            </w:pPr>
            <w:r w:rsidRPr="000B5AB0">
              <w:rPr>
                <w:rFonts w:ascii="Symbol" w:eastAsia="SimSun" w:hAnsi="Symbol"/>
                <w:spacing w:val="-2"/>
                <w:lang w:eastAsia="zh-CN"/>
              </w:rPr>
              <w:t></w:t>
            </w:r>
            <w:r w:rsidRPr="000B5AB0">
              <w:rPr>
                <w:rFonts w:ascii="Symbol" w:eastAsia="SimSun" w:hAnsi="Symbol"/>
                <w:spacing w:val="-2"/>
                <w:lang w:eastAsia="zh-CN"/>
              </w:rPr>
              <w:tab/>
            </w:r>
            <w:r w:rsidRPr="000B5AB0">
              <w:rPr>
                <w:rFonts w:eastAsia="SimSun"/>
                <w:spacing w:val="-2"/>
                <w:lang w:eastAsia="zh-CN"/>
              </w:rPr>
              <w:t xml:space="preserve">In addition to the introduction of units in category A1, it is suggested to introduce a starting fee and a flat fee for API. Assuming that the threshold value of units to start the flat fee is 100 as in all other categories, the value of the flat fee takes into account the fact that about 5% of the API will have more than 100 units (see Doc. </w:t>
            </w:r>
            <w:hyperlink r:id="rId17" w:history="1">
              <w:r w:rsidRPr="000B5AB0">
                <w:rPr>
                  <w:rStyle w:val="Hyperlink"/>
                  <w:rFonts w:eastAsia="SimSun"/>
                  <w:spacing w:val="-2"/>
                  <w:lang w:eastAsia="zh-CN"/>
                </w:rPr>
                <w:t>EG-DEC482-2/3</w:t>
              </w:r>
            </w:hyperlink>
            <w:r w:rsidRPr="000B5AB0">
              <w:rPr>
                <w:rFonts w:eastAsia="SimSun"/>
                <w:spacing w:val="-2"/>
                <w:lang w:eastAsia="zh-CN"/>
              </w:rPr>
              <w:t xml:space="preserve"> for background information) and require significantly higher resources to be processed. The value of the starting fee is lower than the current flat fee since very simple API are less costly to process. </w:t>
            </w:r>
          </w:p>
          <w:p w14:paraId="26B62F54" w14:textId="77777777" w:rsidR="00374585" w:rsidRPr="000B5AB0" w:rsidRDefault="00374585" w:rsidP="00076856">
            <w:pPr>
              <w:pStyle w:val="enumlev1"/>
              <w:jc w:val="both"/>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Concerning notifications under category N4, units are also introduced by using the same description as for categories N1 to N3 since frequency assignments also exist for notifications. </w:t>
            </w:r>
          </w:p>
          <w:p w14:paraId="36428142" w14:textId="77777777" w:rsidR="00374585" w:rsidRPr="000B5AB0" w:rsidRDefault="00374585" w:rsidP="00076856">
            <w:pPr>
              <w:pStyle w:val="enumlev1"/>
              <w:jc w:val="both"/>
              <w:rPr>
                <w:rFonts w:eastAsia="SimSun"/>
                <w:spacing w:val="-3"/>
                <w:lang w:eastAsia="zh-CN"/>
              </w:rPr>
            </w:pPr>
            <w:r w:rsidRPr="000B5AB0">
              <w:rPr>
                <w:rFonts w:ascii="Symbol" w:eastAsia="SimSun" w:hAnsi="Symbol"/>
                <w:spacing w:val="-3"/>
                <w:lang w:eastAsia="zh-CN"/>
              </w:rPr>
              <w:t></w:t>
            </w:r>
            <w:r w:rsidRPr="000B5AB0">
              <w:rPr>
                <w:rFonts w:ascii="Symbol" w:eastAsia="SimSun" w:hAnsi="Symbol"/>
                <w:spacing w:val="-3"/>
                <w:lang w:eastAsia="zh-CN"/>
              </w:rPr>
              <w:tab/>
            </w:r>
            <w:r w:rsidRPr="000B5AB0">
              <w:rPr>
                <w:rFonts w:eastAsia="SimSun"/>
                <w:spacing w:val="-3"/>
                <w:lang w:eastAsia="zh-CN"/>
              </w:rPr>
              <w:t>In addition to the introduction of units in category N4, it is suggested to introduce a starting fee and a flat fee set at about 33% of those for category N1 (see Doc. </w:t>
            </w:r>
            <w:hyperlink r:id="rId18" w:history="1">
              <w:r w:rsidRPr="000B5AB0">
                <w:rPr>
                  <w:rStyle w:val="Hyperlink"/>
                  <w:rFonts w:eastAsia="SimSun"/>
                  <w:spacing w:val="-3"/>
                  <w:lang w:eastAsia="zh-CN"/>
                </w:rPr>
                <w:t>EG-DEC482-2/3</w:t>
              </w:r>
            </w:hyperlink>
            <w:r w:rsidRPr="000B5AB0">
              <w:rPr>
                <w:rFonts w:eastAsia="SimSun"/>
                <w:spacing w:val="-3"/>
                <w:lang w:eastAsia="zh-CN"/>
              </w:rPr>
              <w:t xml:space="preserve"> for background information) as updated under item e above. The value of the starting fee is lower than the current flat fee reflecting the fact that “small” notifications are less costly to process.</w:t>
            </w:r>
          </w:p>
          <w:p w14:paraId="30658F5A" w14:textId="77777777" w:rsidR="00374585" w:rsidRPr="000B5AB0" w:rsidRDefault="00374585" w:rsidP="00076856">
            <w:pPr>
              <w:pStyle w:val="enumlev1"/>
              <w:jc w:val="both"/>
              <w:rPr>
                <w:rFonts w:eastAsia="SimSun"/>
                <w:lang w:eastAsia="zh-CN"/>
              </w:rPr>
            </w:pPr>
            <w:r w:rsidRPr="000B5AB0">
              <w:rPr>
                <w:rFonts w:ascii="Symbol" w:eastAsia="SimSun" w:hAnsi="Symbol"/>
                <w:lang w:eastAsia="zh-CN"/>
              </w:rPr>
              <w:t></w:t>
            </w:r>
            <w:r w:rsidRPr="000B5AB0">
              <w:rPr>
                <w:rFonts w:ascii="Symbol" w:eastAsia="SimSun" w:hAnsi="Symbol"/>
                <w:lang w:eastAsia="zh-CN"/>
              </w:rPr>
              <w:tab/>
            </w:r>
            <w:r w:rsidRPr="000B5AB0">
              <w:rPr>
                <w:rFonts w:eastAsia="SimSun"/>
                <w:lang w:eastAsia="zh-CN"/>
              </w:rPr>
              <w:t xml:space="preserve">Concerning notifications under category N4, it is suggested to split this category into two and create a new category N5 for non-geostationary satellite networks or systems subject to No. 9.21 only. The fees for this new category would be set at about 47% of those for category N1 (see Document </w:t>
            </w:r>
            <w:hyperlink r:id="rId19" w:history="1">
              <w:r w:rsidRPr="000B5AB0">
                <w:rPr>
                  <w:rStyle w:val="Hyperlink"/>
                  <w:rFonts w:eastAsia="SimSun"/>
                  <w:lang w:eastAsia="zh-CN"/>
                </w:rPr>
                <w:t>EG-DEC482-2/3</w:t>
              </w:r>
            </w:hyperlink>
            <w:r w:rsidRPr="000B5AB0">
              <w:rPr>
                <w:rFonts w:eastAsia="SimSun"/>
                <w:lang w:eastAsia="zh-CN"/>
              </w:rPr>
              <w:t xml:space="preserve"> for background information) as updated under item e above. </w:t>
            </w:r>
          </w:p>
          <w:p w14:paraId="43394962" w14:textId="77777777" w:rsidR="00374585" w:rsidRPr="000B5AB0" w:rsidRDefault="00374585" w:rsidP="00076856">
            <w:r w:rsidRPr="000B5AB0">
              <w:rPr>
                <w:rFonts w:eastAsia="SimSun"/>
                <w:lang w:eastAsia="zh-CN"/>
              </w:rPr>
              <w:t xml:space="preserve">See also Document </w:t>
            </w:r>
            <w:hyperlink r:id="rId20" w:history="1">
              <w:r w:rsidRPr="000B5AB0">
                <w:rPr>
                  <w:rStyle w:val="Hyperlink"/>
                </w:rPr>
                <w:t>EG-DEC482-3/2</w:t>
              </w:r>
            </w:hyperlink>
            <w:r w:rsidRPr="000B5AB0">
              <w:t>.</w:t>
            </w:r>
          </w:p>
          <w:p w14:paraId="07C11EB4" w14:textId="77777777" w:rsidR="00374585" w:rsidRPr="000B5AB0" w:rsidRDefault="00374585" w:rsidP="00076856"/>
        </w:tc>
      </w:tr>
      <w:tr w:rsidR="00374585" w:rsidRPr="0055373C" w14:paraId="5EB71F06" w14:textId="77777777" w:rsidTr="00076856">
        <w:tc>
          <w:tcPr>
            <w:tcW w:w="9061" w:type="dxa"/>
          </w:tcPr>
          <w:p w14:paraId="691112DE" w14:textId="62310346" w:rsidR="00374585" w:rsidRPr="000B5AB0" w:rsidRDefault="0055373C" w:rsidP="00076856">
            <w:r w:rsidRPr="000B5AB0">
              <w:t xml:space="preserve">We </w:t>
            </w:r>
            <w:r w:rsidR="00374585" w:rsidRPr="000B5AB0">
              <w:t xml:space="preserve">agree with the proposal of the Bureau. </w:t>
            </w:r>
          </w:p>
          <w:p w14:paraId="4F0DC7CF" w14:textId="77777777" w:rsidR="00374585" w:rsidRPr="000B5AB0" w:rsidRDefault="00374585" w:rsidP="00076856"/>
        </w:tc>
      </w:tr>
    </w:tbl>
    <w:p w14:paraId="322E0651"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60260385" w14:textId="77777777" w:rsidTr="00076856">
        <w:tc>
          <w:tcPr>
            <w:tcW w:w="9061" w:type="dxa"/>
          </w:tcPr>
          <w:p w14:paraId="2AB522CD" w14:textId="77777777" w:rsidR="00374585" w:rsidRPr="000B5AB0" w:rsidRDefault="00374585" w:rsidP="00076856">
            <w:pPr>
              <w:pStyle w:val="Headingb"/>
            </w:pPr>
            <w:r w:rsidRPr="000B5AB0">
              <w:lastRenderedPageBreak/>
              <w:t>h)</w:t>
            </w:r>
            <w:r w:rsidRPr="000B5AB0">
              <w:tab/>
              <w:t xml:space="preserve">An additional fee for recovering the costs of </w:t>
            </w:r>
            <w:proofErr w:type="spellStart"/>
            <w:r w:rsidRPr="000B5AB0">
              <w:t>epfd</w:t>
            </w:r>
            <w:proofErr w:type="spellEnd"/>
            <w:r w:rsidRPr="000B5AB0">
              <w:t xml:space="preserve"> examination of coordination requests and notifications.</w:t>
            </w:r>
          </w:p>
          <w:p w14:paraId="0204CFFE"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 xml:space="preserve">: </w:t>
            </w:r>
            <w:r w:rsidRPr="000B5AB0">
              <w:rPr>
                <w:rFonts w:eastAsia="SimSun"/>
                <w:i/>
                <w:iCs/>
                <w:lang w:eastAsia="zh-CN"/>
              </w:rPr>
              <w:t xml:space="preserve">The Group requested that the Bureau suggest, for the next meeting, possible amendments to the Annex to Council Decision 482 with the inclusion of additional processing charges to be applied to satellite networks or systems subject to </w:t>
            </w:r>
            <w:proofErr w:type="spellStart"/>
            <w:r w:rsidRPr="000B5AB0">
              <w:rPr>
                <w:rFonts w:eastAsia="SimSun"/>
                <w:i/>
                <w:iCs/>
                <w:lang w:eastAsia="zh-CN"/>
              </w:rPr>
              <w:t>epfd</w:t>
            </w:r>
            <w:proofErr w:type="spellEnd"/>
            <w:r w:rsidRPr="000B5AB0">
              <w:rPr>
                <w:rFonts w:eastAsia="SimSun"/>
                <w:i/>
                <w:iCs/>
                <w:lang w:eastAsia="zh-CN"/>
              </w:rPr>
              <w:t xml:space="preserve"> limits contained in Article </w:t>
            </w:r>
            <w:r w:rsidRPr="000B5AB0">
              <w:rPr>
                <w:rFonts w:eastAsia="SimSun"/>
                <w:b/>
                <w:bCs/>
                <w:i/>
                <w:iCs/>
                <w:lang w:eastAsia="zh-CN"/>
              </w:rPr>
              <w:t>22</w:t>
            </w:r>
            <w:r w:rsidRPr="000B5AB0">
              <w:rPr>
                <w:rFonts w:eastAsia="SimSun"/>
                <w:i/>
                <w:iCs/>
                <w:lang w:eastAsia="zh-CN"/>
              </w:rPr>
              <w:t xml:space="preserve"> of the Radio Regulations considering the number of sets of validated </w:t>
            </w:r>
            <w:proofErr w:type="spellStart"/>
            <w:r w:rsidRPr="000B5AB0">
              <w:rPr>
                <w:rFonts w:eastAsia="SimSun"/>
                <w:i/>
                <w:iCs/>
                <w:lang w:eastAsia="zh-CN"/>
              </w:rPr>
              <w:t>epfd</w:t>
            </w:r>
            <w:proofErr w:type="spellEnd"/>
            <w:r w:rsidRPr="000B5AB0">
              <w:rPr>
                <w:rFonts w:eastAsia="SimSun"/>
                <w:i/>
                <w:iCs/>
                <w:lang w:eastAsia="zh-CN"/>
              </w:rPr>
              <w:t xml:space="preserve"> parameters and number of examination scenarios. </w:t>
            </w:r>
          </w:p>
          <w:p w14:paraId="19E0CD05" w14:textId="1C785E62" w:rsidR="00374585" w:rsidRPr="000B5AB0" w:rsidRDefault="00374585" w:rsidP="00967887">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it is suggested to add a footnote to the categories of coordination (C) and notification (N), which would give the details of the additional processing charges, namely that a flat fee applies for filings with up to 7 examination scenarios, with an additional fee for each scenario beyond 7. The description of what constitutes a scenario is also described. A possible example of such implementation is given in the Annex of this document.</w:t>
            </w:r>
          </w:p>
        </w:tc>
      </w:tr>
      <w:tr w:rsidR="00374585" w:rsidRPr="0055373C" w14:paraId="1BBF8FED" w14:textId="77777777" w:rsidTr="00076856">
        <w:tc>
          <w:tcPr>
            <w:tcW w:w="9061" w:type="dxa"/>
          </w:tcPr>
          <w:p w14:paraId="1F47ACDE" w14:textId="25556BE3" w:rsidR="00374585" w:rsidRPr="000B5AB0" w:rsidRDefault="0055373C" w:rsidP="00076856">
            <w:r w:rsidRPr="000B5AB0">
              <w:t xml:space="preserve">We </w:t>
            </w:r>
            <w:r w:rsidR="00374585" w:rsidRPr="000B5AB0">
              <w:t>agree with the proposal of the Bureau to charge 3</w:t>
            </w:r>
            <w:r w:rsidR="000B5AB0">
              <w:t xml:space="preserve"> </w:t>
            </w:r>
            <w:r w:rsidR="00374585" w:rsidRPr="000B5AB0">
              <w:t xml:space="preserve">200 CHF per examination scenario. </w:t>
            </w:r>
          </w:p>
        </w:tc>
      </w:tr>
    </w:tbl>
    <w:p w14:paraId="1F013152"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2397987E" w14:textId="77777777" w:rsidTr="00076856">
        <w:tc>
          <w:tcPr>
            <w:tcW w:w="9061" w:type="dxa"/>
          </w:tcPr>
          <w:p w14:paraId="0BCDCF70" w14:textId="77777777" w:rsidR="00374585" w:rsidRPr="000B5AB0" w:rsidRDefault="00374585" w:rsidP="00076856">
            <w:pPr>
              <w:pStyle w:val="Headingb"/>
            </w:pPr>
            <w:r w:rsidRPr="000B5AB0">
              <w:t xml:space="preserve">i) </w:t>
            </w:r>
            <w:r w:rsidRPr="000B5AB0">
              <w:tab/>
              <w:t>Consequences of modifications introduced by any WRC after WRC-2000, if any, to regulatory provisions governing the Space Plans</w:t>
            </w:r>
          </w:p>
          <w:p w14:paraId="719BBB73" w14:textId="77777777" w:rsidR="00374585" w:rsidRPr="000B5AB0" w:rsidRDefault="00374585" w:rsidP="00076856">
            <w:pPr>
              <w:jc w:val="both"/>
              <w:rPr>
                <w:rFonts w:eastAsia="SimSun"/>
                <w:i/>
                <w:iCs/>
                <w:lang w:eastAsia="zh-CN"/>
              </w:rPr>
            </w:pPr>
            <w:r w:rsidRPr="000B5AB0">
              <w:rPr>
                <w:rFonts w:eastAsia="SimSun"/>
                <w:u w:val="single"/>
                <w:lang w:eastAsia="zh-CN"/>
              </w:rPr>
              <w:t>Relevant part of the outcome of the second meeting of the Expert Group</w:t>
            </w:r>
            <w:r w:rsidRPr="000B5AB0">
              <w:rPr>
                <w:rFonts w:eastAsia="SimSun"/>
                <w:lang w:eastAsia="zh-CN"/>
              </w:rPr>
              <w:t xml:space="preserve">: </w:t>
            </w:r>
            <w:r w:rsidRPr="000B5AB0">
              <w:rPr>
                <w:rFonts w:eastAsia="SimSun"/>
                <w:i/>
                <w:iCs/>
                <w:lang w:eastAsia="zh-CN"/>
              </w:rPr>
              <w:t>The Group requested that the Bureau suggest, for the next meeting, possible amendments to the Annex to Council Decision 482 to introduce an additional fee for filings requiring further examination, set at half the fee for Part B.</w:t>
            </w:r>
          </w:p>
          <w:p w14:paraId="20D4ED12" w14:textId="60181BDE" w:rsidR="00374585" w:rsidRPr="000B5AB0" w:rsidRDefault="00374585" w:rsidP="00967887">
            <w:pPr>
              <w:jc w:val="both"/>
              <w:rPr>
                <w:rFonts w:eastAsia="SimSun"/>
                <w:lang w:eastAsia="zh-CN"/>
              </w:rPr>
            </w:pPr>
            <w:r w:rsidRPr="000B5AB0">
              <w:rPr>
                <w:rFonts w:eastAsia="SimSun"/>
                <w:u w:val="single"/>
                <w:lang w:eastAsia="zh-CN"/>
              </w:rPr>
              <w:t>Possible amendments to Council Decision 482</w:t>
            </w:r>
            <w:r w:rsidRPr="000B5AB0">
              <w:rPr>
                <w:rFonts w:eastAsia="SimSun"/>
                <w:lang w:eastAsia="zh-CN"/>
              </w:rPr>
              <w:t xml:space="preserve">: it is suggested to add a note to categories P1 (for Appendices </w:t>
            </w:r>
            <w:r w:rsidRPr="000B5AB0">
              <w:rPr>
                <w:rFonts w:eastAsia="SimSun"/>
                <w:b/>
                <w:bCs/>
                <w:lang w:eastAsia="zh-CN"/>
              </w:rPr>
              <w:t>30</w:t>
            </w:r>
            <w:r w:rsidRPr="000B5AB0">
              <w:rPr>
                <w:rFonts w:eastAsia="SimSun"/>
                <w:lang w:eastAsia="zh-CN"/>
              </w:rPr>
              <w:t xml:space="preserve"> and </w:t>
            </w:r>
            <w:r w:rsidRPr="000B5AB0">
              <w:rPr>
                <w:rFonts w:eastAsia="SimSun"/>
                <w:b/>
                <w:bCs/>
                <w:lang w:eastAsia="zh-CN"/>
              </w:rPr>
              <w:t>30A</w:t>
            </w:r>
            <w:r w:rsidRPr="000B5AB0">
              <w:rPr>
                <w:rFonts w:eastAsia="SimSun"/>
                <w:lang w:eastAsia="zh-CN"/>
              </w:rPr>
              <w:t xml:space="preserve">) and P4 (for Appendix </w:t>
            </w:r>
            <w:r w:rsidRPr="000B5AB0">
              <w:rPr>
                <w:rFonts w:eastAsia="SimSun"/>
                <w:b/>
                <w:bCs/>
                <w:lang w:eastAsia="zh-CN"/>
              </w:rPr>
              <w:t>30B</w:t>
            </w:r>
            <w:r w:rsidRPr="000B5AB0">
              <w:rPr>
                <w:rFonts w:eastAsia="SimSun"/>
                <w:lang w:eastAsia="zh-CN"/>
              </w:rPr>
              <w:t xml:space="preserve">) </w:t>
            </w:r>
            <w:proofErr w:type="gramStart"/>
            <w:r w:rsidRPr="000B5AB0">
              <w:rPr>
                <w:rFonts w:eastAsia="SimSun"/>
                <w:lang w:eastAsia="zh-CN"/>
              </w:rPr>
              <w:t>in order to</w:t>
            </w:r>
            <w:proofErr w:type="gramEnd"/>
            <w:r w:rsidRPr="000B5AB0">
              <w:rPr>
                <w:rFonts w:eastAsia="SimSun"/>
                <w:lang w:eastAsia="zh-CN"/>
              </w:rPr>
              <w:t xml:space="preserve"> indicate that, for Part B submissions for which a further examination is required, an additional fee equal to half the fee of the associated category is applicable. A possible example of such implementation is given in the Annex of this document.</w:t>
            </w:r>
          </w:p>
        </w:tc>
      </w:tr>
      <w:tr w:rsidR="00374585" w:rsidRPr="0055373C" w14:paraId="25045B9F" w14:textId="77777777" w:rsidTr="00076856">
        <w:tc>
          <w:tcPr>
            <w:tcW w:w="9061" w:type="dxa"/>
          </w:tcPr>
          <w:p w14:paraId="09C1E228" w14:textId="55D527F4" w:rsidR="00374585" w:rsidRPr="000B5AB0" w:rsidRDefault="0055373C" w:rsidP="00076856">
            <w:pPr>
              <w:rPr>
                <w:lang w:val="en-US"/>
              </w:rPr>
            </w:pPr>
            <w:r w:rsidRPr="000B5AB0">
              <w:t xml:space="preserve">We </w:t>
            </w:r>
            <w:r w:rsidR="00374585" w:rsidRPr="000B5AB0">
              <w:t xml:space="preserve">recognize that the workload of the Bureau may have been changed by decisions of the WRCs. </w:t>
            </w:r>
            <w:r w:rsidRPr="000B5AB0">
              <w:t xml:space="preserve">We </w:t>
            </w:r>
            <w:r w:rsidR="00374585" w:rsidRPr="000B5AB0">
              <w:t xml:space="preserve">agree with the outcome of the last meeting that </w:t>
            </w:r>
            <w:r w:rsidR="00374585" w:rsidRPr="000B5AB0">
              <w:rPr>
                <w:lang w:val="en-US"/>
              </w:rPr>
              <w:t>for Part B Special Sections for which a further examination under Note 7</w:t>
            </w:r>
            <w:r w:rsidR="00374585" w:rsidRPr="000B5AB0">
              <w:rPr>
                <w:i/>
                <w:iCs/>
                <w:lang w:val="en-US"/>
              </w:rPr>
              <w:t>bis</w:t>
            </w:r>
            <w:r w:rsidR="00374585" w:rsidRPr="000B5AB0">
              <w:rPr>
                <w:lang w:val="en-US"/>
              </w:rPr>
              <w:t xml:space="preserve"> of § 6.21 </w:t>
            </w:r>
            <w:r w:rsidR="00374585" w:rsidRPr="000B5AB0">
              <w:rPr>
                <w:i/>
                <w:iCs/>
                <w:lang w:val="en-US"/>
              </w:rPr>
              <w:t>c)</w:t>
            </w:r>
            <w:r w:rsidR="00374585" w:rsidRPr="000B5AB0">
              <w:rPr>
                <w:lang w:val="en-US"/>
              </w:rPr>
              <w:t xml:space="preserve"> of Appendix </w:t>
            </w:r>
            <w:r w:rsidR="00374585" w:rsidRPr="000B5AB0">
              <w:rPr>
                <w:b/>
                <w:bCs/>
                <w:lang w:val="en-US"/>
              </w:rPr>
              <w:t>30B</w:t>
            </w:r>
            <w:r w:rsidR="00374585" w:rsidRPr="000B5AB0">
              <w:rPr>
                <w:lang w:val="en-US"/>
              </w:rPr>
              <w:t xml:space="preserve"> is required, an additional fee of 6 337.50 CHF is applicable.</w:t>
            </w:r>
          </w:p>
          <w:p w14:paraId="6E0DDDD6" w14:textId="77777777" w:rsidR="00374585" w:rsidRPr="000B5AB0" w:rsidRDefault="00374585" w:rsidP="00076856"/>
        </w:tc>
      </w:tr>
    </w:tbl>
    <w:p w14:paraId="333BA66C" w14:textId="77777777" w:rsidR="00374585" w:rsidRPr="000B5AB0" w:rsidRDefault="00374585" w:rsidP="00374585"/>
    <w:tbl>
      <w:tblPr>
        <w:tblStyle w:val="TableGrid"/>
        <w:tblW w:w="0" w:type="auto"/>
        <w:tblLook w:val="04A0" w:firstRow="1" w:lastRow="0" w:firstColumn="1" w:lastColumn="0" w:noHBand="0" w:noVBand="1"/>
      </w:tblPr>
      <w:tblGrid>
        <w:gridCol w:w="9061"/>
      </w:tblGrid>
      <w:tr w:rsidR="00374585" w:rsidRPr="0055373C" w14:paraId="3E994B45" w14:textId="77777777" w:rsidTr="00076856">
        <w:tc>
          <w:tcPr>
            <w:tcW w:w="9061" w:type="dxa"/>
          </w:tcPr>
          <w:p w14:paraId="126C57E7" w14:textId="77777777" w:rsidR="00374585" w:rsidRPr="000B5AB0" w:rsidRDefault="00374585" w:rsidP="00076856">
            <w:pPr>
              <w:pStyle w:val="Headingb"/>
            </w:pPr>
            <w:r w:rsidRPr="000B5AB0">
              <w:lastRenderedPageBreak/>
              <w:t>j)</w:t>
            </w:r>
            <w:r w:rsidRPr="000B5AB0">
              <w:tab/>
              <w:t>The cost of dedicated resources needed to continually update and modernize the Bureau software applications used for satellite filings. However, satellite cost recovery should not be used to fund the development of software tools for processing terrestrial filings.</w:t>
            </w:r>
          </w:p>
          <w:p w14:paraId="6174E426" w14:textId="77777777" w:rsidR="00374585" w:rsidRPr="000B5AB0" w:rsidRDefault="00374585" w:rsidP="00076856">
            <w:pPr>
              <w:jc w:val="both"/>
              <w:rPr>
                <w:rFonts w:eastAsia="SimSun"/>
                <w:lang w:eastAsia="zh-CN"/>
              </w:rPr>
            </w:pPr>
            <w:r w:rsidRPr="000B5AB0">
              <w:rPr>
                <w:rFonts w:eastAsia="SimSun"/>
                <w:lang w:eastAsia="zh-CN"/>
              </w:rPr>
              <w:t xml:space="preserve">Noting the conclusion of the Expert Group at its second meeting that “(…) the costs of updating or modernizing the software applications used for satellite filings cannot be included in the costs of satellite filings”, no suggested revision of Decision 482 is included with respect to this item. </w:t>
            </w:r>
          </w:p>
          <w:p w14:paraId="5C617E96" w14:textId="77777777" w:rsidR="00374585" w:rsidRPr="000B5AB0" w:rsidRDefault="00374585" w:rsidP="00076856">
            <w:pPr>
              <w:jc w:val="both"/>
              <w:rPr>
                <w:rFonts w:eastAsia="SimSun"/>
                <w:i/>
                <w:iCs/>
                <w:lang w:eastAsia="zh-CN"/>
              </w:rPr>
            </w:pPr>
            <w:r w:rsidRPr="000B5AB0">
              <w:rPr>
                <w:rFonts w:eastAsia="SimSun"/>
                <w:lang w:eastAsia="zh-CN"/>
              </w:rPr>
              <w:t>As indicated by the Expert Group, it should however be noted that there is a “need for a clear and specific budget to be allocated for the implementation of WRC decisions, to avoid the need to request assistance from administrations or to dip into the existing budget”.</w:t>
            </w:r>
          </w:p>
          <w:p w14:paraId="23423934" w14:textId="77777777" w:rsidR="00374585" w:rsidRPr="000B5AB0" w:rsidRDefault="00374585" w:rsidP="00076856">
            <w:r w:rsidRPr="000B5AB0">
              <w:rPr>
                <w:rFonts w:eastAsia="SimSun"/>
                <w:lang w:eastAsia="zh-CN"/>
              </w:rPr>
              <w:br w:type="page"/>
            </w:r>
          </w:p>
        </w:tc>
      </w:tr>
      <w:tr w:rsidR="00374585" w:rsidRPr="002910DB" w14:paraId="3936DDB3" w14:textId="77777777" w:rsidTr="00076856">
        <w:tc>
          <w:tcPr>
            <w:tcW w:w="9061" w:type="dxa"/>
          </w:tcPr>
          <w:p w14:paraId="19E96591" w14:textId="13D77D1A" w:rsidR="00374585" w:rsidRPr="000B5AB0" w:rsidRDefault="0055373C" w:rsidP="00076856">
            <w:r w:rsidRPr="000B5AB0">
              <w:t xml:space="preserve">We </w:t>
            </w:r>
            <w:r w:rsidR="00374585" w:rsidRPr="000B5AB0">
              <w:t>support the view from the Bureau that resources for the upgrades of space software should be better identified.</w:t>
            </w:r>
          </w:p>
          <w:p w14:paraId="29EA3ACD" w14:textId="4CE6F841" w:rsidR="00374585" w:rsidRPr="000B5AB0" w:rsidRDefault="0055373C" w:rsidP="00076856">
            <w:r w:rsidRPr="000B5AB0">
              <w:t xml:space="preserve">We </w:t>
            </w:r>
            <w:r w:rsidR="00374585" w:rsidRPr="000B5AB0">
              <w:t>also well received explanations from the ITU that cost recovery go to the general budget and cannot be specifically pointed to one activity.</w:t>
            </w:r>
          </w:p>
          <w:p w14:paraId="19DE9D1F" w14:textId="3D38EF47" w:rsidR="00374585" w:rsidRPr="000B5AB0" w:rsidRDefault="00374585" w:rsidP="00076856">
            <w:r w:rsidRPr="000B5AB0">
              <w:t xml:space="preserve">Nevertheless, </w:t>
            </w:r>
            <w:r w:rsidR="0055373C" w:rsidRPr="000B5AB0">
              <w:t xml:space="preserve">we are </w:t>
            </w:r>
            <w:r w:rsidRPr="000B5AB0">
              <w:t xml:space="preserve">of the view that country contribution also largely benefits to the upgrade of space software and note that some large companies notify through countries with a limited contribution with </w:t>
            </w:r>
            <w:proofErr w:type="gramStart"/>
            <w:r w:rsidRPr="000B5AB0">
              <w:t>a large number of</w:t>
            </w:r>
            <w:proofErr w:type="gramEnd"/>
            <w:r w:rsidRPr="000B5AB0">
              <w:t xml:space="preserve"> filings.</w:t>
            </w:r>
          </w:p>
          <w:p w14:paraId="4F4068EC" w14:textId="77777777" w:rsidR="0055373C" w:rsidRPr="000B5AB0" w:rsidRDefault="0055373C" w:rsidP="0055373C">
            <w:pPr>
              <w:jc w:val="both"/>
            </w:pPr>
            <w:r w:rsidRPr="000B5AB0">
              <w:t xml:space="preserve">We are of the view that any discussion that would suggest a reconsideration of the Resolution 91 about the indirect and direct costs is out of the scope of the Expert Group on Decision 482. Such consideration </w:t>
            </w:r>
            <w:proofErr w:type="gramStart"/>
            <w:r w:rsidRPr="000B5AB0">
              <w:t>has to</w:t>
            </w:r>
            <w:proofErr w:type="gramEnd"/>
            <w:r w:rsidRPr="000B5AB0">
              <w:t xml:space="preserve"> be limited to ITU-Council preparation.</w:t>
            </w:r>
          </w:p>
          <w:p w14:paraId="523AEA2F" w14:textId="6A19245D" w:rsidR="00374585" w:rsidRPr="00A17218" w:rsidRDefault="00374585" w:rsidP="00076856">
            <w:pPr>
              <w:tabs>
                <w:tab w:val="left" w:pos="7106"/>
              </w:tabs>
            </w:pPr>
          </w:p>
        </w:tc>
      </w:tr>
    </w:tbl>
    <w:p w14:paraId="08E3E097" w14:textId="77777777" w:rsidR="00374585" w:rsidRPr="0028681E" w:rsidRDefault="00374585" w:rsidP="00374585"/>
    <w:p w14:paraId="292BBC0D" w14:textId="77777777" w:rsidR="00374585" w:rsidRPr="0025009F" w:rsidRDefault="00374585" w:rsidP="00374585">
      <w:r w:rsidRPr="0028681E">
        <w:br w:type="page"/>
      </w:r>
    </w:p>
    <w:p w14:paraId="542A1F3E" w14:textId="1A2B7535" w:rsidR="003456D3" w:rsidRDefault="00EA7E0E" w:rsidP="003456D3">
      <w:pPr>
        <w:pStyle w:val="ResNo"/>
        <w:rPr>
          <w:lang w:eastAsia="zh-CN"/>
        </w:rPr>
      </w:pPr>
      <w:r>
        <w:rPr>
          <w:lang w:eastAsia="zh-CN"/>
        </w:rPr>
        <w:lastRenderedPageBreak/>
        <w:t>ATTACHMENT</w:t>
      </w:r>
    </w:p>
    <w:p w14:paraId="70BCBDD7" w14:textId="515ED90B" w:rsidR="00853B16" w:rsidRDefault="00853B16" w:rsidP="00853B16">
      <w:pPr>
        <w:pStyle w:val="ResNo"/>
        <w:rPr>
          <w:lang w:eastAsia="zh-CN"/>
        </w:rPr>
      </w:pPr>
      <w:bookmarkStart w:id="12" w:name="_Hlk181690656"/>
      <w:r w:rsidRPr="0CA627EF">
        <w:rPr>
          <w:lang w:eastAsia="zh-CN"/>
        </w:rPr>
        <w:t>DECISION 482 (</w:t>
      </w:r>
      <w:r w:rsidRPr="00150BE2">
        <w:rPr>
          <w:lang w:val="en-US"/>
        </w:rPr>
        <w:t xml:space="preserve">C01, </w:t>
      </w:r>
      <w:r w:rsidRPr="00150BE2">
        <w:rPr>
          <w:caps w:val="0"/>
          <w:lang w:val="en-US"/>
        </w:rPr>
        <w:t xml:space="preserve">last amended </w:t>
      </w:r>
      <w:r w:rsidRPr="00150BE2">
        <w:rPr>
          <w:lang w:val="en-US"/>
        </w:rPr>
        <w:t>C</w:t>
      </w:r>
      <w:r>
        <w:rPr>
          <w:lang w:val="en-US"/>
        </w:rPr>
        <w:t>25</w:t>
      </w:r>
      <w:r w:rsidRPr="0CA627EF">
        <w:rPr>
          <w:lang w:eastAsia="zh-CN"/>
        </w:rPr>
        <w:t>)</w:t>
      </w:r>
    </w:p>
    <w:p w14:paraId="0F6CE700" w14:textId="77777777" w:rsidR="00853B16" w:rsidRPr="00E126B4" w:rsidRDefault="00853B16" w:rsidP="00853B16">
      <w:pPr>
        <w:pStyle w:val="Restitle"/>
        <w:rPr>
          <w:lang w:eastAsia="zh-CN"/>
        </w:rPr>
      </w:pPr>
      <w:r w:rsidRPr="00E126B4">
        <w:rPr>
          <w:lang w:eastAsia="zh-CN"/>
        </w:rPr>
        <w:t>Implementation of cost recovery for satellite network filings</w:t>
      </w:r>
    </w:p>
    <w:p w14:paraId="5FE6B015" w14:textId="77777777" w:rsidR="00853B16" w:rsidRPr="008264F1" w:rsidRDefault="00853B16" w:rsidP="00853B16">
      <w:pPr>
        <w:pStyle w:val="Normalaftertitle"/>
      </w:pPr>
      <w:r w:rsidRPr="008264F1">
        <w:t>The ITU Council,</w:t>
      </w:r>
    </w:p>
    <w:p w14:paraId="2FFE019A" w14:textId="77777777" w:rsidR="00853B16" w:rsidRPr="008264F1" w:rsidRDefault="00853B16" w:rsidP="00853B16">
      <w:pPr>
        <w:pStyle w:val="Call"/>
      </w:pPr>
      <w:r w:rsidRPr="008264F1">
        <w:t>considering</w:t>
      </w:r>
    </w:p>
    <w:p w14:paraId="3E9040F8" w14:textId="77777777" w:rsidR="00853B16" w:rsidRPr="007E04E8" w:rsidRDefault="00853B16" w:rsidP="00315855">
      <w:pPr>
        <w:snapToGrid w:val="0"/>
        <w:jc w:val="both"/>
      </w:pPr>
      <w:r w:rsidRPr="007E04E8">
        <w:rPr>
          <w:i/>
          <w:iCs/>
        </w:rPr>
        <w:t>a)</w:t>
      </w:r>
      <w:r>
        <w:tab/>
        <w:t>Resolution 88 (Rev. </w:t>
      </w:r>
      <w:r w:rsidRPr="007E04E8">
        <w:t xml:space="preserve">Marrakesh, 2002) of the Plenipotentiary Conference on the implementation of cost recovery for satellite network </w:t>
      </w:r>
      <w:proofErr w:type="gramStart"/>
      <w:r w:rsidRPr="007E04E8">
        <w:t>filings;</w:t>
      </w:r>
      <w:proofErr w:type="gramEnd"/>
    </w:p>
    <w:p w14:paraId="3F1943A2" w14:textId="77777777" w:rsidR="00853B16" w:rsidRPr="007E04E8" w:rsidRDefault="00853B16" w:rsidP="00315855">
      <w:pPr>
        <w:snapToGrid w:val="0"/>
        <w:jc w:val="both"/>
      </w:pPr>
      <w:r w:rsidRPr="007E04E8">
        <w:rPr>
          <w:i/>
          <w:iCs/>
        </w:rPr>
        <w:t>b)</w:t>
      </w:r>
      <w:r>
        <w:tab/>
        <w:t>Resolution 91 (Rev. </w:t>
      </w:r>
      <w:r w:rsidRPr="007E04E8">
        <w:t xml:space="preserve">Guadalajara, 2010) of the Plenipotentiary Conference on cost recovery for some products and services of </w:t>
      </w:r>
      <w:proofErr w:type="gramStart"/>
      <w:r w:rsidRPr="007E04E8">
        <w:t>ITU;</w:t>
      </w:r>
      <w:proofErr w:type="gramEnd"/>
    </w:p>
    <w:p w14:paraId="47447A03" w14:textId="77777777" w:rsidR="00853B16" w:rsidRPr="007E04E8" w:rsidRDefault="00853B16" w:rsidP="00315855">
      <w:pPr>
        <w:snapToGrid w:val="0"/>
        <w:jc w:val="both"/>
      </w:pPr>
      <w:r w:rsidRPr="007E04E8">
        <w:rPr>
          <w:i/>
          <w:iCs/>
        </w:rPr>
        <w:t>c)</w:t>
      </w:r>
      <w:r w:rsidRPr="007E04E8">
        <w:tab/>
        <w:t xml:space="preserve">Council Resolution 1113, on cost recovery for the processing by the Radiocommunication Bureau of space </w:t>
      </w:r>
      <w:proofErr w:type="gramStart"/>
      <w:r w:rsidRPr="007E04E8">
        <w:t>notifications;</w:t>
      </w:r>
      <w:proofErr w:type="gramEnd"/>
    </w:p>
    <w:p w14:paraId="2909AEF7" w14:textId="77777777" w:rsidR="00853B16" w:rsidRPr="007E04E8" w:rsidRDefault="00853B16" w:rsidP="00315855">
      <w:pPr>
        <w:snapToGrid w:val="0"/>
        <w:jc w:val="both"/>
      </w:pPr>
      <w:r w:rsidRPr="007E04E8">
        <w:rPr>
          <w:i/>
          <w:iCs/>
        </w:rPr>
        <w:t>d)</w:t>
      </w:r>
      <w:r w:rsidRPr="007E04E8">
        <w:tab/>
        <w:t xml:space="preserve">Document </w:t>
      </w:r>
      <w:hyperlink r:id="rId21" w:history="1">
        <w:r w:rsidRPr="00BE2DCC">
          <w:rPr>
            <w:rStyle w:val="Hyperlink"/>
            <w:rFonts w:eastAsia="SimSun"/>
            <w:lang w:eastAsia="zh-CN"/>
          </w:rPr>
          <w:t>C99/68</w:t>
        </w:r>
      </w:hyperlink>
      <w:r w:rsidRPr="007E04E8">
        <w:t xml:space="preserve"> reporting on the Council Working Group on implementation of cost recovery for satellite network </w:t>
      </w:r>
      <w:proofErr w:type="gramStart"/>
      <w:r w:rsidRPr="007E04E8">
        <w:t>filings;</w:t>
      </w:r>
      <w:proofErr w:type="gramEnd"/>
    </w:p>
    <w:p w14:paraId="738A0674" w14:textId="77777777" w:rsidR="00853B16" w:rsidRPr="007E04E8" w:rsidRDefault="00853B16" w:rsidP="00315855">
      <w:pPr>
        <w:snapToGrid w:val="0"/>
        <w:jc w:val="both"/>
      </w:pPr>
      <w:r w:rsidRPr="007E04E8">
        <w:rPr>
          <w:i/>
          <w:iCs/>
        </w:rPr>
        <w:t>e)</w:t>
      </w:r>
      <w:r w:rsidRPr="007E04E8">
        <w:tab/>
        <w:t xml:space="preserve">Document </w:t>
      </w:r>
      <w:hyperlink r:id="rId22" w:history="1">
        <w:r w:rsidRPr="00BE2DCC">
          <w:rPr>
            <w:rStyle w:val="Hyperlink"/>
            <w:rFonts w:eastAsia="SimSun"/>
            <w:lang w:eastAsia="zh-CN"/>
          </w:rPr>
          <w:t>C99/47</w:t>
        </w:r>
      </w:hyperlink>
      <w:r w:rsidRPr="007E04E8">
        <w:t xml:space="preserve"> on cost recovery for some ITU products and </w:t>
      </w:r>
      <w:proofErr w:type="gramStart"/>
      <w:r w:rsidRPr="007E04E8">
        <w:t>services;</w:t>
      </w:r>
      <w:proofErr w:type="gramEnd"/>
    </w:p>
    <w:p w14:paraId="11269059" w14:textId="77777777" w:rsidR="00853B16" w:rsidRPr="007E04E8" w:rsidRDefault="00853B16" w:rsidP="00315855">
      <w:pPr>
        <w:jc w:val="both"/>
      </w:pPr>
      <w:r w:rsidRPr="007E04E8">
        <w:rPr>
          <w:i/>
          <w:iCs/>
        </w:rPr>
        <w:t>e</w:t>
      </w:r>
      <w:r w:rsidRPr="00CB0115">
        <w:rPr>
          <w:i/>
          <w:iCs/>
          <w:sz w:val="10"/>
          <w:szCs w:val="10"/>
        </w:rPr>
        <w:t> </w:t>
      </w:r>
      <w:r w:rsidRPr="007E04E8">
        <w:rPr>
          <w:i/>
          <w:iCs/>
        </w:rPr>
        <w:t>bis)</w:t>
      </w:r>
      <w:r w:rsidRPr="007E04E8">
        <w:tab/>
        <w:t xml:space="preserve">Document </w:t>
      </w:r>
      <w:hyperlink r:id="rId23" w:history="1">
        <w:r w:rsidRPr="00BE2DCC">
          <w:rPr>
            <w:rStyle w:val="Hyperlink"/>
            <w:rFonts w:eastAsia="SimSun"/>
            <w:lang w:eastAsia="zh-CN"/>
          </w:rPr>
          <w:t>C05/29</w:t>
        </w:r>
      </w:hyperlink>
      <w:r w:rsidRPr="007E04E8">
        <w:t xml:space="preserve"> on cost recovery for the processing of satellite network </w:t>
      </w:r>
      <w:proofErr w:type="gramStart"/>
      <w:r w:rsidRPr="007E04E8">
        <w:t>filings;</w:t>
      </w:r>
      <w:proofErr w:type="gramEnd"/>
    </w:p>
    <w:p w14:paraId="0F7C51B8" w14:textId="77777777" w:rsidR="00853B16" w:rsidRPr="007E04E8" w:rsidRDefault="00853B16" w:rsidP="00315855">
      <w:pPr>
        <w:jc w:val="both"/>
      </w:pPr>
      <w:r w:rsidRPr="007E04E8">
        <w:rPr>
          <w:i/>
          <w:iCs/>
        </w:rPr>
        <w:t>f)</w:t>
      </w:r>
      <w:r w:rsidRPr="007E04E8">
        <w:tab/>
        <w:t xml:space="preserve">that WRC-03 and WRC-07 adopted provisions referring to Council Decision 482, as amended, under which a satellite network filing is cancelled if payment is not received in accordance with the provisions of this </w:t>
      </w:r>
      <w:proofErr w:type="gramStart"/>
      <w:r w:rsidRPr="007E04E8">
        <w:t>decision;</w:t>
      </w:r>
      <w:proofErr w:type="gramEnd"/>
    </w:p>
    <w:p w14:paraId="2F57B9D7" w14:textId="77777777" w:rsidR="00853B16" w:rsidRPr="007E04E8" w:rsidRDefault="00853B16" w:rsidP="00315855">
      <w:pPr>
        <w:jc w:val="both"/>
      </w:pPr>
      <w:r w:rsidRPr="007E04E8">
        <w:rPr>
          <w:i/>
          <w:iCs/>
        </w:rPr>
        <w:t>g)</w:t>
      </w:r>
      <w:r w:rsidRPr="007E04E8">
        <w:tab/>
        <w:t>that WRC-07 significantly revised the regulatory procedures associated to the fixed</w:t>
      </w:r>
      <w:r>
        <w:noBreakHyphen/>
      </w:r>
      <w:r w:rsidRPr="007E04E8">
        <w:t xml:space="preserve">satellite service Plan contained in Appendix </w:t>
      </w:r>
      <w:r w:rsidRPr="00905152">
        <w:rPr>
          <w:b/>
          <w:bCs/>
        </w:rPr>
        <w:t>30B</w:t>
      </w:r>
      <w:r w:rsidRPr="007E04E8">
        <w:t xml:space="preserve"> that entered into force as of 17</w:t>
      </w:r>
      <w:r>
        <w:t> </w:t>
      </w:r>
      <w:r w:rsidRPr="007E04E8">
        <w:t>November</w:t>
      </w:r>
      <w:r>
        <w:t> </w:t>
      </w:r>
      <w:proofErr w:type="gramStart"/>
      <w:r w:rsidRPr="007E04E8">
        <w:t>2007;</w:t>
      </w:r>
      <w:proofErr w:type="gramEnd"/>
    </w:p>
    <w:p w14:paraId="53813735" w14:textId="77777777" w:rsidR="00853B16" w:rsidRPr="007E04E8" w:rsidRDefault="00853B16" w:rsidP="00315855">
      <w:pPr>
        <w:jc w:val="both"/>
      </w:pPr>
      <w:r w:rsidRPr="007E04E8">
        <w:rPr>
          <w:i/>
          <w:iCs/>
        </w:rPr>
        <w:t>h)</w:t>
      </w:r>
      <w:r w:rsidRPr="007E04E8">
        <w:tab/>
        <w:t>that the date of entry into force of Decision 482 (modified 2005) was 1 January 2006,</w:t>
      </w:r>
    </w:p>
    <w:p w14:paraId="1F2FDEBF" w14:textId="77777777" w:rsidR="00853B16" w:rsidRPr="008264F1" w:rsidRDefault="00853B16" w:rsidP="00853B16">
      <w:pPr>
        <w:pStyle w:val="Call"/>
      </w:pPr>
      <w:r w:rsidRPr="008264F1">
        <w:t>recognizing</w:t>
      </w:r>
    </w:p>
    <w:p w14:paraId="0A810DD9" w14:textId="77777777" w:rsidR="00853B16" w:rsidRPr="007E04E8" w:rsidRDefault="00853B16" w:rsidP="00853B16">
      <w:r w:rsidRPr="007E04E8">
        <w:t>the practical experience of the Radiocommunication Bureau in implementing cost-recovery filing charges and the methodology as reported to the Council at its 2001 to 2007 sessions in accordance with Decision 482 as revised by the Council,</w:t>
      </w:r>
    </w:p>
    <w:p w14:paraId="13FCE3C0" w14:textId="77777777" w:rsidR="00853B16" w:rsidRPr="008264F1" w:rsidRDefault="00853B16" w:rsidP="00853B16">
      <w:pPr>
        <w:pStyle w:val="Call"/>
      </w:pPr>
      <w:r w:rsidRPr="008264F1">
        <w:t>decides</w:t>
      </w:r>
    </w:p>
    <w:p w14:paraId="67B9ECC7" w14:textId="77777777" w:rsidR="00853B16" w:rsidRPr="007E04E8" w:rsidRDefault="00853B16" w:rsidP="00315855">
      <w:pPr>
        <w:snapToGrid w:val="0"/>
        <w:jc w:val="both"/>
      </w:pPr>
      <w:r w:rsidRPr="007E04E8">
        <w:t>1</w:t>
      </w:r>
      <w:r w:rsidRPr="007E04E8">
        <w:tab/>
        <w:t xml:space="preserve">that all satellite network filings concerning advance publication, their associated requests for coordination or agreement (Article </w:t>
      </w:r>
      <w:r w:rsidRPr="00905152">
        <w:rPr>
          <w:b/>
          <w:bCs/>
        </w:rPr>
        <w:t>9</w:t>
      </w:r>
      <w:r w:rsidRPr="007E04E8">
        <w:t xml:space="preserve"> of the Radio Regulations (RR), Article </w:t>
      </w:r>
      <w:r w:rsidRPr="00B45FAE">
        <w:t>7</w:t>
      </w:r>
      <w:r w:rsidRPr="00905152">
        <w:rPr>
          <w:b/>
          <w:bCs/>
        </w:rPr>
        <w:t xml:space="preserve"> </w:t>
      </w:r>
      <w:r w:rsidRPr="007E04E8">
        <w:t>of Appendices </w:t>
      </w:r>
      <w:r w:rsidRPr="00905152">
        <w:rPr>
          <w:b/>
          <w:bCs/>
        </w:rPr>
        <w:t>30</w:t>
      </w:r>
      <w:r w:rsidRPr="007E04E8">
        <w:t>/</w:t>
      </w:r>
      <w:r w:rsidRPr="00905152">
        <w:rPr>
          <w:b/>
          <w:bCs/>
        </w:rPr>
        <w:t>30A</w:t>
      </w:r>
      <w:r w:rsidRPr="007E04E8">
        <w:t xml:space="preserve"> to the RR, Resolution </w:t>
      </w:r>
      <w:r w:rsidRPr="00905152">
        <w:rPr>
          <w:b/>
          <w:bCs/>
        </w:rPr>
        <w:t>539 (Rev.WRC-19)</w:t>
      </w:r>
      <w:r w:rsidRPr="007E04E8">
        <w:t xml:space="preserve">), the use of the </w:t>
      </w:r>
      <w:proofErr w:type="spellStart"/>
      <w:r w:rsidRPr="007E04E8">
        <w:t>guardbands</w:t>
      </w:r>
      <w:proofErr w:type="spellEnd"/>
      <w:r w:rsidRPr="007E04E8">
        <w:t xml:space="preserve"> (Article 2A to Appendices </w:t>
      </w:r>
      <w:r w:rsidRPr="00905152">
        <w:rPr>
          <w:b/>
          <w:bCs/>
        </w:rPr>
        <w:t>30</w:t>
      </w:r>
      <w:r w:rsidRPr="007E04E8">
        <w:t>/</w:t>
      </w:r>
      <w:r w:rsidRPr="00905152">
        <w:rPr>
          <w:b/>
          <w:bCs/>
        </w:rPr>
        <w:t>30A</w:t>
      </w:r>
      <w:r w:rsidRPr="007E04E8">
        <w:t xml:space="preserve"> to the RR), requests for modification of the space service plans and lists (Article 4 of Appendices </w:t>
      </w:r>
      <w:r w:rsidRPr="00905152">
        <w:rPr>
          <w:b/>
          <w:bCs/>
        </w:rPr>
        <w:t>30</w:t>
      </w:r>
      <w:r w:rsidRPr="007E04E8">
        <w:t xml:space="preserve"> and </w:t>
      </w:r>
      <w:r w:rsidRPr="00905152">
        <w:rPr>
          <w:b/>
          <w:bCs/>
        </w:rPr>
        <w:t>30A</w:t>
      </w:r>
      <w:r w:rsidRPr="007E04E8">
        <w:t xml:space="preserve"> to the RR), requests for the implementation of the fixed-satellite service plan (former Sections IB and II of Article 6 of Appendix </w:t>
      </w:r>
      <w:r w:rsidRPr="00905152">
        <w:rPr>
          <w:b/>
          <w:bCs/>
        </w:rPr>
        <w:t>30B</w:t>
      </w:r>
      <w:r w:rsidRPr="007E04E8">
        <w:t xml:space="preserve"> to the RR up to 16 November 2007), and requests for the conversion of an allotment into an assignment with modification which is beyond the envelop characteristics of the initial allotment, the introduction of an additional system, modification of the characteristics of an assignment in the List of Appendix </w:t>
      </w:r>
      <w:r w:rsidRPr="00905152">
        <w:rPr>
          <w:b/>
          <w:bCs/>
        </w:rPr>
        <w:t>30B</w:t>
      </w:r>
      <w:r w:rsidRPr="007E04E8">
        <w:t xml:space="preserve"> to the RR (Article</w:t>
      </w:r>
      <w:r>
        <w:t> </w:t>
      </w:r>
      <w:r w:rsidRPr="007E04E8">
        <w:t>6 of Appendix</w:t>
      </w:r>
      <w:r>
        <w:t> </w:t>
      </w:r>
      <w:r w:rsidRPr="00905152">
        <w:rPr>
          <w:b/>
          <w:bCs/>
        </w:rPr>
        <w:t>30B</w:t>
      </w:r>
      <w:r w:rsidRPr="007E04E8">
        <w:t xml:space="preserve"> to the RR as from </w:t>
      </w:r>
      <w:r w:rsidRPr="007E04E8">
        <w:lastRenderedPageBreak/>
        <w:t>17 November 2007) shall be subject to cost-recovery charges if, and only if, they have been received by the Radiocommunication Bureau on or after 8 November 1998;</w:t>
      </w:r>
    </w:p>
    <w:p w14:paraId="62BD78B0" w14:textId="77777777" w:rsidR="00853B16" w:rsidRPr="007E04E8" w:rsidRDefault="00853B16" w:rsidP="00315855">
      <w:pPr>
        <w:snapToGrid w:val="0"/>
        <w:jc w:val="both"/>
      </w:pPr>
      <w:r w:rsidRPr="007E04E8">
        <w:t>1</w:t>
      </w:r>
      <w:r w:rsidRPr="007E04E8">
        <w:rPr>
          <w:i/>
        </w:rPr>
        <w:t>bis</w:t>
      </w:r>
      <w:r w:rsidRPr="007E04E8">
        <w:tab/>
        <w:t xml:space="preserve">that all satellite network filings concerning notification for recording of frequency assignments in the Master International Frequency Register (Article </w:t>
      </w:r>
      <w:r w:rsidRPr="00905152">
        <w:rPr>
          <w:b/>
          <w:bCs/>
        </w:rPr>
        <w:t>11</w:t>
      </w:r>
      <w:r w:rsidRPr="007E04E8">
        <w:t xml:space="preserve"> of the RR, Article 5 of Appendices </w:t>
      </w:r>
      <w:r w:rsidRPr="00905152">
        <w:rPr>
          <w:b/>
          <w:bCs/>
        </w:rPr>
        <w:t>30</w:t>
      </w:r>
      <w:r w:rsidRPr="007E04E8">
        <w:t>/</w:t>
      </w:r>
      <w:r w:rsidRPr="00905152">
        <w:rPr>
          <w:b/>
          <w:bCs/>
        </w:rPr>
        <w:t>30A</w:t>
      </w:r>
      <w:r w:rsidRPr="007E04E8">
        <w:t xml:space="preserve"> to the RR and Article 8 of Appendix </w:t>
      </w:r>
      <w:r w:rsidRPr="00905152">
        <w:rPr>
          <w:b/>
          <w:bCs/>
        </w:rPr>
        <w:t>30B</w:t>
      </w:r>
      <w:r w:rsidRPr="007E04E8">
        <w:t xml:space="preserve"> to the RR) received by the Radiocommunication Bureau on or after 1 January 2006 shall be subject to cost-recovery charges if, and only if, they refer to advance publication or modification of the space service plans or lists (Part A), requests for the implementation of the fixed-satellite service plan or requests for the conversion of an allotment into an assignment with modification which is beyond the envelop characteristics of the initial allotment, the introduction of an additional system, the modification of the characteristics of an assignment in the List of Appendix </w:t>
      </w:r>
      <w:r w:rsidRPr="00B45FAE">
        <w:rPr>
          <w:b/>
          <w:bCs/>
        </w:rPr>
        <w:t>30B</w:t>
      </w:r>
      <w:r w:rsidRPr="007E04E8">
        <w:t xml:space="preserve"> to the RR, as appropriate, received on or after 19 October 2002;</w:t>
      </w:r>
    </w:p>
    <w:p w14:paraId="19CBF572" w14:textId="77777777" w:rsidR="00853B16" w:rsidRPr="007E04E8" w:rsidRDefault="00853B16" w:rsidP="00315855">
      <w:pPr>
        <w:snapToGrid w:val="0"/>
        <w:jc w:val="both"/>
      </w:pPr>
      <w:r w:rsidRPr="007E04E8">
        <w:t>1</w:t>
      </w:r>
      <w:r w:rsidRPr="007E04E8">
        <w:rPr>
          <w:i/>
        </w:rPr>
        <w:t>ter</w:t>
      </w:r>
      <w:r w:rsidRPr="007E04E8">
        <w:t xml:space="preserve"> </w:t>
      </w:r>
      <w:r w:rsidRPr="007E04E8">
        <w:tab/>
        <w:t xml:space="preserve">that all requests for the implementation of the fixed-satellite service plan (former Sections IA and III of Article 6 of Appendix </w:t>
      </w:r>
      <w:r w:rsidRPr="00B45FAE">
        <w:rPr>
          <w:b/>
          <w:bCs/>
        </w:rPr>
        <w:t>30B</w:t>
      </w:r>
      <w:r w:rsidRPr="007E04E8">
        <w:t xml:space="preserve"> to the RR) shall be subject to cost-recovery charges if, and only if, they have been received by the Radiocommunication Bureau on or after 1 January </w:t>
      </w:r>
      <w:proofErr w:type="gramStart"/>
      <w:r w:rsidRPr="007E04E8">
        <w:t>2006;</w:t>
      </w:r>
      <w:proofErr w:type="gramEnd"/>
    </w:p>
    <w:p w14:paraId="4093D368" w14:textId="77777777" w:rsidR="00853B16" w:rsidRDefault="00853B16" w:rsidP="00315855">
      <w:pPr>
        <w:snapToGrid w:val="0"/>
        <w:jc w:val="both"/>
        <w:outlineLvl w:val="0"/>
      </w:pPr>
      <w:r w:rsidRPr="007E04E8">
        <w:t>1</w:t>
      </w:r>
      <w:r w:rsidRPr="007E04E8">
        <w:rPr>
          <w:i/>
          <w:iCs/>
          <w:spacing w:val="-4"/>
        </w:rPr>
        <w:t>quater</w:t>
      </w:r>
      <w:r w:rsidRPr="007E04E8">
        <w:rPr>
          <w:i/>
          <w:iCs/>
        </w:rPr>
        <w:tab/>
      </w:r>
      <w:r w:rsidRPr="007E04E8">
        <w:t xml:space="preserve">that all requests for consolidation of frequency assignments in the MIFR of different GSO networks submitted by an administration </w:t>
      </w:r>
      <w:r w:rsidRPr="007E04E8">
        <w:rPr>
          <w:rFonts w:eastAsiaTheme="majorEastAsia" w:cstheme="majorBidi"/>
        </w:rPr>
        <w:t>(or an administration acting on behalf of a group of named administrations)</w:t>
      </w:r>
      <w:r w:rsidRPr="007E04E8">
        <w:rPr>
          <w:rFonts w:eastAsiaTheme="majorEastAsia" w:cstheme="majorBidi"/>
          <w:b/>
          <w:bCs/>
        </w:rPr>
        <w:t xml:space="preserve"> </w:t>
      </w:r>
      <w:r w:rsidRPr="007E04E8">
        <w:t>at the same orbital position into frequency assignments of a single satellite network received by the Radiocommunication Bureau on or after 1 July 2013, shall be s</w:t>
      </w:r>
      <w:r>
        <w:t xml:space="preserve">ubject to cost recovery </w:t>
      </w:r>
      <w:proofErr w:type="gramStart"/>
      <w:r>
        <w:t>charges;</w:t>
      </w:r>
      <w:proofErr w:type="gramEnd"/>
    </w:p>
    <w:p w14:paraId="02221114" w14:textId="77777777" w:rsidR="00853B16" w:rsidRPr="00AF4F4F" w:rsidRDefault="00853B16" w:rsidP="00A96B1D">
      <w:pPr>
        <w:snapToGrid w:val="0"/>
        <w:jc w:val="both"/>
        <w:outlineLvl w:val="0"/>
        <w:rPr>
          <w:spacing w:val="-2"/>
        </w:rPr>
      </w:pPr>
      <w:r w:rsidRPr="00AF4F4F">
        <w:rPr>
          <w:spacing w:val="-2"/>
        </w:rPr>
        <w:t>1</w:t>
      </w:r>
      <w:r w:rsidRPr="00AF4F4F">
        <w:rPr>
          <w:i/>
          <w:iCs/>
          <w:spacing w:val="-2"/>
        </w:rPr>
        <w:t>quinquies</w:t>
      </w:r>
      <w:r w:rsidRPr="00AF4F4F">
        <w:rPr>
          <w:i/>
          <w:iCs/>
          <w:spacing w:val="-2"/>
        </w:rPr>
        <w:tab/>
      </w:r>
      <w:r w:rsidRPr="00AF4F4F">
        <w:rPr>
          <w:spacing w:val="-2"/>
        </w:rPr>
        <w:t xml:space="preserve">that all requests submitted in accordance with Resolution </w:t>
      </w:r>
      <w:r w:rsidRPr="00AF4F4F">
        <w:rPr>
          <w:b/>
          <w:bCs/>
          <w:spacing w:val="-2"/>
        </w:rPr>
        <w:t>121 (WRC-23)</w:t>
      </w:r>
      <w:r w:rsidRPr="00AF4F4F">
        <w:rPr>
          <w:spacing w:val="-2"/>
        </w:rPr>
        <w:t xml:space="preserve"> for using frequency assignments in the List of Appendix </w:t>
      </w:r>
      <w:r w:rsidRPr="00AF4F4F">
        <w:rPr>
          <w:b/>
          <w:bCs/>
          <w:spacing w:val="-2"/>
        </w:rPr>
        <w:t>30B</w:t>
      </w:r>
      <w:r w:rsidRPr="00AF4F4F">
        <w:rPr>
          <w:spacing w:val="-2"/>
        </w:rPr>
        <w:t xml:space="preserve"> and in MIFR in support of the operations of an earth station in motion (Appendix </w:t>
      </w:r>
      <w:r w:rsidRPr="00AF4F4F">
        <w:rPr>
          <w:b/>
          <w:bCs/>
          <w:spacing w:val="-2"/>
        </w:rPr>
        <w:t>30B</w:t>
      </w:r>
      <w:r w:rsidRPr="00AF4F4F">
        <w:rPr>
          <w:spacing w:val="-2"/>
        </w:rPr>
        <w:t xml:space="preserve"> ESIM) and received by the Radiocommunication Bureau on or after 1 January 2025, shall be subject to cost recovery </w:t>
      </w:r>
      <w:proofErr w:type="gramStart"/>
      <w:r w:rsidRPr="00AF4F4F">
        <w:rPr>
          <w:spacing w:val="-2"/>
        </w:rPr>
        <w:t>charges;</w:t>
      </w:r>
      <w:proofErr w:type="gramEnd"/>
    </w:p>
    <w:p w14:paraId="6FF5ED00" w14:textId="77777777" w:rsidR="00853B16" w:rsidRPr="007E04E8" w:rsidRDefault="00853B16" w:rsidP="00A96B1D">
      <w:pPr>
        <w:keepNext/>
        <w:snapToGrid w:val="0"/>
        <w:jc w:val="both"/>
      </w:pPr>
      <w:r w:rsidRPr="007E04E8">
        <w:t>2</w:t>
      </w:r>
      <w:r w:rsidRPr="007E04E8">
        <w:tab/>
        <w:t>that for each satellite network</w:t>
      </w:r>
      <w:r w:rsidRPr="007E04E8">
        <w:rPr>
          <w:position w:val="6"/>
          <w:sz w:val="18"/>
          <w:szCs w:val="18"/>
        </w:rPr>
        <w:footnoteReference w:id="2"/>
      </w:r>
      <w:r w:rsidRPr="007E04E8">
        <w:t xml:space="preserve"> filing communicated to the Radiocommunication Bureau, the following charges</w:t>
      </w:r>
      <w:r w:rsidRPr="007E04E8">
        <w:rPr>
          <w:position w:val="6"/>
          <w:sz w:val="18"/>
          <w:szCs w:val="18"/>
        </w:rPr>
        <w:footnoteReference w:id="3"/>
      </w:r>
      <w:r>
        <w:t xml:space="preserve"> </w:t>
      </w:r>
      <w:r w:rsidRPr="007E04E8">
        <w:t>shall apply:</w:t>
      </w:r>
    </w:p>
    <w:p w14:paraId="6FDD55D8" w14:textId="1C1AA0EC" w:rsidR="00853B16" w:rsidRDefault="00C0687E" w:rsidP="00A96B1D">
      <w:pPr>
        <w:pStyle w:val="enumlev1"/>
        <w:jc w:val="both"/>
      </w:pPr>
      <w:r>
        <w:t>a</w:t>
      </w:r>
      <w:r w:rsidR="00853B16" w:rsidRPr="007E04E8">
        <w:t>)</w:t>
      </w:r>
      <w:r w:rsidR="00853B16" w:rsidRPr="007E04E8">
        <w:tab/>
        <w:t xml:space="preserve">for filings received on or after 1 </w:t>
      </w:r>
      <w:r w:rsidR="00853B16">
        <w:t xml:space="preserve">September </w:t>
      </w:r>
      <w:r w:rsidR="00853B16" w:rsidRPr="007E04E8">
        <w:t>20</w:t>
      </w:r>
      <w:r w:rsidR="00853B16">
        <w:t>20, Decision 482 (C-20</w:t>
      </w:r>
      <w:r w:rsidR="00853B16" w:rsidRPr="007E04E8">
        <w:t xml:space="preserve">) applies; the fee, calculated in accordance with the fee schedule in force at the date of receipt, is payable after receipt of the </w:t>
      </w:r>
      <w:proofErr w:type="gramStart"/>
      <w:r w:rsidR="00853B16" w:rsidRPr="007E04E8">
        <w:t>notice</w:t>
      </w:r>
      <w:r w:rsidR="00853B16">
        <w:t>;</w:t>
      </w:r>
      <w:proofErr w:type="gramEnd"/>
    </w:p>
    <w:p w14:paraId="19333628" w14:textId="4835BDEA" w:rsidR="00853B16" w:rsidRDefault="00C0687E" w:rsidP="00A96B1D">
      <w:pPr>
        <w:pStyle w:val="enumlev1"/>
        <w:jc w:val="both"/>
      </w:pPr>
      <w:r>
        <w:t>b</w:t>
      </w:r>
      <w:r w:rsidR="00853B16" w:rsidRPr="007E04E8">
        <w:t>)</w:t>
      </w:r>
      <w:r w:rsidR="00853B16" w:rsidRPr="007E04E8">
        <w:tab/>
        <w:t xml:space="preserve">for filings received on or after 1 </w:t>
      </w:r>
      <w:r w:rsidR="00853B16">
        <w:t xml:space="preserve">July </w:t>
      </w:r>
      <w:r w:rsidR="00853B16" w:rsidRPr="007E04E8">
        <w:t>20</w:t>
      </w:r>
      <w:r w:rsidR="00853B16">
        <w:t>24, Decision 482 (C-24</w:t>
      </w:r>
      <w:r w:rsidR="00853B16" w:rsidRPr="007E04E8">
        <w:t xml:space="preserve">) applies; the fee, calculated in accordance with the fee schedule in force at the date of receipt, is payable after receipt of the </w:t>
      </w:r>
      <w:proofErr w:type="gramStart"/>
      <w:r w:rsidR="00853B16" w:rsidRPr="007E04E8">
        <w:t>notice</w:t>
      </w:r>
      <w:r w:rsidR="00853B16">
        <w:t>;</w:t>
      </w:r>
      <w:proofErr w:type="gramEnd"/>
    </w:p>
    <w:p w14:paraId="5CB16B94" w14:textId="7060AE46" w:rsidR="00853B16" w:rsidRDefault="00C0687E" w:rsidP="00A96B1D">
      <w:pPr>
        <w:pStyle w:val="enumlev1"/>
        <w:jc w:val="both"/>
      </w:pPr>
      <w:r>
        <w:t>c</w:t>
      </w:r>
      <w:commentRangeStart w:id="13"/>
      <w:r w:rsidR="00853B16" w:rsidRPr="007E04E8">
        <w:t>)</w:t>
      </w:r>
      <w:r w:rsidR="00853B16" w:rsidRPr="007E04E8">
        <w:tab/>
        <w:t xml:space="preserve">for filings received on or after </w:t>
      </w:r>
      <w:r w:rsidR="001E74E4">
        <w:t>DD/MM/YYYY</w:t>
      </w:r>
      <w:r w:rsidR="00853B16">
        <w:t>, Decision 482 (C-25</w:t>
      </w:r>
      <w:r w:rsidR="00853B16" w:rsidRPr="007E04E8">
        <w:t>) applies; the fee, calculated in accordance with the fee schedule in force at the date of receipt, is payable after receipt of the notice</w:t>
      </w:r>
      <w:r w:rsidR="00853B16">
        <w:t>;</w:t>
      </w:r>
      <w:commentRangeEnd w:id="13"/>
      <w:r w:rsidR="00853B16">
        <w:rPr>
          <w:rStyle w:val="CommentReference"/>
        </w:rPr>
        <w:commentReference w:id="13"/>
      </w:r>
    </w:p>
    <w:p w14:paraId="1D78FECF" w14:textId="77777777" w:rsidR="00853B16" w:rsidRPr="007E04E8" w:rsidRDefault="00853B16" w:rsidP="00A96B1D">
      <w:pPr>
        <w:snapToGrid w:val="0"/>
        <w:jc w:val="both"/>
      </w:pPr>
      <w:r w:rsidRPr="007E04E8">
        <w:t>3</w:t>
      </w:r>
      <w:r w:rsidRPr="007E04E8">
        <w:tab/>
        <w:t xml:space="preserve">that the fee shall be regarded as a charge for a satellite network filing. There will be no charge for modifications which do not result in further technical or regulatory examination by </w:t>
      </w:r>
      <w:r w:rsidRPr="007E04E8">
        <w:lastRenderedPageBreak/>
        <w:t>the Radiocommunication Bureau, except modifications under 1</w:t>
      </w:r>
      <w:r w:rsidRPr="007E04E8">
        <w:rPr>
          <w:i/>
          <w:iCs/>
        </w:rPr>
        <w:t>quater</w:t>
      </w:r>
      <w:r w:rsidRPr="007E04E8">
        <w:t xml:space="preserve"> above, including but not limited to the name of the satellite/earth station and its associated satellite name, name of the beam, responsible administration, operating agency, date of bringing into use, period of validity, associated satellite (and beam) or earth station name;</w:t>
      </w:r>
    </w:p>
    <w:p w14:paraId="45D41035" w14:textId="0862A38A" w:rsidR="00853B16" w:rsidRDefault="00853B16" w:rsidP="000B5AB0">
      <w:pPr>
        <w:jc w:val="both"/>
      </w:pPr>
      <w:r w:rsidRPr="007E04E8">
        <w:t>4</w:t>
      </w:r>
      <w:r w:rsidRPr="007E04E8">
        <w:tab/>
        <w:t xml:space="preserve">that each Member State shall be entitled to the publication of Special Sections or parts of the BR IFIC (Space Services) for one satellite network filing </w:t>
      </w:r>
      <w:commentRangeStart w:id="14"/>
      <w:r w:rsidR="009F58C1">
        <w:t xml:space="preserve">(except </w:t>
      </w:r>
      <w:r w:rsidR="009F58C1" w:rsidRPr="00C10D19">
        <w:rPr>
          <w:rFonts w:eastAsia="SimSun"/>
          <w:lang w:eastAsia="zh-CN"/>
        </w:rPr>
        <w:t>non-GSO satellite system</w:t>
      </w:r>
      <w:r w:rsidR="009F58C1">
        <w:rPr>
          <w:rFonts w:eastAsia="SimSun"/>
          <w:lang w:eastAsia="zh-CN"/>
        </w:rPr>
        <w:t xml:space="preserve"> filings meeting at least one of the three following criteria: </w:t>
      </w:r>
      <w:r w:rsidR="009F58C1" w:rsidRPr="00C10D19">
        <w:rPr>
          <w:rFonts w:eastAsia="SimSun"/>
          <w:lang w:eastAsia="zh-CN"/>
        </w:rPr>
        <w:t>non-GSO satellite systems</w:t>
      </w:r>
      <w:r w:rsidR="009F58C1">
        <w:rPr>
          <w:rFonts w:eastAsia="SimSun"/>
          <w:lang w:eastAsia="zh-CN"/>
        </w:rPr>
        <w:t xml:space="preserve"> with more than 25 000 units, non-GSO satellite systems containing two or more mutually exclusive configurations or non-GSO satellite systems subject to </w:t>
      </w:r>
      <w:r w:rsidR="00EE7761" w:rsidRPr="00EE7761">
        <w:rPr>
          <w:rFonts w:eastAsia="SimSun"/>
          <w:lang w:eastAsia="zh-CN"/>
        </w:rPr>
        <w:t xml:space="preserve">Nos. </w:t>
      </w:r>
      <w:r w:rsidR="00EE7761" w:rsidRPr="000B5AB0">
        <w:rPr>
          <w:rFonts w:eastAsia="SimSun"/>
          <w:b/>
          <w:bCs/>
          <w:lang w:eastAsia="zh-CN"/>
        </w:rPr>
        <w:t>22.5C</w:t>
      </w:r>
      <w:r w:rsidR="00EE7761" w:rsidRPr="00EE7761">
        <w:rPr>
          <w:rFonts w:eastAsia="SimSun"/>
          <w:lang w:eastAsia="zh-CN"/>
        </w:rPr>
        <w:t xml:space="preserve">, </w:t>
      </w:r>
      <w:r w:rsidR="00EE7761" w:rsidRPr="000B5AB0">
        <w:rPr>
          <w:rFonts w:eastAsia="SimSun"/>
          <w:b/>
          <w:bCs/>
          <w:lang w:eastAsia="zh-CN"/>
        </w:rPr>
        <w:t>22.5D</w:t>
      </w:r>
      <w:r w:rsidR="00EE7761" w:rsidRPr="00EE7761">
        <w:rPr>
          <w:rFonts w:eastAsia="SimSun"/>
          <w:lang w:eastAsia="zh-CN"/>
        </w:rPr>
        <w:t xml:space="preserve">, </w:t>
      </w:r>
      <w:r w:rsidR="00EE7761" w:rsidRPr="000B5AB0">
        <w:rPr>
          <w:rFonts w:eastAsia="SimSun"/>
          <w:b/>
          <w:bCs/>
          <w:lang w:eastAsia="zh-CN"/>
        </w:rPr>
        <w:t>22.5F</w:t>
      </w:r>
      <w:r w:rsidR="00EE7761" w:rsidRPr="00EE7761">
        <w:rPr>
          <w:rFonts w:eastAsia="SimSun"/>
          <w:lang w:eastAsia="zh-CN"/>
        </w:rPr>
        <w:t xml:space="preserve"> and </w:t>
      </w:r>
      <w:r w:rsidR="00EE7761" w:rsidRPr="000B5AB0">
        <w:rPr>
          <w:rFonts w:eastAsia="SimSun"/>
          <w:b/>
          <w:bCs/>
          <w:lang w:eastAsia="zh-CN"/>
        </w:rPr>
        <w:t>22.5L</w:t>
      </w:r>
      <w:r w:rsidR="00EE7761" w:rsidRPr="00EE7761">
        <w:rPr>
          <w:rFonts w:eastAsia="SimSun"/>
          <w:lang w:eastAsia="zh-CN"/>
        </w:rPr>
        <w:t xml:space="preserve"> </w:t>
      </w:r>
      <w:r w:rsidR="009F58C1">
        <w:rPr>
          <w:rFonts w:eastAsia="SimSun"/>
          <w:lang w:eastAsia="zh-CN"/>
        </w:rPr>
        <w:t xml:space="preserve">of Article </w:t>
      </w:r>
      <w:r w:rsidR="009F58C1">
        <w:rPr>
          <w:rFonts w:eastAsia="SimSun"/>
          <w:b/>
          <w:bCs/>
          <w:lang w:eastAsia="zh-CN"/>
        </w:rPr>
        <w:t>22</w:t>
      </w:r>
      <w:r w:rsidR="009F58C1">
        <w:rPr>
          <w:rFonts w:eastAsia="SimSun"/>
          <w:lang w:eastAsia="zh-CN"/>
        </w:rPr>
        <w:t xml:space="preserve"> of the Radio Regulations</w:t>
      </w:r>
      <w:r w:rsidR="009F58C1">
        <w:t xml:space="preserve">) </w:t>
      </w:r>
      <w:commentRangeEnd w:id="14"/>
      <w:r w:rsidR="00C31A36">
        <w:rPr>
          <w:rStyle w:val="CommentReference"/>
        </w:rPr>
        <w:commentReference w:id="14"/>
      </w:r>
      <w:r w:rsidRPr="007E04E8">
        <w:t>each year without the charges referred to above. Each Member State in its role as the notifying administration may determine which network shall benefit from the free entitlement</w:t>
      </w:r>
      <w:r w:rsidRPr="007E04E8">
        <w:rPr>
          <w:position w:val="6"/>
          <w:sz w:val="18"/>
          <w:szCs w:val="18"/>
        </w:rPr>
        <w:footnoteReference w:id="4"/>
      </w:r>
      <w:r w:rsidRPr="007E04E8">
        <w:t>;</w:t>
      </w:r>
    </w:p>
    <w:p w14:paraId="737EA641" w14:textId="77777777" w:rsidR="00853B16" w:rsidRPr="007E04E8" w:rsidRDefault="00853B16" w:rsidP="00F053D5">
      <w:pPr>
        <w:snapToGrid w:val="0"/>
        <w:jc w:val="both"/>
      </w:pPr>
      <w:r w:rsidRPr="007E04E8">
        <w:t>5</w:t>
      </w:r>
      <w:r w:rsidRPr="007E04E8">
        <w:tab/>
        <w:t xml:space="preserve">that the nomination of the free entitlement for the calendar year of receipt by the Bureau of the satellite network filing based on the formal date of receipt of the filing shall be made by the Member State no later than the end of the period for payment of the invoice in </w:t>
      </w:r>
      <w:r w:rsidRPr="007E04E8">
        <w:rPr>
          <w:i/>
          <w:iCs/>
        </w:rPr>
        <w:t>decides</w:t>
      </w:r>
      <w:r w:rsidRPr="007E04E8">
        <w:t xml:space="preserve"> 9 below. The free entitlement cannot be applied to a filing previously cancelled for </w:t>
      </w:r>
      <w:proofErr w:type="gramStart"/>
      <w:r w:rsidRPr="007E04E8">
        <w:t>non-payment;</w:t>
      </w:r>
      <w:proofErr w:type="gramEnd"/>
    </w:p>
    <w:p w14:paraId="5CBD061F" w14:textId="77777777" w:rsidR="00853B16" w:rsidRPr="007E04E8" w:rsidRDefault="00853B16" w:rsidP="00F053D5">
      <w:pPr>
        <w:snapToGrid w:val="0"/>
        <w:jc w:val="both"/>
      </w:pPr>
      <w:r w:rsidRPr="007E04E8">
        <w:t>6</w:t>
      </w:r>
      <w:r w:rsidRPr="007E04E8">
        <w:tab/>
        <w:t>that for any satellite network for which the advance publication information (API) was received prior to 8</w:t>
      </w:r>
      <w:r>
        <w:t> </w:t>
      </w:r>
      <w:r w:rsidRPr="007E04E8">
        <w:t xml:space="preserve">November 1998, there will be no cost-recovery charges for the first coordination request referring to that API, regardless of when the Radiocommunication Bureau receives it. Any modifications received on or after 1 January 2006 shall be subject to a charge in accordance with </w:t>
      </w:r>
      <w:r w:rsidRPr="007E04E8">
        <w:rPr>
          <w:i/>
        </w:rPr>
        <w:t>decides</w:t>
      </w:r>
      <w:r w:rsidRPr="007E04E8">
        <w:t xml:space="preserve"> 2 </w:t>
      </w:r>
      <w:proofErr w:type="gramStart"/>
      <w:r w:rsidRPr="007E04E8">
        <w:t>above;</w:t>
      </w:r>
      <w:proofErr w:type="gramEnd"/>
    </w:p>
    <w:p w14:paraId="5AA0AC80" w14:textId="77777777" w:rsidR="00853B16" w:rsidRPr="007E04E8" w:rsidRDefault="00853B16" w:rsidP="00F053D5">
      <w:pPr>
        <w:snapToGrid w:val="0"/>
        <w:jc w:val="both"/>
      </w:pPr>
      <w:r w:rsidRPr="007E04E8">
        <w:t>7</w:t>
      </w:r>
      <w:r w:rsidRPr="007E04E8">
        <w:tab/>
        <w:t xml:space="preserve">that there will be no cost-recovery charges for any Part A submission involving the application of Article 4 of Appendices </w:t>
      </w:r>
      <w:r w:rsidRPr="00872AE0">
        <w:rPr>
          <w:b/>
          <w:bCs/>
        </w:rPr>
        <w:t>30</w:t>
      </w:r>
      <w:r w:rsidRPr="007E04E8">
        <w:t>/</w:t>
      </w:r>
      <w:r w:rsidRPr="00872AE0">
        <w:rPr>
          <w:b/>
          <w:bCs/>
        </w:rPr>
        <w:t>30A</w:t>
      </w:r>
      <w:r w:rsidRPr="007E04E8">
        <w:t xml:space="preserve"> received by the Bureau prior to 8 November 1998 or Part</w:t>
      </w:r>
      <w:r>
        <w:t> </w:t>
      </w:r>
      <w:r w:rsidRPr="007E04E8">
        <w:t xml:space="preserve">B submission involving the application of Article 4 of Appendices </w:t>
      </w:r>
      <w:r w:rsidRPr="00872AE0">
        <w:rPr>
          <w:b/>
          <w:bCs/>
        </w:rPr>
        <w:t>30</w:t>
      </w:r>
      <w:r w:rsidRPr="007E04E8">
        <w:t>/</w:t>
      </w:r>
      <w:r w:rsidRPr="00872AE0">
        <w:rPr>
          <w:b/>
          <w:bCs/>
        </w:rPr>
        <w:t>30A</w:t>
      </w:r>
      <w:r w:rsidRPr="007E04E8">
        <w:t xml:space="preserve"> where the associated Part</w:t>
      </w:r>
      <w:r>
        <w:t> </w:t>
      </w:r>
      <w:r w:rsidRPr="007E04E8">
        <w:t>A was received prior to 8 November 1998. Any request for publication in Part A received after 7 November 1998 under §</w:t>
      </w:r>
      <w:r>
        <w:t> </w:t>
      </w:r>
      <w:r w:rsidRPr="007E04E8">
        <w:t>4.3.5 up to 2 June 2000 and then §</w:t>
      </w:r>
      <w:r>
        <w:t> </w:t>
      </w:r>
      <w:r w:rsidRPr="007E04E8">
        <w:t>4.1.3 or §</w:t>
      </w:r>
      <w:r>
        <w:t> </w:t>
      </w:r>
      <w:r w:rsidRPr="007E04E8">
        <w:t>4.2.6 of Appendices </w:t>
      </w:r>
      <w:r w:rsidRPr="00872AE0">
        <w:rPr>
          <w:b/>
          <w:bCs/>
        </w:rPr>
        <w:t>30</w:t>
      </w:r>
      <w:r w:rsidRPr="007E04E8">
        <w:t>/</w:t>
      </w:r>
      <w:r w:rsidRPr="00872AE0">
        <w:rPr>
          <w:b/>
          <w:bCs/>
        </w:rPr>
        <w:t>30A</w:t>
      </w:r>
      <w:r w:rsidRPr="007E04E8">
        <w:t xml:space="preserve"> and corresponding Part B submitted under §</w:t>
      </w:r>
      <w:r>
        <w:t> </w:t>
      </w:r>
      <w:r w:rsidRPr="007E04E8">
        <w:t>4.3.14 up to 2</w:t>
      </w:r>
      <w:r>
        <w:t> </w:t>
      </w:r>
      <w:r w:rsidRPr="007E04E8">
        <w:t>June 2000 and the §</w:t>
      </w:r>
      <w:r>
        <w:t> </w:t>
      </w:r>
      <w:r w:rsidRPr="007E04E8">
        <w:t>4.1.12 or §</w:t>
      </w:r>
      <w:r>
        <w:t> </w:t>
      </w:r>
      <w:r w:rsidRPr="007E04E8">
        <w:t xml:space="preserve">4.2.16 of Appendices </w:t>
      </w:r>
      <w:r w:rsidRPr="00872AE0">
        <w:rPr>
          <w:b/>
          <w:bCs/>
        </w:rPr>
        <w:t>30</w:t>
      </w:r>
      <w:r w:rsidRPr="007E04E8">
        <w:t>/</w:t>
      </w:r>
      <w:r w:rsidRPr="00872AE0">
        <w:rPr>
          <w:b/>
          <w:bCs/>
        </w:rPr>
        <w:t>30A</w:t>
      </w:r>
      <w:r w:rsidRPr="007E04E8">
        <w:t xml:space="preserve"> shall be subject to a charge in accordance with </w:t>
      </w:r>
      <w:r w:rsidRPr="007E04E8">
        <w:rPr>
          <w:i/>
        </w:rPr>
        <w:t xml:space="preserve">decides </w:t>
      </w:r>
      <w:r w:rsidRPr="007E04E8">
        <w:t xml:space="preserve">2 </w:t>
      </w:r>
      <w:proofErr w:type="gramStart"/>
      <w:r w:rsidRPr="007E04E8">
        <w:t>above;</w:t>
      </w:r>
      <w:proofErr w:type="gramEnd"/>
      <w:r w:rsidRPr="007E04E8">
        <w:t xml:space="preserve"> </w:t>
      </w:r>
    </w:p>
    <w:p w14:paraId="61069126" w14:textId="77777777" w:rsidR="00853B16" w:rsidRPr="007E04E8" w:rsidRDefault="00853B16" w:rsidP="00F053D5">
      <w:pPr>
        <w:snapToGrid w:val="0"/>
        <w:jc w:val="both"/>
      </w:pPr>
      <w:r w:rsidRPr="007E04E8">
        <w:t>7</w:t>
      </w:r>
      <w:r w:rsidRPr="007E04E8">
        <w:rPr>
          <w:i/>
          <w:iCs/>
        </w:rPr>
        <w:t>bis</w:t>
      </w:r>
      <w:r w:rsidRPr="007E04E8">
        <w:tab/>
        <w:t>that there will be no cost-recovery charges for any submission under §</w:t>
      </w:r>
      <w:r>
        <w:t> </w:t>
      </w:r>
      <w:r w:rsidRPr="007E04E8">
        <w:t>6.17 of Article</w:t>
      </w:r>
      <w:r>
        <w:t> </w:t>
      </w:r>
      <w:r w:rsidRPr="007E04E8">
        <w:t xml:space="preserve">6 of Appendix </w:t>
      </w:r>
      <w:r w:rsidRPr="00872AE0">
        <w:rPr>
          <w:b/>
          <w:bCs/>
        </w:rPr>
        <w:t>30B</w:t>
      </w:r>
      <w:r w:rsidRPr="007E04E8">
        <w:t xml:space="preserve"> where the associated submission under §</w:t>
      </w:r>
      <w:r>
        <w:t> </w:t>
      </w:r>
      <w:r w:rsidRPr="007E04E8">
        <w:t>6.1 of that Article was received prior to 17</w:t>
      </w:r>
      <w:r>
        <w:t> </w:t>
      </w:r>
      <w:r w:rsidRPr="007E04E8">
        <w:t xml:space="preserve">November </w:t>
      </w:r>
      <w:proofErr w:type="gramStart"/>
      <w:r w:rsidRPr="007E04E8">
        <w:t>2007;</w:t>
      </w:r>
      <w:proofErr w:type="gramEnd"/>
    </w:p>
    <w:p w14:paraId="53FB5929" w14:textId="77777777" w:rsidR="00853B16" w:rsidRPr="007E04E8" w:rsidRDefault="00853B16" w:rsidP="00F053D5">
      <w:pPr>
        <w:snapToGrid w:val="0"/>
        <w:jc w:val="both"/>
      </w:pPr>
      <w:r w:rsidRPr="007E04E8">
        <w:t>8</w:t>
      </w:r>
      <w:r w:rsidRPr="007E04E8">
        <w:tab/>
        <w:t xml:space="preserve">that the Annex (Schedule of processing charges) to this decision should be reviewed periodically by the </w:t>
      </w:r>
      <w:proofErr w:type="gramStart"/>
      <w:r w:rsidRPr="007E04E8">
        <w:t>Council;</w:t>
      </w:r>
      <w:proofErr w:type="gramEnd"/>
    </w:p>
    <w:p w14:paraId="75641E7B" w14:textId="641ACA6A" w:rsidR="00363256" w:rsidRDefault="00853B16" w:rsidP="00F053D5">
      <w:pPr>
        <w:snapToGrid w:val="0"/>
        <w:jc w:val="both"/>
      </w:pPr>
      <w:r w:rsidRPr="007E04E8">
        <w:t>9</w:t>
      </w:r>
      <w:r w:rsidRPr="007E04E8">
        <w:tab/>
        <w:t>that the payment of charges shall be made on the basis of an invoice issued upon receipt of the filing by the Radiocommunication Bureau and sent to the notifying administration or, at the request of that administration, to the satellite network operator in question within a period of a maximum of six months</w:t>
      </w:r>
      <w:r w:rsidR="001E74E4">
        <w:t>*</w:t>
      </w:r>
      <w:r w:rsidRPr="007E04E8">
        <w:t xml:space="preserve"> after issue of the </w:t>
      </w:r>
      <w:proofErr w:type="gramStart"/>
      <w:r w:rsidRPr="007E04E8">
        <w:t>invoice;</w:t>
      </w:r>
      <w:proofErr w:type="gramEnd"/>
    </w:p>
    <w:p w14:paraId="370CA70B" w14:textId="3E3A9449" w:rsidR="001E74E4" w:rsidRPr="001E74E4" w:rsidRDefault="001E74E4" w:rsidP="00F053D5">
      <w:pPr>
        <w:snapToGrid w:val="0"/>
        <w:jc w:val="both"/>
      </w:pPr>
      <w:r>
        <w:lastRenderedPageBreak/>
        <w:t xml:space="preserve">*During the discussion, some administrations proposed another alternative “or by the end of the </w:t>
      </w:r>
      <w:r w:rsidRPr="000E421F">
        <w:t>same submission calendar year</w:t>
      </w:r>
      <w:r>
        <w:t>”.</w:t>
      </w:r>
    </w:p>
    <w:p w14:paraId="2E605BF9" w14:textId="77777777" w:rsidR="00853B16" w:rsidRPr="007E04E8" w:rsidRDefault="00853B16" w:rsidP="00F053D5">
      <w:pPr>
        <w:snapToGrid w:val="0"/>
        <w:jc w:val="both"/>
      </w:pPr>
      <w:r w:rsidRPr="007E04E8">
        <w:t>10</w:t>
      </w:r>
      <w:r w:rsidRPr="007E04E8">
        <w:tab/>
        <w:t xml:space="preserve">that any subsequent cancellation received by the Radiocommunication Bureau within 15 days of the date of receipt of the filing shall remove the obligation to pay the </w:t>
      </w:r>
      <w:proofErr w:type="gramStart"/>
      <w:r w:rsidRPr="007E04E8">
        <w:t>fee;</w:t>
      </w:r>
      <w:proofErr w:type="gramEnd"/>
    </w:p>
    <w:p w14:paraId="41B536E6" w14:textId="71EBCDE4" w:rsidR="00853B16" w:rsidRPr="007E04E8" w:rsidRDefault="00853B16" w:rsidP="00F053D5">
      <w:pPr>
        <w:snapToGrid w:val="0"/>
        <w:jc w:val="both"/>
      </w:pPr>
      <w:r w:rsidRPr="007E04E8">
        <w:t>11</w:t>
      </w:r>
      <w:r w:rsidRPr="007E04E8">
        <w:tab/>
        <w:t>that publication of Special Sections or parts of the BR IFIC (Space Services) for the amateur-satellite service, the notification for recording of frequency assignments for earth stations, for the conversion of an allotment into an assignment in accordance with the procedure of former Section</w:t>
      </w:r>
      <w:r>
        <w:t> </w:t>
      </w:r>
      <w:r w:rsidRPr="007E04E8">
        <w:t xml:space="preserve">I of Article 6 of Appendix </w:t>
      </w:r>
      <w:r w:rsidRPr="00872AE0">
        <w:rPr>
          <w:b/>
        </w:rPr>
        <w:t>30B</w:t>
      </w:r>
      <w:r w:rsidRPr="007E04E8">
        <w:rPr>
          <w:bCs/>
        </w:rPr>
        <w:t>,</w:t>
      </w:r>
      <w:r w:rsidRPr="007E04E8">
        <w:t xml:space="preserve"> </w:t>
      </w:r>
      <w:r w:rsidRPr="007E04E8">
        <w:rPr>
          <w:bCs/>
        </w:rPr>
        <w:t xml:space="preserve">the addition of a new allotment to the plan for a new Member State of the Union </w:t>
      </w:r>
      <w:r w:rsidRPr="007E04E8">
        <w:t>in accordance with the procedure of Article</w:t>
      </w:r>
      <w:r>
        <w:t> </w:t>
      </w:r>
      <w:r w:rsidRPr="007E04E8">
        <w:rPr>
          <w:bCs/>
        </w:rPr>
        <w:t>7</w:t>
      </w:r>
      <w:r w:rsidRPr="007E04E8">
        <w:t xml:space="preserve"> of Appendix </w:t>
      </w:r>
      <w:r w:rsidRPr="00872AE0">
        <w:rPr>
          <w:b/>
        </w:rPr>
        <w:t>30B</w:t>
      </w:r>
      <w:r w:rsidR="00354B60" w:rsidRPr="000B5AB0">
        <w:rPr>
          <w:bCs/>
        </w:rPr>
        <w:t xml:space="preserve">, the </w:t>
      </w:r>
      <w:r w:rsidR="00354B60">
        <w:rPr>
          <w:bCs/>
        </w:rPr>
        <w:t xml:space="preserve">application of Resolution </w:t>
      </w:r>
      <w:r w:rsidR="00354B60" w:rsidRPr="000B5AB0">
        <w:rPr>
          <w:b/>
        </w:rPr>
        <w:t>170 (Rev.WRC-23)</w:t>
      </w:r>
      <w:r w:rsidRPr="007E04E8">
        <w:rPr>
          <w:bCs/>
        </w:rPr>
        <w:t xml:space="preserve"> </w:t>
      </w:r>
      <w:r w:rsidRPr="007E04E8">
        <w:t xml:space="preserve">shall be exempt from any charges; </w:t>
      </w:r>
    </w:p>
    <w:p w14:paraId="6007EE6B" w14:textId="18712429" w:rsidR="00853B16" w:rsidRPr="007E04E8" w:rsidRDefault="00853B16" w:rsidP="00F053D5">
      <w:pPr>
        <w:snapToGrid w:val="0"/>
        <w:jc w:val="both"/>
      </w:pPr>
      <w:r w:rsidRPr="007E04E8">
        <w:t>12</w:t>
      </w:r>
      <w:r w:rsidRPr="007E04E8">
        <w:tab/>
        <w:t>that the date of entry into force of Decision 482 (modified 20</w:t>
      </w:r>
      <w:r>
        <w:t>25</w:t>
      </w:r>
      <w:r w:rsidRPr="007E04E8">
        <w:t xml:space="preserve">) shall be </w:t>
      </w:r>
      <w:r w:rsidR="001E74E4">
        <w:t>DD</w:t>
      </w:r>
      <w:r w:rsidR="001E74E4">
        <w:rPr>
          <w:rFonts w:hint="eastAsia"/>
          <w:lang w:eastAsia="zh-CN"/>
        </w:rPr>
        <w:t>/</w:t>
      </w:r>
      <w:r w:rsidR="001E74E4">
        <w:rPr>
          <w:lang w:eastAsia="zh-CN"/>
        </w:rPr>
        <w:t>MM/</w:t>
      </w:r>
      <w:proofErr w:type="gramStart"/>
      <w:r w:rsidR="001E74E4">
        <w:rPr>
          <w:lang w:eastAsia="zh-CN"/>
        </w:rPr>
        <w:t>YYYY</w:t>
      </w:r>
      <w:r w:rsidRPr="007E04E8">
        <w:t>;</w:t>
      </w:r>
      <w:proofErr w:type="gramEnd"/>
    </w:p>
    <w:p w14:paraId="2B52690C" w14:textId="77777777" w:rsidR="00853B16" w:rsidRPr="007E04E8" w:rsidRDefault="00853B16" w:rsidP="00F053D5">
      <w:pPr>
        <w:snapToGrid w:val="0"/>
        <w:jc w:val="both"/>
      </w:pPr>
      <w:r w:rsidRPr="007E04E8">
        <w:t>13</w:t>
      </w:r>
      <w:r w:rsidRPr="007E04E8">
        <w:tab/>
        <w:t>that the provisions of this decision need to be revised when further data from time recording are available,</w:t>
      </w:r>
    </w:p>
    <w:p w14:paraId="1394B399" w14:textId="77777777" w:rsidR="00853B16" w:rsidRPr="00945030" w:rsidRDefault="00853B16" w:rsidP="00853B16">
      <w:pPr>
        <w:pStyle w:val="Call"/>
      </w:pPr>
      <w:r w:rsidRPr="00945030">
        <w:t>recommends</w:t>
      </w:r>
    </w:p>
    <w:p w14:paraId="4ABABDF0" w14:textId="77777777" w:rsidR="00853B16" w:rsidRPr="007E04E8" w:rsidRDefault="00853B16" w:rsidP="00F053D5">
      <w:pPr>
        <w:snapToGrid w:val="0"/>
        <w:jc w:val="both"/>
        <w:rPr>
          <w:iCs/>
        </w:rPr>
      </w:pPr>
      <w:r w:rsidRPr="007E04E8">
        <w:rPr>
          <w:iCs/>
        </w:rPr>
        <w:t>that should Council revise the schedule in the Annex, any credits that may arise should be applied by the Bureau to subsequent invoices as requested by administrations,</w:t>
      </w:r>
    </w:p>
    <w:p w14:paraId="7915735B" w14:textId="77777777" w:rsidR="00853B16" w:rsidRPr="00945030" w:rsidRDefault="00853B16" w:rsidP="00853B16">
      <w:pPr>
        <w:pStyle w:val="Call"/>
      </w:pPr>
      <w:r w:rsidRPr="00945030">
        <w:t>encourages Member States</w:t>
      </w:r>
    </w:p>
    <w:p w14:paraId="46F75BBA" w14:textId="77777777" w:rsidR="00853B16" w:rsidRPr="007E04E8" w:rsidRDefault="00853B16" w:rsidP="00F053D5">
      <w:pPr>
        <w:snapToGrid w:val="0"/>
        <w:jc w:val="both"/>
      </w:pPr>
      <w:r w:rsidRPr="007E04E8">
        <w:t>to develop domestic policies that will minimize the occurrence of non-payment and consequential revenue loss to ITU,</w:t>
      </w:r>
    </w:p>
    <w:p w14:paraId="1A86B72E" w14:textId="77777777" w:rsidR="00853B16" w:rsidRPr="00945030" w:rsidRDefault="00853B16" w:rsidP="00853B16">
      <w:pPr>
        <w:pStyle w:val="Call"/>
      </w:pPr>
      <w:r w:rsidRPr="00945030">
        <w:t>instructs the Director of the Radiocommunication Bureau</w:t>
      </w:r>
    </w:p>
    <w:p w14:paraId="3D2E1390" w14:textId="77777777" w:rsidR="00853B16" w:rsidRPr="007E04E8" w:rsidRDefault="00853B16" w:rsidP="00F053D5">
      <w:pPr>
        <w:snapToGrid w:val="0"/>
        <w:jc w:val="both"/>
      </w:pPr>
      <w:r w:rsidRPr="007E04E8">
        <w:t>1</w:t>
      </w:r>
      <w:r w:rsidRPr="007E04E8">
        <w:tab/>
        <w:t>to enhanc</w:t>
      </w:r>
      <w:r>
        <w:t>e the Radiocommunication Bureau’</w:t>
      </w:r>
      <w:r w:rsidRPr="007E04E8">
        <w:t>s electronic notice form software (</w:t>
      </w:r>
      <w:proofErr w:type="spellStart"/>
      <w:r w:rsidRPr="007E04E8">
        <w:t>SpaceCap</w:t>
      </w:r>
      <w:proofErr w:type="spellEnd"/>
      <w:r w:rsidRPr="007E04E8">
        <w:t xml:space="preserve">) in order to enable the calculation of the best estimated charges associated with a satellite network filing of any type prior to its submission to </w:t>
      </w:r>
      <w:proofErr w:type="gramStart"/>
      <w:r w:rsidRPr="007E04E8">
        <w:t>ITU;</w:t>
      </w:r>
      <w:proofErr w:type="gramEnd"/>
    </w:p>
    <w:p w14:paraId="2BB14977" w14:textId="77777777" w:rsidR="00853B16" w:rsidRPr="007E04E8" w:rsidRDefault="00853B16" w:rsidP="00F053D5">
      <w:pPr>
        <w:snapToGrid w:val="0"/>
        <w:jc w:val="both"/>
      </w:pPr>
      <w:r w:rsidRPr="007E04E8">
        <w:t>2</w:t>
      </w:r>
      <w:r w:rsidRPr="007E04E8">
        <w:tab/>
        <w:t>to submit an annual report to the Council on the implementation of this decision, including analyses of:</w:t>
      </w:r>
    </w:p>
    <w:p w14:paraId="4B5C1F04" w14:textId="77777777" w:rsidR="00853B16" w:rsidRPr="007E04E8" w:rsidRDefault="00853B16" w:rsidP="00F053D5">
      <w:pPr>
        <w:pStyle w:val="enumlev1"/>
        <w:jc w:val="both"/>
      </w:pPr>
      <w:r w:rsidRPr="007E04E8">
        <w:t>a)</w:t>
      </w:r>
      <w:r w:rsidRPr="007E04E8">
        <w:tab/>
        <w:t xml:space="preserve">the cost of the different steps of the </w:t>
      </w:r>
      <w:proofErr w:type="gramStart"/>
      <w:r w:rsidRPr="007E04E8">
        <w:t>procedures;</w:t>
      </w:r>
      <w:proofErr w:type="gramEnd"/>
    </w:p>
    <w:p w14:paraId="281EAC8E" w14:textId="77777777" w:rsidR="00853B16" w:rsidRPr="007E04E8" w:rsidRDefault="00853B16" w:rsidP="00F053D5">
      <w:pPr>
        <w:pStyle w:val="enumlev1"/>
        <w:jc w:val="both"/>
      </w:pPr>
      <w:r w:rsidRPr="007E04E8">
        <w:t>b)</w:t>
      </w:r>
      <w:r w:rsidRPr="007E04E8">
        <w:tab/>
        <w:t xml:space="preserve">the impact of the electronic submission of </w:t>
      </w:r>
      <w:proofErr w:type="gramStart"/>
      <w:r w:rsidRPr="007E04E8">
        <w:t>information;</w:t>
      </w:r>
      <w:proofErr w:type="gramEnd"/>
    </w:p>
    <w:p w14:paraId="3BCE7DBB" w14:textId="77777777" w:rsidR="00853B16" w:rsidRPr="007E04E8" w:rsidRDefault="00853B16" w:rsidP="00F053D5">
      <w:pPr>
        <w:pStyle w:val="enumlev1"/>
        <w:jc w:val="both"/>
      </w:pPr>
      <w:r w:rsidRPr="007E04E8">
        <w:t>c)</w:t>
      </w:r>
      <w:r w:rsidRPr="007E04E8">
        <w:tab/>
        <w:t xml:space="preserve">enhancement in quality of service, including, among others, reduction of the </w:t>
      </w:r>
      <w:proofErr w:type="gramStart"/>
      <w:r w:rsidRPr="007E04E8">
        <w:t>backlog;</w:t>
      </w:r>
      <w:proofErr w:type="gramEnd"/>
    </w:p>
    <w:p w14:paraId="7BBA46F9" w14:textId="77777777" w:rsidR="00853B16" w:rsidRPr="007E04E8" w:rsidRDefault="00853B16" w:rsidP="00F053D5">
      <w:pPr>
        <w:pStyle w:val="enumlev1"/>
        <w:jc w:val="both"/>
      </w:pPr>
      <w:r w:rsidRPr="007E04E8">
        <w:t>d)</w:t>
      </w:r>
      <w:r w:rsidRPr="007E04E8">
        <w:tab/>
        <w:t>the costs of validating filings and requesting corrective action thereto; and</w:t>
      </w:r>
    </w:p>
    <w:p w14:paraId="3441A8B5" w14:textId="77777777" w:rsidR="00853B16" w:rsidRPr="007E04E8" w:rsidRDefault="00853B16" w:rsidP="00F053D5">
      <w:pPr>
        <w:pStyle w:val="enumlev1"/>
        <w:jc w:val="both"/>
      </w:pPr>
      <w:r w:rsidRPr="007E04E8">
        <w:t>e)</w:t>
      </w:r>
      <w:r w:rsidRPr="007E04E8">
        <w:tab/>
        <w:t>difficulties encountered in applying the provisions of this decision,</w:t>
      </w:r>
    </w:p>
    <w:p w14:paraId="55F1F11C" w14:textId="77777777" w:rsidR="00853B16" w:rsidRDefault="00853B16" w:rsidP="00F053D5">
      <w:pPr>
        <w:snapToGrid w:val="0"/>
        <w:jc w:val="both"/>
      </w:pPr>
      <w:r w:rsidRPr="007E04E8">
        <w:t>3</w:t>
      </w:r>
      <w:r w:rsidRPr="007E04E8">
        <w:tab/>
        <w:t>to inform the Member States of any practice used by the Radiocommunication Bureau to implement the provisions of this decision and the rationale for that practice.</w:t>
      </w:r>
    </w:p>
    <w:p w14:paraId="3DBB9258" w14:textId="77777777" w:rsidR="00853B16" w:rsidRDefault="00853B16" w:rsidP="00853B16">
      <w:pPr>
        <w:snapToGrid w:val="0"/>
        <w:spacing w:before="600"/>
      </w:pPr>
      <w:r w:rsidRPr="004C36BB">
        <w:rPr>
          <w:b/>
          <w:bCs/>
        </w:rPr>
        <w:t>Annex</w:t>
      </w:r>
      <w:r w:rsidRPr="004C36BB">
        <w:t>: 1</w:t>
      </w:r>
    </w:p>
    <w:p w14:paraId="0EB68A32" w14:textId="77777777" w:rsidR="001A4696" w:rsidRDefault="001A4696" w:rsidP="00853B16">
      <w:pPr>
        <w:snapToGrid w:val="0"/>
        <w:spacing w:before="600"/>
        <w:sectPr w:rsidR="001A4696" w:rsidSect="00853B16">
          <w:footerReference w:type="default" r:id="rId28"/>
          <w:headerReference w:type="first" r:id="rId29"/>
          <w:footerReference w:type="first" r:id="rId30"/>
          <w:pgSz w:w="11907" w:h="16834"/>
          <w:pgMar w:top="1418" w:right="1418" w:bottom="1418" w:left="1418" w:header="720" w:footer="720" w:gutter="0"/>
          <w:paperSrc w:first="286" w:other="286"/>
          <w:cols w:space="720"/>
          <w:titlePg/>
        </w:sectPr>
      </w:pPr>
    </w:p>
    <w:p w14:paraId="5FEA0545" w14:textId="77777777" w:rsidR="00853B16" w:rsidRPr="007E04E8" w:rsidRDefault="00853B16" w:rsidP="00853B16">
      <w:pPr>
        <w:pStyle w:val="AnnexNo"/>
      </w:pPr>
      <w:r w:rsidRPr="007E04E8">
        <w:lastRenderedPageBreak/>
        <w:t>ANNEX</w:t>
      </w:r>
      <w:r>
        <w:t xml:space="preserve"> 1</w:t>
      </w:r>
    </w:p>
    <w:p w14:paraId="2FD916F6" w14:textId="56A3A0B1" w:rsidR="00853B16" w:rsidRPr="007E04E8" w:rsidRDefault="00853B16" w:rsidP="00853B16">
      <w:pPr>
        <w:pStyle w:val="Annextitle"/>
        <w:rPr>
          <w:bCs/>
          <w:lang w:eastAsia="zh-CN"/>
        </w:rPr>
      </w:pPr>
      <w:r w:rsidRPr="007E04E8">
        <w:rPr>
          <w:lang w:eastAsia="zh-CN"/>
        </w:rPr>
        <w:t xml:space="preserve">Schedule of processing charges to be applied to satellite network filings </w:t>
      </w:r>
      <w:r w:rsidRPr="007E04E8">
        <w:rPr>
          <w:lang w:eastAsia="zh-CN"/>
        </w:rPr>
        <w:br/>
        <w:t xml:space="preserve">received by the Radiocommunication Bureau on or after </w:t>
      </w:r>
      <w:r w:rsidR="001E74E4">
        <w:rPr>
          <w:lang w:eastAsia="zh-CN"/>
        </w:rPr>
        <w:t>DD/MM/YYYY</w:t>
      </w:r>
    </w:p>
    <w:tbl>
      <w:tblPr>
        <w:tblW w:w="15287" w:type="dxa"/>
        <w:jc w:val="center"/>
        <w:tblLayout w:type="fixed"/>
        <w:tblLook w:val="0000" w:firstRow="0" w:lastRow="0" w:firstColumn="0" w:lastColumn="0" w:noHBand="0" w:noVBand="0"/>
      </w:tblPr>
      <w:tblGrid>
        <w:gridCol w:w="471"/>
        <w:gridCol w:w="1088"/>
        <w:gridCol w:w="683"/>
        <w:gridCol w:w="8579"/>
        <w:gridCol w:w="1079"/>
        <w:gridCol w:w="993"/>
        <w:gridCol w:w="994"/>
        <w:gridCol w:w="1400"/>
      </w:tblGrid>
      <w:tr w:rsidR="00853B16" w:rsidRPr="007E04E8" w14:paraId="3E88BCD4" w14:textId="77777777" w:rsidTr="000B5AB0">
        <w:trPr>
          <w:cantSplit/>
          <w:tblHeader/>
          <w:jc w:val="center"/>
        </w:trPr>
        <w:tc>
          <w:tcPr>
            <w:tcW w:w="1559" w:type="dxa"/>
            <w:gridSpan w:val="2"/>
            <w:tcBorders>
              <w:top w:val="single" w:sz="4" w:space="0" w:color="000000"/>
              <w:left w:val="single" w:sz="4" w:space="0" w:color="000000"/>
              <w:bottom w:val="single" w:sz="4" w:space="0" w:color="000000"/>
            </w:tcBorders>
            <w:vAlign w:val="center"/>
          </w:tcPr>
          <w:p w14:paraId="3652AE9D" w14:textId="77777777" w:rsidR="00853B16" w:rsidRPr="00BA32CC" w:rsidRDefault="00853B16" w:rsidP="004B4F82">
            <w:pPr>
              <w:pStyle w:val="Tablehead"/>
              <w:rPr>
                <w:sz w:val="16"/>
                <w:szCs w:val="16"/>
              </w:rPr>
            </w:pPr>
            <w:r w:rsidRPr="00BA32CC">
              <w:rPr>
                <w:sz w:val="16"/>
                <w:szCs w:val="16"/>
              </w:rPr>
              <w:t>Type</w:t>
            </w:r>
          </w:p>
        </w:tc>
        <w:tc>
          <w:tcPr>
            <w:tcW w:w="9262" w:type="dxa"/>
            <w:gridSpan w:val="2"/>
            <w:tcBorders>
              <w:top w:val="single" w:sz="4" w:space="0" w:color="000000"/>
              <w:left w:val="single" w:sz="4" w:space="0" w:color="000000"/>
              <w:bottom w:val="single" w:sz="4" w:space="0" w:color="000000"/>
            </w:tcBorders>
            <w:vAlign w:val="center"/>
          </w:tcPr>
          <w:p w14:paraId="1D018F4F" w14:textId="77777777" w:rsidR="00853B16" w:rsidRPr="00BA32CC" w:rsidRDefault="00853B16" w:rsidP="004B4F82">
            <w:pPr>
              <w:pStyle w:val="Tablehead"/>
              <w:rPr>
                <w:sz w:val="16"/>
                <w:szCs w:val="16"/>
              </w:rPr>
            </w:pPr>
            <w:r w:rsidRPr="00BA32CC">
              <w:rPr>
                <w:sz w:val="16"/>
                <w:szCs w:val="16"/>
              </w:rPr>
              <w:t>Category</w:t>
            </w:r>
          </w:p>
        </w:tc>
        <w:tc>
          <w:tcPr>
            <w:tcW w:w="1079" w:type="dxa"/>
            <w:tcBorders>
              <w:top w:val="single" w:sz="4" w:space="0" w:color="000000"/>
              <w:left w:val="single" w:sz="4" w:space="0" w:color="000000"/>
              <w:bottom w:val="single" w:sz="4" w:space="0" w:color="000000"/>
            </w:tcBorders>
            <w:tcMar>
              <w:left w:w="28" w:type="dxa"/>
              <w:right w:w="28" w:type="dxa"/>
            </w:tcMar>
            <w:vAlign w:val="center"/>
          </w:tcPr>
          <w:p w14:paraId="5FE38E1B" w14:textId="77777777" w:rsidR="00853B16" w:rsidRPr="00BA32CC" w:rsidRDefault="00853B16" w:rsidP="004B4F82">
            <w:pPr>
              <w:pStyle w:val="Tablehead"/>
              <w:rPr>
                <w:sz w:val="16"/>
                <w:szCs w:val="16"/>
              </w:rPr>
            </w:pPr>
            <w:r w:rsidRPr="00BA32CC">
              <w:rPr>
                <w:sz w:val="16"/>
                <w:szCs w:val="16"/>
              </w:rPr>
              <w:t>Flat fee per filing (in CHF)</w:t>
            </w:r>
            <w:r w:rsidRPr="00BA32CC">
              <w:rPr>
                <w:sz w:val="16"/>
                <w:szCs w:val="16"/>
              </w:rPr>
              <w:br/>
              <w:t>(</w:t>
            </w:r>
            <w:r w:rsidRPr="00BA32CC">
              <w:rPr>
                <w:rFonts w:ascii="Symbol" w:hAnsi="Symbol"/>
                <w:sz w:val="16"/>
                <w:szCs w:val="16"/>
              </w:rPr>
              <w:t></w:t>
            </w:r>
            <w:r w:rsidRPr="00BA32CC">
              <w:rPr>
                <w:sz w:val="16"/>
                <w:szCs w:val="16"/>
              </w:rPr>
              <w:t xml:space="preserve"> 100 units, </w:t>
            </w:r>
            <w:r w:rsidRPr="00BA32CC">
              <w:rPr>
                <w:sz w:val="16"/>
                <w:szCs w:val="16"/>
              </w:rPr>
              <w:br/>
              <w:t xml:space="preserve">if </w:t>
            </w:r>
            <w:proofErr w:type="gramStart"/>
            <w:r w:rsidRPr="00BA32CC">
              <w:rPr>
                <w:sz w:val="16"/>
                <w:szCs w:val="16"/>
              </w:rPr>
              <w:t>applicable)</w:t>
            </w:r>
            <w:r w:rsidRPr="00BA32CC">
              <w:rPr>
                <w:sz w:val="16"/>
                <w:szCs w:val="16"/>
                <w:vertAlign w:val="superscript"/>
              </w:rPr>
              <w:t>e</w:t>
            </w:r>
            <w:proofErr w:type="gramEnd"/>
            <w:r w:rsidRPr="00BA32CC">
              <w:rPr>
                <w:sz w:val="16"/>
                <w:szCs w:val="16"/>
                <w:vertAlign w:val="superscript"/>
              </w:rPr>
              <w:t>)</w:t>
            </w:r>
          </w:p>
        </w:tc>
        <w:tc>
          <w:tcPr>
            <w:tcW w:w="993" w:type="dxa"/>
            <w:tcBorders>
              <w:top w:val="single" w:sz="4" w:space="0" w:color="000000"/>
              <w:left w:val="single" w:sz="4" w:space="0" w:color="000000"/>
              <w:bottom w:val="single" w:sz="4" w:space="0" w:color="000000"/>
            </w:tcBorders>
            <w:vAlign w:val="center"/>
          </w:tcPr>
          <w:p w14:paraId="37CF9BCB" w14:textId="77777777" w:rsidR="00853B16" w:rsidRPr="00BA32CC" w:rsidRDefault="00853B16" w:rsidP="004B4F82">
            <w:pPr>
              <w:pStyle w:val="Tablehead"/>
              <w:rPr>
                <w:sz w:val="16"/>
                <w:szCs w:val="16"/>
              </w:rPr>
            </w:pPr>
            <w:r w:rsidRPr="00BA32CC">
              <w:rPr>
                <w:sz w:val="16"/>
                <w:szCs w:val="16"/>
              </w:rPr>
              <w:t>Start fee per filing (in CHF)</w:t>
            </w:r>
            <w:r w:rsidRPr="00BA32CC">
              <w:rPr>
                <w:sz w:val="16"/>
                <w:szCs w:val="16"/>
              </w:rPr>
              <w:br/>
              <w:t>(&lt; 100 units)</w:t>
            </w:r>
          </w:p>
        </w:tc>
        <w:tc>
          <w:tcPr>
            <w:tcW w:w="994" w:type="dxa"/>
            <w:tcBorders>
              <w:top w:val="single" w:sz="4" w:space="0" w:color="000000"/>
              <w:left w:val="single" w:sz="4" w:space="0" w:color="000000"/>
              <w:bottom w:val="single" w:sz="4" w:space="0" w:color="000000"/>
            </w:tcBorders>
            <w:vAlign w:val="center"/>
          </w:tcPr>
          <w:p w14:paraId="3298897F" w14:textId="77777777" w:rsidR="00853B16" w:rsidRPr="00BA32CC" w:rsidRDefault="00853B16" w:rsidP="004B4F82">
            <w:pPr>
              <w:pStyle w:val="Tablehead"/>
              <w:rPr>
                <w:sz w:val="16"/>
                <w:szCs w:val="16"/>
              </w:rPr>
            </w:pPr>
            <w:r w:rsidRPr="00BA32CC">
              <w:rPr>
                <w:sz w:val="16"/>
                <w:szCs w:val="16"/>
              </w:rPr>
              <w:t>Fee per unit (in CHF)</w:t>
            </w:r>
            <w:r w:rsidRPr="00BA32CC">
              <w:rPr>
                <w:sz w:val="16"/>
                <w:szCs w:val="16"/>
              </w:rPr>
              <w:br/>
              <w:t>(&lt; 100 units)</w:t>
            </w:r>
          </w:p>
        </w:tc>
        <w:tc>
          <w:tcPr>
            <w:tcW w:w="1400" w:type="dxa"/>
            <w:tcBorders>
              <w:top w:val="single" w:sz="4" w:space="0" w:color="000000"/>
              <w:left w:val="single" w:sz="4" w:space="0" w:color="000000"/>
              <w:bottom w:val="single" w:sz="4" w:space="0" w:color="000000"/>
              <w:right w:val="single" w:sz="4" w:space="0" w:color="000000"/>
            </w:tcBorders>
            <w:vAlign w:val="center"/>
          </w:tcPr>
          <w:p w14:paraId="20DFA34E" w14:textId="77777777" w:rsidR="00853B16" w:rsidRPr="00BA32CC" w:rsidRDefault="00853B16" w:rsidP="004B4F82">
            <w:pPr>
              <w:pStyle w:val="Tablehead"/>
              <w:rPr>
                <w:sz w:val="16"/>
                <w:szCs w:val="16"/>
              </w:rPr>
            </w:pPr>
            <w:r w:rsidRPr="00BA32CC">
              <w:rPr>
                <w:sz w:val="16"/>
                <w:szCs w:val="16"/>
              </w:rPr>
              <w:t>Cost-recovery unit</w:t>
            </w:r>
          </w:p>
        </w:tc>
      </w:tr>
      <w:tr w:rsidR="00853B16" w:rsidRPr="007E04E8" w14:paraId="4C313F65" w14:textId="77777777" w:rsidTr="000B5AB0">
        <w:trPr>
          <w:cantSplit/>
          <w:jc w:val="center"/>
        </w:trPr>
        <w:tc>
          <w:tcPr>
            <w:tcW w:w="471" w:type="dxa"/>
            <w:vMerge w:val="restart"/>
            <w:tcBorders>
              <w:top w:val="single" w:sz="4" w:space="0" w:color="000000"/>
              <w:left w:val="single" w:sz="4" w:space="0" w:color="000000"/>
            </w:tcBorders>
            <w:vAlign w:val="center"/>
          </w:tcPr>
          <w:p w14:paraId="1EC0F486" w14:textId="77777777" w:rsidR="00853B16" w:rsidRPr="001E74E4" w:rsidRDefault="00853B16" w:rsidP="004B4F82">
            <w:pPr>
              <w:pStyle w:val="Tabletext"/>
              <w:rPr>
                <w:sz w:val="16"/>
                <w:szCs w:val="16"/>
              </w:rPr>
            </w:pPr>
            <w:r w:rsidRPr="001E74E4">
              <w:rPr>
                <w:sz w:val="16"/>
                <w:szCs w:val="16"/>
              </w:rPr>
              <w:t>1</w:t>
            </w:r>
          </w:p>
        </w:tc>
        <w:tc>
          <w:tcPr>
            <w:tcW w:w="1088" w:type="dxa"/>
            <w:vMerge w:val="restart"/>
            <w:tcBorders>
              <w:top w:val="single" w:sz="4" w:space="0" w:color="000000"/>
              <w:left w:val="single" w:sz="4" w:space="0" w:color="000000"/>
            </w:tcBorders>
            <w:vAlign w:val="center"/>
          </w:tcPr>
          <w:p w14:paraId="6B71748C" w14:textId="77777777" w:rsidR="00853B16" w:rsidRPr="001E74E4" w:rsidRDefault="00853B16" w:rsidP="004B4F82">
            <w:pPr>
              <w:pStyle w:val="Tabletext"/>
              <w:rPr>
                <w:sz w:val="16"/>
                <w:szCs w:val="16"/>
              </w:rPr>
            </w:pPr>
            <w:r w:rsidRPr="001E74E4">
              <w:rPr>
                <w:sz w:val="16"/>
                <w:szCs w:val="16"/>
              </w:rPr>
              <w:t>Advance publication (A)</w:t>
            </w:r>
          </w:p>
        </w:tc>
        <w:tc>
          <w:tcPr>
            <w:tcW w:w="683" w:type="dxa"/>
            <w:vMerge w:val="restart"/>
            <w:tcBorders>
              <w:top w:val="single" w:sz="4" w:space="0" w:color="000000"/>
              <w:left w:val="single" w:sz="4" w:space="0" w:color="000000"/>
            </w:tcBorders>
            <w:vAlign w:val="center"/>
          </w:tcPr>
          <w:p w14:paraId="7A90FDB7" w14:textId="77777777" w:rsidR="00853B16" w:rsidRPr="001E74E4" w:rsidRDefault="00853B16" w:rsidP="004B4F82">
            <w:pPr>
              <w:pStyle w:val="Tabletext"/>
              <w:rPr>
                <w:sz w:val="16"/>
                <w:szCs w:val="16"/>
              </w:rPr>
            </w:pPr>
            <w:r w:rsidRPr="001E74E4">
              <w:rPr>
                <w:sz w:val="16"/>
                <w:szCs w:val="16"/>
              </w:rPr>
              <w:t>A1</w:t>
            </w:r>
          </w:p>
        </w:tc>
        <w:tc>
          <w:tcPr>
            <w:tcW w:w="8579" w:type="dxa"/>
            <w:vMerge w:val="restart"/>
            <w:tcBorders>
              <w:top w:val="single" w:sz="4" w:space="0" w:color="000000"/>
              <w:left w:val="single" w:sz="4" w:space="0" w:color="000000"/>
            </w:tcBorders>
            <w:vAlign w:val="center"/>
          </w:tcPr>
          <w:p w14:paraId="27625430" w14:textId="77777777" w:rsidR="00853B16" w:rsidRPr="001E74E4" w:rsidRDefault="00853B16" w:rsidP="004B4F82">
            <w:pPr>
              <w:pStyle w:val="Tabletext"/>
              <w:rPr>
                <w:sz w:val="16"/>
                <w:szCs w:val="16"/>
              </w:rPr>
            </w:pPr>
            <w:r w:rsidRPr="001E74E4">
              <w:rPr>
                <w:sz w:val="16"/>
                <w:szCs w:val="16"/>
              </w:rPr>
              <w:t xml:space="preserve">Advance publication of a non-geostationary-satellite network not subject to coordination under Section II of Article </w:t>
            </w:r>
            <w:r w:rsidRPr="001E74E4">
              <w:rPr>
                <w:b/>
                <w:bCs/>
                <w:sz w:val="16"/>
                <w:szCs w:val="16"/>
              </w:rPr>
              <w:t>9</w:t>
            </w:r>
            <w:r w:rsidRPr="001E74E4">
              <w:rPr>
                <w:sz w:val="16"/>
                <w:szCs w:val="16"/>
              </w:rPr>
              <w:t xml:space="preserve">; Advance publication of inter-satellite links of a geostationary-satellite space station communicating with a non-geostationary space station provisionally not subject to coordination under Section II of Article </w:t>
            </w:r>
            <w:r w:rsidRPr="001E74E4">
              <w:rPr>
                <w:b/>
                <w:bCs/>
                <w:sz w:val="16"/>
                <w:szCs w:val="16"/>
              </w:rPr>
              <w:t>9</w:t>
            </w:r>
            <w:r w:rsidRPr="001E74E4">
              <w:rPr>
                <w:sz w:val="16"/>
                <w:szCs w:val="16"/>
              </w:rPr>
              <w:t xml:space="preserve"> in accordance with the Rule of Procedure on No. </w:t>
            </w:r>
            <w:r w:rsidRPr="001E74E4">
              <w:rPr>
                <w:b/>
                <w:bCs/>
                <w:sz w:val="16"/>
                <w:szCs w:val="16"/>
              </w:rPr>
              <w:t>11.32</w:t>
            </w:r>
            <w:r w:rsidRPr="001E74E4">
              <w:rPr>
                <w:sz w:val="16"/>
                <w:szCs w:val="16"/>
              </w:rPr>
              <w:t>, § 6 (MOD RRB04/35).</w:t>
            </w:r>
          </w:p>
          <w:p w14:paraId="02446EE9" w14:textId="15CECD04" w:rsidR="00823594" w:rsidRPr="000B5AB0" w:rsidRDefault="00853B16" w:rsidP="004B4F82">
            <w:pPr>
              <w:pStyle w:val="Tabletext"/>
              <w:rPr>
                <w:i/>
                <w:sz w:val="16"/>
                <w:szCs w:val="16"/>
              </w:rPr>
            </w:pPr>
            <w:r w:rsidRPr="001E74E4">
              <w:rPr>
                <w:sz w:val="16"/>
                <w:szCs w:val="16"/>
              </w:rPr>
              <w:t xml:space="preserve">Note: Advance publication also includes the application of No. </w:t>
            </w:r>
            <w:r w:rsidRPr="001E74E4">
              <w:rPr>
                <w:b/>
                <w:bCs/>
                <w:sz w:val="16"/>
                <w:szCs w:val="16"/>
              </w:rPr>
              <w:t>9.5</w:t>
            </w:r>
            <w:r w:rsidRPr="001E74E4">
              <w:rPr>
                <w:sz w:val="16"/>
                <w:szCs w:val="16"/>
              </w:rPr>
              <w:t xml:space="preserve"> (API/B special section) and will not be separately charged.</w:t>
            </w:r>
          </w:p>
        </w:tc>
        <w:tc>
          <w:tcPr>
            <w:tcW w:w="2072" w:type="dxa"/>
            <w:gridSpan w:val="2"/>
            <w:tcBorders>
              <w:top w:val="single" w:sz="4" w:space="0" w:color="000000"/>
              <w:left w:val="single" w:sz="4" w:space="0" w:color="000000"/>
              <w:bottom w:val="single" w:sz="4" w:space="0" w:color="000000"/>
            </w:tcBorders>
            <w:vAlign w:val="center"/>
          </w:tcPr>
          <w:p w14:paraId="165FA056" w14:textId="77777777" w:rsidR="00853B16" w:rsidRPr="001E74E4" w:rsidRDefault="00853B16" w:rsidP="004B4F82">
            <w:pPr>
              <w:pStyle w:val="Tabletext"/>
              <w:jc w:val="center"/>
              <w:rPr>
                <w:sz w:val="16"/>
                <w:szCs w:val="16"/>
              </w:rPr>
            </w:pPr>
            <w:r w:rsidRPr="001E74E4">
              <w:rPr>
                <w:sz w:val="16"/>
                <w:szCs w:val="16"/>
              </w:rPr>
              <w:t>570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6D96C5DA" w14:textId="77777777" w:rsidR="00853B16" w:rsidRPr="001E74E4" w:rsidRDefault="00853B16" w:rsidP="004B4F82">
            <w:pPr>
              <w:pStyle w:val="Tabletext"/>
              <w:jc w:val="center"/>
              <w:rPr>
                <w:sz w:val="16"/>
                <w:szCs w:val="16"/>
              </w:rPr>
            </w:pPr>
            <w:r w:rsidRPr="001E74E4">
              <w:rPr>
                <w:sz w:val="16"/>
                <w:szCs w:val="16"/>
              </w:rPr>
              <w:t>Not applicable</w:t>
            </w:r>
          </w:p>
        </w:tc>
      </w:tr>
      <w:tr w:rsidR="00853B16" w:rsidRPr="007E04E8" w14:paraId="45C18CE8" w14:textId="77777777" w:rsidTr="000B5AB0">
        <w:trPr>
          <w:cantSplit/>
          <w:jc w:val="center"/>
        </w:trPr>
        <w:tc>
          <w:tcPr>
            <w:tcW w:w="471" w:type="dxa"/>
            <w:vMerge/>
            <w:tcBorders>
              <w:left w:val="single" w:sz="4" w:space="0" w:color="000000"/>
              <w:bottom w:val="single" w:sz="4" w:space="0" w:color="000000"/>
            </w:tcBorders>
            <w:vAlign w:val="center"/>
          </w:tcPr>
          <w:p w14:paraId="1859E1A2" w14:textId="77777777" w:rsidR="00853B16" w:rsidRPr="000B5AB0" w:rsidRDefault="00853B16" w:rsidP="004B4F82">
            <w:pPr>
              <w:pStyle w:val="Tabletext"/>
              <w:rPr>
                <w:sz w:val="16"/>
                <w:szCs w:val="16"/>
                <w:highlight w:val="yellow"/>
              </w:rPr>
            </w:pPr>
          </w:p>
        </w:tc>
        <w:tc>
          <w:tcPr>
            <w:tcW w:w="1088" w:type="dxa"/>
            <w:vMerge/>
            <w:tcBorders>
              <w:left w:val="single" w:sz="4" w:space="0" w:color="000000"/>
              <w:bottom w:val="single" w:sz="4" w:space="0" w:color="000000"/>
            </w:tcBorders>
            <w:vAlign w:val="center"/>
          </w:tcPr>
          <w:p w14:paraId="4B31B275" w14:textId="77777777" w:rsidR="00853B16" w:rsidRPr="000B5AB0" w:rsidRDefault="00853B16" w:rsidP="004B4F82">
            <w:pPr>
              <w:pStyle w:val="Tabletext"/>
              <w:rPr>
                <w:sz w:val="16"/>
                <w:szCs w:val="16"/>
                <w:highlight w:val="yellow"/>
              </w:rPr>
            </w:pPr>
          </w:p>
        </w:tc>
        <w:tc>
          <w:tcPr>
            <w:tcW w:w="683" w:type="dxa"/>
            <w:vMerge/>
            <w:tcBorders>
              <w:left w:val="single" w:sz="4" w:space="0" w:color="000000"/>
              <w:bottom w:val="single" w:sz="4" w:space="0" w:color="000000"/>
            </w:tcBorders>
            <w:vAlign w:val="center"/>
          </w:tcPr>
          <w:p w14:paraId="4C980B98" w14:textId="77777777" w:rsidR="00853B16" w:rsidRPr="000B5AB0" w:rsidRDefault="00853B16" w:rsidP="004B4F82">
            <w:pPr>
              <w:pStyle w:val="Tabletext"/>
              <w:rPr>
                <w:sz w:val="16"/>
                <w:szCs w:val="16"/>
                <w:highlight w:val="yellow"/>
              </w:rPr>
            </w:pPr>
          </w:p>
        </w:tc>
        <w:tc>
          <w:tcPr>
            <w:tcW w:w="8579" w:type="dxa"/>
            <w:vMerge/>
            <w:tcBorders>
              <w:left w:val="single" w:sz="4" w:space="0" w:color="000000"/>
              <w:bottom w:val="single" w:sz="4" w:space="0" w:color="000000"/>
            </w:tcBorders>
            <w:vAlign w:val="center"/>
          </w:tcPr>
          <w:p w14:paraId="00019EF0" w14:textId="77777777" w:rsidR="00853B16" w:rsidRPr="000B5AB0" w:rsidRDefault="00853B16" w:rsidP="004B4F82">
            <w:pPr>
              <w:pStyle w:val="Tabletext"/>
              <w:rPr>
                <w:sz w:val="16"/>
                <w:szCs w:val="16"/>
                <w:highlight w:val="yellow"/>
              </w:rPr>
            </w:pPr>
          </w:p>
        </w:tc>
        <w:tc>
          <w:tcPr>
            <w:tcW w:w="1079" w:type="dxa"/>
            <w:tcBorders>
              <w:top w:val="single" w:sz="4" w:space="0" w:color="000000"/>
              <w:left w:val="single" w:sz="4" w:space="0" w:color="000000"/>
              <w:bottom w:val="single" w:sz="4" w:space="0" w:color="000000"/>
            </w:tcBorders>
            <w:vAlign w:val="center"/>
          </w:tcPr>
          <w:p w14:paraId="4A57174B" w14:textId="08016B2C" w:rsidR="00853B16" w:rsidRPr="000B5AB0" w:rsidRDefault="00853B16" w:rsidP="00390A62">
            <w:pPr>
              <w:pStyle w:val="Tabletext"/>
              <w:jc w:val="center"/>
              <w:rPr>
                <w:sz w:val="16"/>
                <w:szCs w:val="16"/>
                <w:highlight w:val="yellow"/>
              </w:rPr>
            </w:pPr>
          </w:p>
        </w:tc>
        <w:tc>
          <w:tcPr>
            <w:tcW w:w="993" w:type="dxa"/>
            <w:tcBorders>
              <w:top w:val="single" w:sz="4" w:space="0" w:color="000000"/>
              <w:left w:val="single" w:sz="4" w:space="0" w:color="000000"/>
              <w:bottom w:val="single" w:sz="4" w:space="0" w:color="000000"/>
            </w:tcBorders>
            <w:vAlign w:val="center"/>
          </w:tcPr>
          <w:p w14:paraId="0A256EB8" w14:textId="725EEB70" w:rsidR="00853B16" w:rsidRPr="000B5AB0" w:rsidRDefault="00853B16" w:rsidP="004B4F82">
            <w:pPr>
              <w:pStyle w:val="Tabletext"/>
              <w:jc w:val="center"/>
              <w:rPr>
                <w:sz w:val="16"/>
                <w:szCs w:val="16"/>
                <w:highlight w:val="yellow"/>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59152D7C" w14:textId="0C634F52" w:rsidR="00853B16" w:rsidRPr="000B5AB0" w:rsidRDefault="00853B16" w:rsidP="004B4F82">
            <w:pPr>
              <w:pStyle w:val="Tabletext"/>
              <w:jc w:val="center"/>
              <w:rPr>
                <w:sz w:val="16"/>
                <w:szCs w:val="16"/>
                <w:highlight w:val="yellow"/>
              </w:rPr>
            </w:pPr>
          </w:p>
        </w:tc>
        <w:tc>
          <w:tcPr>
            <w:tcW w:w="1400" w:type="dxa"/>
            <w:tcBorders>
              <w:top w:val="single" w:sz="4" w:space="0" w:color="000000"/>
              <w:left w:val="single" w:sz="4" w:space="0" w:color="000000"/>
              <w:bottom w:val="single" w:sz="4" w:space="0" w:color="000000"/>
              <w:right w:val="single" w:sz="4" w:space="0" w:color="000000"/>
            </w:tcBorders>
            <w:vAlign w:val="center"/>
          </w:tcPr>
          <w:p w14:paraId="1C7EC112" w14:textId="04423CC1" w:rsidR="00853B16" w:rsidRPr="000B5AB0" w:rsidRDefault="00853B16" w:rsidP="004B4F82">
            <w:pPr>
              <w:pStyle w:val="Tabletext"/>
              <w:jc w:val="center"/>
              <w:rPr>
                <w:sz w:val="16"/>
                <w:szCs w:val="16"/>
                <w:highlight w:val="yellow"/>
              </w:rPr>
            </w:pPr>
          </w:p>
        </w:tc>
      </w:tr>
      <w:tr w:rsidR="005A33D4" w:rsidRPr="007E04E8" w14:paraId="0F1941DF" w14:textId="77777777" w:rsidTr="00076856">
        <w:trPr>
          <w:cantSplit/>
          <w:jc w:val="center"/>
        </w:trPr>
        <w:tc>
          <w:tcPr>
            <w:tcW w:w="471" w:type="dxa"/>
            <w:vMerge w:val="restart"/>
            <w:tcBorders>
              <w:top w:val="single" w:sz="4" w:space="0" w:color="000000"/>
              <w:left w:val="single" w:sz="4" w:space="0" w:color="000000"/>
              <w:bottom w:val="single" w:sz="4" w:space="0" w:color="000000"/>
            </w:tcBorders>
            <w:vAlign w:val="center"/>
          </w:tcPr>
          <w:p w14:paraId="2D47710E" w14:textId="77777777" w:rsidR="005A33D4" w:rsidRPr="00BA32CC" w:rsidRDefault="005A33D4" w:rsidP="004B4F82">
            <w:pPr>
              <w:pStyle w:val="Tabletext"/>
              <w:rPr>
                <w:sz w:val="16"/>
                <w:szCs w:val="16"/>
              </w:rPr>
            </w:pPr>
            <w:r w:rsidRPr="00BA32CC">
              <w:rPr>
                <w:sz w:val="16"/>
                <w:szCs w:val="16"/>
              </w:rPr>
              <w:t>2</w:t>
            </w:r>
          </w:p>
        </w:tc>
        <w:tc>
          <w:tcPr>
            <w:tcW w:w="1088" w:type="dxa"/>
            <w:vMerge w:val="restart"/>
            <w:tcBorders>
              <w:top w:val="single" w:sz="4" w:space="0" w:color="000000"/>
              <w:left w:val="single" w:sz="4" w:space="0" w:color="000000"/>
              <w:bottom w:val="single" w:sz="4" w:space="0" w:color="000000"/>
            </w:tcBorders>
            <w:vAlign w:val="center"/>
          </w:tcPr>
          <w:p w14:paraId="28C8F895" w14:textId="6CD56692" w:rsidR="005A33D4" w:rsidRPr="00BA32CC" w:rsidRDefault="005A33D4" w:rsidP="004B4F82">
            <w:pPr>
              <w:pStyle w:val="Tabletext"/>
              <w:rPr>
                <w:sz w:val="16"/>
                <w:szCs w:val="16"/>
              </w:rPr>
            </w:pPr>
            <w:r w:rsidRPr="00BA32CC">
              <w:rPr>
                <w:sz w:val="16"/>
                <w:szCs w:val="16"/>
              </w:rPr>
              <w:t>Coordination (C)</w:t>
            </w:r>
            <w:r w:rsidRPr="000B5AB0">
              <w:rPr>
                <w:sz w:val="16"/>
                <w:szCs w:val="16"/>
                <w:vertAlign w:val="superscript"/>
              </w:rPr>
              <w:t>f)</w:t>
            </w:r>
          </w:p>
        </w:tc>
        <w:tc>
          <w:tcPr>
            <w:tcW w:w="683" w:type="dxa"/>
            <w:tcBorders>
              <w:top w:val="single" w:sz="4" w:space="0" w:color="000000"/>
              <w:left w:val="single" w:sz="4" w:space="0" w:color="000000"/>
              <w:bottom w:val="single" w:sz="4" w:space="0" w:color="000000"/>
            </w:tcBorders>
            <w:vAlign w:val="center"/>
          </w:tcPr>
          <w:p w14:paraId="40F54572" w14:textId="77777777" w:rsidR="005A33D4" w:rsidRPr="00BA32CC" w:rsidRDefault="005A33D4" w:rsidP="004B4F82">
            <w:pPr>
              <w:pStyle w:val="Tabletext"/>
              <w:rPr>
                <w:sz w:val="16"/>
                <w:szCs w:val="16"/>
              </w:rPr>
            </w:pPr>
            <w:r w:rsidRPr="00BA32CC">
              <w:rPr>
                <w:sz w:val="16"/>
                <w:szCs w:val="16"/>
              </w:rPr>
              <w:t>C1*</w:t>
            </w:r>
          </w:p>
        </w:tc>
        <w:tc>
          <w:tcPr>
            <w:tcW w:w="8579" w:type="dxa"/>
            <w:vMerge w:val="restart"/>
            <w:tcBorders>
              <w:top w:val="single" w:sz="4" w:space="0" w:color="000000"/>
              <w:left w:val="single" w:sz="4" w:space="0" w:color="000000"/>
              <w:bottom w:val="single" w:sz="4" w:space="0" w:color="000000"/>
            </w:tcBorders>
            <w:vAlign w:val="center"/>
          </w:tcPr>
          <w:p w14:paraId="1C75EDAC" w14:textId="77777777" w:rsidR="005A33D4" w:rsidRPr="00BA32CC" w:rsidRDefault="005A33D4" w:rsidP="004B4F82">
            <w:pPr>
              <w:pStyle w:val="Tabletext"/>
              <w:rPr>
                <w:sz w:val="16"/>
                <w:szCs w:val="16"/>
              </w:rPr>
            </w:pPr>
            <w:r w:rsidRPr="00BA32CC">
              <w:rPr>
                <w:sz w:val="16"/>
                <w:szCs w:val="16"/>
              </w:rPr>
              <w:t xml:space="preserve">Coordination request for a satellite network in accordance with No. </w:t>
            </w:r>
            <w:r w:rsidRPr="00C40528">
              <w:rPr>
                <w:b/>
                <w:bCs/>
                <w:sz w:val="16"/>
                <w:szCs w:val="16"/>
              </w:rPr>
              <w:t>9.6</w:t>
            </w:r>
            <w:r w:rsidRPr="00BA32CC">
              <w:rPr>
                <w:sz w:val="16"/>
                <w:szCs w:val="16"/>
              </w:rPr>
              <w:t xml:space="preserve"> along with one or more of Nos.  </w:t>
            </w:r>
            <w:r w:rsidRPr="00C40528">
              <w:rPr>
                <w:b/>
                <w:bCs/>
                <w:sz w:val="16"/>
                <w:szCs w:val="16"/>
              </w:rPr>
              <w:t>9.7</w:t>
            </w:r>
            <w:r w:rsidRPr="00BA32CC">
              <w:rPr>
                <w:sz w:val="16"/>
                <w:szCs w:val="16"/>
              </w:rPr>
              <w:t xml:space="preserve">, </w:t>
            </w:r>
            <w:r w:rsidRPr="00C40528">
              <w:rPr>
                <w:b/>
                <w:bCs/>
                <w:sz w:val="16"/>
                <w:szCs w:val="16"/>
              </w:rPr>
              <w:t>9.7A</w:t>
            </w:r>
            <w:r w:rsidRPr="00BA32CC">
              <w:rPr>
                <w:sz w:val="16"/>
                <w:szCs w:val="16"/>
              </w:rPr>
              <w:t xml:space="preserve">, </w:t>
            </w:r>
            <w:r w:rsidRPr="00C40528">
              <w:rPr>
                <w:b/>
                <w:bCs/>
                <w:sz w:val="16"/>
                <w:szCs w:val="16"/>
              </w:rPr>
              <w:t>9.7B</w:t>
            </w:r>
            <w:r w:rsidRPr="00BA32CC">
              <w:rPr>
                <w:sz w:val="16"/>
                <w:szCs w:val="16"/>
              </w:rPr>
              <w:t xml:space="preserve">, </w:t>
            </w:r>
            <w:r w:rsidRPr="00C40528">
              <w:rPr>
                <w:b/>
                <w:bCs/>
                <w:sz w:val="16"/>
                <w:szCs w:val="16"/>
              </w:rPr>
              <w:t>9.11</w:t>
            </w:r>
            <w:r w:rsidRPr="00BA32CC">
              <w:rPr>
                <w:sz w:val="16"/>
                <w:szCs w:val="16"/>
              </w:rPr>
              <w:t xml:space="preserve">, </w:t>
            </w:r>
            <w:r w:rsidRPr="00C40528">
              <w:rPr>
                <w:b/>
                <w:bCs/>
                <w:sz w:val="16"/>
                <w:szCs w:val="16"/>
              </w:rPr>
              <w:t>9.11A</w:t>
            </w:r>
            <w:r w:rsidRPr="00BA32CC">
              <w:rPr>
                <w:sz w:val="16"/>
                <w:szCs w:val="16"/>
              </w:rPr>
              <w:t xml:space="preserve">, </w:t>
            </w:r>
            <w:r w:rsidRPr="00C40528">
              <w:rPr>
                <w:b/>
                <w:bCs/>
                <w:sz w:val="16"/>
                <w:szCs w:val="16"/>
              </w:rPr>
              <w:t>9.12</w:t>
            </w:r>
            <w:r w:rsidRPr="00BA32CC">
              <w:rPr>
                <w:sz w:val="16"/>
                <w:szCs w:val="16"/>
              </w:rPr>
              <w:t xml:space="preserve">, </w:t>
            </w:r>
            <w:r w:rsidRPr="00C40528">
              <w:rPr>
                <w:b/>
                <w:bCs/>
                <w:sz w:val="16"/>
                <w:szCs w:val="16"/>
              </w:rPr>
              <w:t>9.12A</w:t>
            </w:r>
            <w:r w:rsidRPr="00BA32CC">
              <w:rPr>
                <w:sz w:val="16"/>
                <w:szCs w:val="16"/>
              </w:rPr>
              <w:t xml:space="preserve">, </w:t>
            </w:r>
            <w:r w:rsidRPr="00C40528">
              <w:rPr>
                <w:b/>
                <w:bCs/>
                <w:sz w:val="16"/>
                <w:szCs w:val="16"/>
              </w:rPr>
              <w:t>9.13</w:t>
            </w:r>
            <w:r w:rsidRPr="00BA32CC">
              <w:rPr>
                <w:sz w:val="16"/>
                <w:szCs w:val="16"/>
              </w:rPr>
              <w:t xml:space="preserve">, </w:t>
            </w:r>
            <w:r w:rsidRPr="00C40528">
              <w:rPr>
                <w:b/>
                <w:bCs/>
                <w:sz w:val="16"/>
                <w:szCs w:val="16"/>
              </w:rPr>
              <w:t>9.14</w:t>
            </w:r>
            <w:r w:rsidRPr="00BA32CC">
              <w:rPr>
                <w:sz w:val="16"/>
                <w:szCs w:val="16"/>
              </w:rPr>
              <w:t xml:space="preserve"> and </w:t>
            </w:r>
            <w:r w:rsidRPr="00C40528">
              <w:rPr>
                <w:b/>
                <w:bCs/>
                <w:sz w:val="16"/>
                <w:szCs w:val="16"/>
              </w:rPr>
              <w:t>9.21</w:t>
            </w:r>
            <w:r w:rsidRPr="00BA32CC">
              <w:rPr>
                <w:sz w:val="16"/>
                <w:szCs w:val="16"/>
              </w:rPr>
              <w:t xml:space="preserve"> of Section II of Article </w:t>
            </w:r>
            <w:r w:rsidRPr="00C40528">
              <w:rPr>
                <w:b/>
                <w:bCs/>
                <w:sz w:val="16"/>
                <w:szCs w:val="16"/>
              </w:rPr>
              <w:t>9</w:t>
            </w:r>
            <w:r w:rsidRPr="00BA32CC">
              <w:rPr>
                <w:sz w:val="16"/>
                <w:szCs w:val="16"/>
              </w:rPr>
              <w:t>, §</w:t>
            </w:r>
            <w:r>
              <w:rPr>
                <w:sz w:val="16"/>
                <w:szCs w:val="16"/>
              </w:rPr>
              <w:t> </w:t>
            </w:r>
            <w:r w:rsidRPr="00BA32CC">
              <w:rPr>
                <w:sz w:val="16"/>
                <w:szCs w:val="16"/>
              </w:rPr>
              <w:t>7.1 of Article 7 of Appendix </w:t>
            </w:r>
            <w:r w:rsidRPr="00C40528">
              <w:rPr>
                <w:b/>
                <w:bCs/>
                <w:sz w:val="16"/>
                <w:szCs w:val="16"/>
              </w:rPr>
              <w:t>30</w:t>
            </w:r>
            <w:r w:rsidRPr="00BA32CC">
              <w:rPr>
                <w:sz w:val="16"/>
                <w:szCs w:val="16"/>
              </w:rPr>
              <w:t>, §</w:t>
            </w:r>
            <w:r>
              <w:rPr>
                <w:sz w:val="16"/>
                <w:szCs w:val="16"/>
              </w:rPr>
              <w:t> </w:t>
            </w:r>
            <w:r w:rsidRPr="00BA32CC">
              <w:rPr>
                <w:sz w:val="16"/>
                <w:szCs w:val="16"/>
              </w:rPr>
              <w:t>7.1 of Article 7 of Appendix</w:t>
            </w:r>
            <w:r>
              <w:rPr>
                <w:sz w:val="16"/>
                <w:szCs w:val="16"/>
              </w:rPr>
              <w:t> </w:t>
            </w:r>
            <w:r w:rsidRPr="00C40528">
              <w:rPr>
                <w:b/>
                <w:bCs/>
                <w:sz w:val="16"/>
                <w:szCs w:val="16"/>
              </w:rPr>
              <w:t>30A</w:t>
            </w:r>
            <w:r w:rsidRPr="00BA32CC">
              <w:rPr>
                <w:sz w:val="16"/>
                <w:szCs w:val="16"/>
              </w:rPr>
              <w:t xml:space="preserve"> and Resolution </w:t>
            </w:r>
            <w:r w:rsidRPr="00C40528">
              <w:rPr>
                <w:b/>
                <w:bCs/>
                <w:sz w:val="16"/>
                <w:szCs w:val="16"/>
              </w:rPr>
              <w:t>539 (Rev.WRC-19)</w:t>
            </w:r>
            <w:r w:rsidRPr="00BA32CC">
              <w:rPr>
                <w:sz w:val="16"/>
                <w:szCs w:val="16"/>
              </w:rPr>
              <w:t>.</w:t>
            </w:r>
          </w:p>
          <w:p w14:paraId="732BAF5B" w14:textId="77777777" w:rsidR="005A33D4" w:rsidRPr="00BA32CC" w:rsidRDefault="005A33D4" w:rsidP="004B4F82">
            <w:pPr>
              <w:pStyle w:val="Tabletext"/>
              <w:rPr>
                <w:sz w:val="16"/>
                <w:szCs w:val="16"/>
              </w:rPr>
            </w:pPr>
            <w:r w:rsidRPr="00BA32CC">
              <w:rPr>
                <w:sz w:val="16"/>
                <w:szCs w:val="16"/>
              </w:rPr>
              <w:t xml:space="preserve">Note: Coordination also includes the application of Nos. </w:t>
            </w:r>
            <w:r w:rsidRPr="00C40528">
              <w:rPr>
                <w:b/>
                <w:bCs/>
                <w:sz w:val="16"/>
                <w:szCs w:val="16"/>
              </w:rPr>
              <w:t>9.1A</w:t>
            </w:r>
            <w:r w:rsidRPr="00BA32CC">
              <w:rPr>
                <w:sz w:val="16"/>
                <w:szCs w:val="16"/>
              </w:rPr>
              <w:t xml:space="preserve">, </w:t>
            </w:r>
            <w:r w:rsidRPr="00C40528">
              <w:rPr>
                <w:b/>
                <w:bCs/>
                <w:sz w:val="16"/>
                <w:szCs w:val="16"/>
              </w:rPr>
              <w:t>9.53A</w:t>
            </w:r>
            <w:r w:rsidRPr="00BA32CC">
              <w:rPr>
                <w:sz w:val="16"/>
                <w:szCs w:val="16"/>
              </w:rPr>
              <w:t xml:space="preserve"> (CR/D special section) and </w:t>
            </w:r>
            <w:r w:rsidRPr="00C40528">
              <w:rPr>
                <w:b/>
                <w:bCs/>
                <w:sz w:val="16"/>
                <w:szCs w:val="16"/>
              </w:rPr>
              <w:t>9.41</w:t>
            </w:r>
            <w:r w:rsidRPr="00BA32CC">
              <w:rPr>
                <w:sz w:val="16"/>
                <w:szCs w:val="16"/>
              </w:rPr>
              <w:t>/</w:t>
            </w:r>
            <w:r w:rsidRPr="00C40528">
              <w:rPr>
                <w:b/>
                <w:bCs/>
                <w:sz w:val="16"/>
                <w:szCs w:val="16"/>
              </w:rPr>
              <w:t>9.42</w:t>
            </w:r>
            <w:r w:rsidRPr="00BA32CC">
              <w:rPr>
                <w:sz w:val="16"/>
                <w:szCs w:val="16"/>
              </w:rPr>
              <w:t xml:space="preserve"> and will not be separately charged.</w:t>
            </w:r>
          </w:p>
          <w:p w14:paraId="6DF32806" w14:textId="77777777" w:rsidR="005A33D4" w:rsidRPr="00BA32CC" w:rsidRDefault="005A33D4" w:rsidP="004B4F82">
            <w:pPr>
              <w:pStyle w:val="Tabletext"/>
              <w:rPr>
                <w:sz w:val="16"/>
                <w:szCs w:val="16"/>
              </w:rPr>
            </w:pPr>
            <w:r w:rsidRPr="00BA32CC">
              <w:rPr>
                <w:sz w:val="16"/>
                <w:szCs w:val="16"/>
              </w:rPr>
              <w:t>Note: For coordination requests of a non-geostationary satellite network where the notifying administration has indicated that the different sub-sets of orbital characteristics would be mutually exclusive, the processing charges are separately computed for each of the sub-sets and thereafter added to produce the processing charge of the satellite network.</w:t>
            </w:r>
          </w:p>
        </w:tc>
        <w:tc>
          <w:tcPr>
            <w:tcW w:w="1079" w:type="dxa"/>
            <w:tcBorders>
              <w:top w:val="single" w:sz="4" w:space="0" w:color="000000"/>
              <w:left w:val="single" w:sz="4" w:space="0" w:color="000000"/>
              <w:bottom w:val="single" w:sz="4" w:space="0" w:color="000000"/>
            </w:tcBorders>
            <w:vAlign w:val="center"/>
          </w:tcPr>
          <w:p w14:paraId="245352A9" w14:textId="77777777" w:rsidR="005A33D4" w:rsidRPr="00BA32CC" w:rsidRDefault="005A33D4" w:rsidP="004B4F82">
            <w:pPr>
              <w:pStyle w:val="Tabletext"/>
              <w:jc w:val="center"/>
              <w:rPr>
                <w:sz w:val="16"/>
                <w:szCs w:val="16"/>
              </w:rPr>
            </w:pPr>
            <w:r w:rsidRPr="00BA32CC">
              <w:rPr>
                <w:sz w:val="16"/>
                <w:szCs w:val="16"/>
              </w:rPr>
              <w:t>20 560</w:t>
            </w:r>
          </w:p>
        </w:tc>
        <w:tc>
          <w:tcPr>
            <w:tcW w:w="993" w:type="dxa"/>
            <w:tcBorders>
              <w:top w:val="single" w:sz="4" w:space="0" w:color="000000"/>
              <w:left w:val="single" w:sz="4" w:space="0" w:color="000000"/>
              <w:bottom w:val="single" w:sz="4" w:space="0" w:color="000000"/>
            </w:tcBorders>
            <w:vAlign w:val="center"/>
          </w:tcPr>
          <w:p w14:paraId="2B96E733" w14:textId="77777777" w:rsidR="005A33D4" w:rsidRPr="00BA32CC" w:rsidRDefault="005A33D4" w:rsidP="004B4F82">
            <w:pPr>
              <w:pStyle w:val="Tabletext"/>
              <w:jc w:val="center"/>
              <w:rPr>
                <w:sz w:val="16"/>
                <w:szCs w:val="16"/>
              </w:rPr>
            </w:pPr>
            <w:r w:rsidRPr="00BA32CC">
              <w:rPr>
                <w:sz w:val="16"/>
                <w:szCs w:val="16"/>
              </w:rPr>
              <w:t>5 560</w:t>
            </w:r>
          </w:p>
        </w:tc>
        <w:tc>
          <w:tcPr>
            <w:tcW w:w="994" w:type="dxa"/>
            <w:vMerge w:val="restart"/>
            <w:tcBorders>
              <w:top w:val="single" w:sz="4" w:space="0" w:color="000000"/>
              <w:left w:val="single" w:sz="4" w:space="0" w:color="000000"/>
            </w:tcBorders>
            <w:vAlign w:val="center"/>
          </w:tcPr>
          <w:p w14:paraId="57306625" w14:textId="3717A0E1" w:rsidR="005A33D4" w:rsidRPr="00BA32CC" w:rsidRDefault="005A33D4" w:rsidP="004B4F82">
            <w:pPr>
              <w:pStyle w:val="Tabletext"/>
              <w:jc w:val="center"/>
              <w:rPr>
                <w:sz w:val="16"/>
                <w:szCs w:val="16"/>
              </w:rPr>
            </w:pPr>
            <w:r w:rsidRPr="00BA32CC">
              <w:rPr>
                <w:sz w:val="16"/>
                <w:szCs w:val="16"/>
              </w:rPr>
              <w:t>150</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14:paraId="76CB7261" w14:textId="7C2163B8" w:rsidR="005A33D4" w:rsidRDefault="005A33D4" w:rsidP="004B4F82">
            <w:pPr>
              <w:pStyle w:val="Tabletext"/>
              <w:jc w:val="center"/>
              <w:rPr>
                <w:sz w:val="16"/>
                <w:szCs w:val="16"/>
              </w:rPr>
            </w:pPr>
            <w:r w:rsidRPr="00BA32CC">
              <w:rPr>
                <w:sz w:val="16"/>
                <w:szCs w:val="16"/>
              </w:rPr>
              <w:t>Product of the number of frequency assignments, number of classes of station and the number of emissions, summed up for all frequency assignment groups</w:t>
            </w:r>
          </w:p>
          <w:p w14:paraId="75EFE461" w14:textId="566E24EC" w:rsidR="005A33D4" w:rsidRPr="00BA32CC" w:rsidRDefault="005A33D4" w:rsidP="00616DC5">
            <w:pPr>
              <w:pStyle w:val="Tabletext"/>
              <w:jc w:val="center"/>
              <w:rPr>
                <w:sz w:val="16"/>
                <w:szCs w:val="16"/>
              </w:rPr>
            </w:pPr>
          </w:p>
        </w:tc>
      </w:tr>
      <w:tr w:rsidR="005A33D4" w:rsidRPr="007E04E8" w14:paraId="6AFE03B2" w14:textId="77777777" w:rsidTr="00076856">
        <w:trPr>
          <w:cantSplit/>
          <w:jc w:val="center"/>
        </w:trPr>
        <w:tc>
          <w:tcPr>
            <w:tcW w:w="471" w:type="dxa"/>
            <w:vMerge/>
            <w:tcBorders>
              <w:top w:val="single" w:sz="4" w:space="0" w:color="000000"/>
              <w:left w:val="single" w:sz="4" w:space="0" w:color="000000"/>
              <w:bottom w:val="single" w:sz="4" w:space="0" w:color="000000"/>
            </w:tcBorders>
            <w:vAlign w:val="center"/>
          </w:tcPr>
          <w:p w14:paraId="5700B963" w14:textId="77777777" w:rsidR="005A33D4" w:rsidRPr="00BA32CC" w:rsidRDefault="005A33D4" w:rsidP="004B4F82">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
          <w:p w14:paraId="51D4FFB4" w14:textId="77777777" w:rsidR="005A33D4" w:rsidRPr="00BA32CC" w:rsidRDefault="005A33D4" w:rsidP="004B4F82">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3627614" w14:textId="77777777" w:rsidR="005A33D4" w:rsidRPr="00BA32CC" w:rsidRDefault="005A33D4" w:rsidP="004B4F82">
            <w:pPr>
              <w:pStyle w:val="Tabletext"/>
              <w:rPr>
                <w:sz w:val="16"/>
                <w:szCs w:val="16"/>
              </w:rPr>
            </w:pPr>
            <w:r w:rsidRPr="00BA32CC">
              <w:rPr>
                <w:sz w:val="16"/>
                <w:szCs w:val="16"/>
              </w:rPr>
              <w:t>C2*</w:t>
            </w:r>
          </w:p>
        </w:tc>
        <w:tc>
          <w:tcPr>
            <w:tcW w:w="8579" w:type="dxa"/>
            <w:vMerge/>
            <w:tcBorders>
              <w:top w:val="single" w:sz="4" w:space="0" w:color="000000"/>
              <w:left w:val="single" w:sz="4" w:space="0" w:color="000000"/>
              <w:bottom w:val="single" w:sz="4" w:space="0" w:color="000000"/>
            </w:tcBorders>
            <w:vAlign w:val="center"/>
          </w:tcPr>
          <w:p w14:paraId="2358C75E" w14:textId="77777777" w:rsidR="005A33D4" w:rsidRPr="00BA32CC" w:rsidRDefault="005A33D4" w:rsidP="004B4F82">
            <w:pPr>
              <w:pStyle w:val="Tabletext"/>
              <w:rPr>
                <w:sz w:val="16"/>
                <w:szCs w:val="16"/>
              </w:rPr>
            </w:pPr>
          </w:p>
        </w:tc>
        <w:tc>
          <w:tcPr>
            <w:tcW w:w="1079" w:type="dxa"/>
            <w:tcBorders>
              <w:top w:val="single" w:sz="4" w:space="0" w:color="000000"/>
              <w:left w:val="single" w:sz="4" w:space="0" w:color="000000"/>
              <w:bottom w:val="single" w:sz="4" w:space="0" w:color="000000"/>
            </w:tcBorders>
            <w:vAlign w:val="center"/>
          </w:tcPr>
          <w:p w14:paraId="1FE51C6B" w14:textId="77777777" w:rsidR="005A33D4" w:rsidRPr="00BA32CC" w:rsidRDefault="005A33D4" w:rsidP="004B4F82">
            <w:pPr>
              <w:pStyle w:val="Tabletext"/>
              <w:jc w:val="center"/>
              <w:rPr>
                <w:sz w:val="16"/>
                <w:szCs w:val="16"/>
              </w:rPr>
            </w:pPr>
            <w:r w:rsidRPr="00BA32CC">
              <w:rPr>
                <w:sz w:val="16"/>
                <w:szCs w:val="16"/>
              </w:rPr>
              <w:t>24 620</w:t>
            </w:r>
          </w:p>
        </w:tc>
        <w:tc>
          <w:tcPr>
            <w:tcW w:w="993" w:type="dxa"/>
            <w:tcBorders>
              <w:top w:val="single" w:sz="4" w:space="0" w:color="000000"/>
              <w:left w:val="single" w:sz="4" w:space="0" w:color="000000"/>
              <w:bottom w:val="single" w:sz="4" w:space="0" w:color="000000"/>
            </w:tcBorders>
            <w:vAlign w:val="center"/>
          </w:tcPr>
          <w:p w14:paraId="33800259" w14:textId="77777777" w:rsidR="005A33D4" w:rsidRPr="00BA32CC" w:rsidRDefault="005A33D4" w:rsidP="004B4F82">
            <w:pPr>
              <w:pStyle w:val="Tabletext"/>
              <w:jc w:val="center"/>
              <w:rPr>
                <w:sz w:val="16"/>
                <w:szCs w:val="16"/>
              </w:rPr>
            </w:pPr>
            <w:r w:rsidRPr="00BA32CC">
              <w:rPr>
                <w:sz w:val="16"/>
                <w:szCs w:val="16"/>
              </w:rPr>
              <w:t>9 620</w:t>
            </w:r>
          </w:p>
        </w:tc>
        <w:tc>
          <w:tcPr>
            <w:tcW w:w="994" w:type="dxa"/>
            <w:vMerge/>
            <w:tcBorders>
              <w:left w:val="single" w:sz="4" w:space="0" w:color="000000"/>
            </w:tcBorders>
            <w:vAlign w:val="center"/>
          </w:tcPr>
          <w:p w14:paraId="50E6E321" w14:textId="77777777" w:rsidR="005A33D4" w:rsidRPr="00BA32CC" w:rsidRDefault="005A33D4"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4A437D0" w14:textId="77777777" w:rsidR="005A33D4" w:rsidRPr="00BA32CC" w:rsidRDefault="005A33D4" w:rsidP="004B4F82">
            <w:pPr>
              <w:pStyle w:val="Tabletext"/>
              <w:jc w:val="center"/>
              <w:rPr>
                <w:sz w:val="16"/>
                <w:szCs w:val="16"/>
              </w:rPr>
            </w:pPr>
          </w:p>
        </w:tc>
      </w:tr>
      <w:tr w:rsidR="005A33D4" w:rsidRPr="007E04E8" w14:paraId="3CFAED7A" w14:textId="77777777" w:rsidTr="00076856">
        <w:trPr>
          <w:cantSplit/>
          <w:jc w:val="center"/>
        </w:trPr>
        <w:tc>
          <w:tcPr>
            <w:tcW w:w="471" w:type="dxa"/>
            <w:vMerge/>
            <w:tcBorders>
              <w:top w:val="single" w:sz="4" w:space="0" w:color="000000"/>
              <w:left w:val="single" w:sz="4" w:space="0" w:color="000000"/>
              <w:bottom w:val="single" w:sz="4" w:space="0" w:color="000000"/>
            </w:tcBorders>
            <w:vAlign w:val="center"/>
          </w:tcPr>
          <w:p w14:paraId="2DE0BB67" w14:textId="77777777" w:rsidR="005A33D4" w:rsidRPr="00BA32CC" w:rsidRDefault="005A33D4" w:rsidP="004B4F82">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
          <w:p w14:paraId="21821C16" w14:textId="77777777" w:rsidR="005A33D4" w:rsidRPr="00BA32CC" w:rsidRDefault="005A33D4" w:rsidP="004B4F82">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177C3E47" w14:textId="77777777" w:rsidR="005A33D4" w:rsidRPr="00BA32CC" w:rsidRDefault="005A33D4" w:rsidP="004B4F82">
            <w:pPr>
              <w:pStyle w:val="Tabletext"/>
              <w:rPr>
                <w:sz w:val="16"/>
                <w:szCs w:val="16"/>
              </w:rPr>
            </w:pPr>
            <w:r w:rsidRPr="00BA32CC">
              <w:rPr>
                <w:sz w:val="16"/>
                <w:szCs w:val="16"/>
              </w:rPr>
              <w:t>C3*</w:t>
            </w:r>
          </w:p>
        </w:tc>
        <w:tc>
          <w:tcPr>
            <w:tcW w:w="8579" w:type="dxa"/>
            <w:vMerge/>
            <w:tcBorders>
              <w:top w:val="single" w:sz="4" w:space="0" w:color="000000"/>
              <w:left w:val="single" w:sz="4" w:space="0" w:color="000000"/>
              <w:bottom w:val="single" w:sz="4" w:space="0" w:color="000000"/>
            </w:tcBorders>
            <w:vAlign w:val="center"/>
          </w:tcPr>
          <w:p w14:paraId="146DEBCF" w14:textId="77777777" w:rsidR="005A33D4" w:rsidRPr="00BA32CC" w:rsidRDefault="005A33D4" w:rsidP="004B4F82">
            <w:pPr>
              <w:pStyle w:val="Tabletext"/>
              <w:rPr>
                <w:sz w:val="16"/>
                <w:szCs w:val="16"/>
              </w:rPr>
            </w:pPr>
          </w:p>
        </w:tc>
        <w:tc>
          <w:tcPr>
            <w:tcW w:w="1079" w:type="dxa"/>
            <w:tcBorders>
              <w:top w:val="single" w:sz="4" w:space="0" w:color="000000"/>
              <w:left w:val="single" w:sz="4" w:space="0" w:color="000000"/>
              <w:bottom w:val="single" w:sz="4" w:space="0" w:color="000000"/>
            </w:tcBorders>
            <w:vAlign w:val="center"/>
          </w:tcPr>
          <w:p w14:paraId="57FC18A6" w14:textId="77777777" w:rsidR="005A33D4" w:rsidRPr="00BA32CC" w:rsidRDefault="005A33D4" w:rsidP="004B4F82">
            <w:pPr>
              <w:pStyle w:val="Tabletext"/>
              <w:jc w:val="center"/>
              <w:rPr>
                <w:sz w:val="16"/>
                <w:szCs w:val="16"/>
              </w:rPr>
            </w:pPr>
            <w:r w:rsidRPr="00BA32CC">
              <w:rPr>
                <w:sz w:val="16"/>
                <w:szCs w:val="16"/>
              </w:rPr>
              <w:t>33 467</w:t>
            </w:r>
          </w:p>
        </w:tc>
        <w:tc>
          <w:tcPr>
            <w:tcW w:w="993" w:type="dxa"/>
            <w:tcBorders>
              <w:top w:val="single" w:sz="4" w:space="0" w:color="000000"/>
              <w:left w:val="single" w:sz="4" w:space="0" w:color="000000"/>
              <w:bottom w:val="single" w:sz="4" w:space="0" w:color="000000"/>
            </w:tcBorders>
            <w:vAlign w:val="center"/>
          </w:tcPr>
          <w:p w14:paraId="7D4A77D6" w14:textId="77777777" w:rsidR="005A33D4" w:rsidRPr="00BA32CC" w:rsidRDefault="005A33D4" w:rsidP="004B4F82">
            <w:pPr>
              <w:pStyle w:val="Tabletext"/>
              <w:jc w:val="center"/>
              <w:rPr>
                <w:sz w:val="16"/>
                <w:szCs w:val="16"/>
              </w:rPr>
            </w:pPr>
            <w:r w:rsidRPr="00BA32CC">
              <w:rPr>
                <w:sz w:val="16"/>
                <w:szCs w:val="16"/>
              </w:rPr>
              <w:t>18 467</w:t>
            </w:r>
          </w:p>
        </w:tc>
        <w:tc>
          <w:tcPr>
            <w:tcW w:w="994" w:type="dxa"/>
            <w:vMerge/>
            <w:tcBorders>
              <w:left w:val="single" w:sz="4" w:space="0" w:color="000000"/>
              <w:bottom w:val="single" w:sz="4" w:space="0" w:color="000000"/>
            </w:tcBorders>
            <w:vAlign w:val="center"/>
          </w:tcPr>
          <w:p w14:paraId="2CE43D49" w14:textId="77777777" w:rsidR="005A33D4" w:rsidRPr="00BA32CC" w:rsidRDefault="005A33D4"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B0FECC4" w14:textId="77777777" w:rsidR="005A33D4" w:rsidRPr="00BA32CC" w:rsidRDefault="005A33D4" w:rsidP="004B4F82">
            <w:pPr>
              <w:pStyle w:val="Tabletext"/>
              <w:jc w:val="center"/>
              <w:rPr>
                <w:sz w:val="16"/>
                <w:szCs w:val="16"/>
              </w:rPr>
            </w:pPr>
          </w:p>
        </w:tc>
      </w:tr>
      <w:tr w:rsidR="00137F85" w:rsidRPr="007E04E8" w14:paraId="4CF4B793" w14:textId="77777777" w:rsidTr="00076856">
        <w:trPr>
          <w:cantSplit/>
          <w:jc w:val="center"/>
        </w:trPr>
        <w:tc>
          <w:tcPr>
            <w:tcW w:w="471" w:type="dxa"/>
            <w:vMerge w:val="restart"/>
            <w:tcBorders>
              <w:top w:val="single" w:sz="4" w:space="0" w:color="000000"/>
              <w:left w:val="single" w:sz="4" w:space="0" w:color="000000"/>
            </w:tcBorders>
            <w:vAlign w:val="center"/>
          </w:tcPr>
          <w:p w14:paraId="017525BC" w14:textId="77777777" w:rsidR="00137F85" w:rsidRPr="00BA32CC" w:rsidRDefault="00137F85" w:rsidP="004B4F82">
            <w:pPr>
              <w:pStyle w:val="Tabletext"/>
              <w:rPr>
                <w:sz w:val="16"/>
                <w:szCs w:val="16"/>
              </w:rPr>
            </w:pPr>
            <w:r w:rsidRPr="00BA32CC">
              <w:rPr>
                <w:sz w:val="16"/>
                <w:szCs w:val="16"/>
              </w:rPr>
              <w:t>3</w:t>
            </w:r>
          </w:p>
        </w:tc>
        <w:tc>
          <w:tcPr>
            <w:tcW w:w="1088" w:type="dxa"/>
            <w:vMerge w:val="restart"/>
            <w:tcBorders>
              <w:top w:val="single" w:sz="4" w:space="0" w:color="000000"/>
              <w:left w:val="single" w:sz="4" w:space="0" w:color="000000"/>
            </w:tcBorders>
            <w:vAlign w:val="center"/>
          </w:tcPr>
          <w:p w14:paraId="06354A8F" w14:textId="74667250" w:rsidR="00137F85" w:rsidRPr="00BA32CC" w:rsidRDefault="00137F85" w:rsidP="004B4F82">
            <w:pPr>
              <w:pStyle w:val="Tabletext"/>
              <w:rPr>
                <w:sz w:val="16"/>
                <w:szCs w:val="16"/>
                <w:vertAlign w:val="superscript"/>
              </w:rPr>
            </w:pPr>
            <w:r w:rsidRPr="00BA32CC">
              <w:rPr>
                <w:sz w:val="16"/>
                <w:szCs w:val="16"/>
              </w:rPr>
              <w:t>Notification (N)</w:t>
            </w:r>
            <w:r w:rsidRPr="00BA32CC">
              <w:rPr>
                <w:sz w:val="16"/>
                <w:szCs w:val="16"/>
                <w:vertAlign w:val="superscript"/>
              </w:rPr>
              <w:t>a)</w:t>
            </w:r>
            <w:r>
              <w:rPr>
                <w:sz w:val="16"/>
                <w:szCs w:val="16"/>
                <w:vertAlign w:val="superscript"/>
              </w:rPr>
              <w:t xml:space="preserve">, </w:t>
            </w:r>
            <w:r w:rsidRPr="000B5AB0">
              <w:rPr>
                <w:sz w:val="16"/>
                <w:szCs w:val="16"/>
                <w:vertAlign w:val="superscript"/>
              </w:rPr>
              <w:t>f)</w:t>
            </w:r>
          </w:p>
        </w:tc>
        <w:tc>
          <w:tcPr>
            <w:tcW w:w="683" w:type="dxa"/>
            <w:vMerge w:val="restart"/>
            <w:tcBorders>
              <w:top w:val="single" w:sz="4" w:space="0" w:color="000000"/>
              <w:left w:val="single" w:sz="4" w:space="0" w:color="000000"/>
              <w:bottom w:val="single" w:sz="4" w:space="0" w:color="000000"/>
            </w:tcBorders>
            <w:vAlign w:val="center"/>
          </w:tcPr>
          <w:p w14:paraId="4579F856" w14:textId="77777777" w:rsidR="00137F85" w:rsidRPr="00BA32CC" w:rsidRDefault="00137F85" w:rsidP="004B4F82">
            <w:pPr>
              <w:pStyle w:val="Tabletext"/>
              <w:rPr>
                <w:sz w:val="16"/>
                <w:szCs w:val="16"/>
              </w:rPr>
            </w:pPr>
            <w:r w:rsidRPr="00BA32CC">
              <w:rPr>
                <w:sz w:val="16"/>
                <w:szCs w:val="16"/>
              </w:rPr>
              <w:t>N1*</w:t>
            </w:r>
            <w:r w:rsidRPr="00BA32CC">
              <w:rPr>
                <w:sz w:val="16"/>
                <w:szCs w:val="16"/>
                <w:vertAlign w:val="superscript"/>
              </w:rPr>
              <w:t>d)</w:t>
            </w:r>
          </w:p>
        </w:tc>
        <w:tc>
          <w:tcPr>
            <w:tcW w:w="8579" w:type="dxa"/>
            <w:vMerge w:val="restart"/>
            <w:tcBorders>
              <w:top w:val="single" w:sz="4" w:space="0" w:color="000000"/>
              <w:left w:val="single" w:sz="4" w:space="0" w:color="000000"/>
              <w:bottom w:val="single" w:sz="4" w:space="0" w:color="000000"/>
            </w:tcBorders>
            <w:vAlign w:val="center"/>
          </w:tcPr>
          <w:p w14:paraId="7338DCE7" w14:textId="77777777" w:rsidR="00137F85" w:rsidRDefault="00137F85" w:rsidP="004B4F82">
            <w:pPr>
              <w:pStyle w:val="Tabletext"/>
              <w:rPr>
                <w:sz w:val="16"/>
                <w:szCs w:val="16"/>
              </w:rPr>
            </w:pPr>
            <w:r w:rsidRPr="00913C03">
              <w:rPr>
                <w:sz w:val="16"/>
                <w:szCs w:val="16"/>
              </w:rPr>
              <w:t xml:space="preserve">Notification for recording in the MIFR of frequency assignments to a satellite network subject to coordination under Section II of Article </w:t>
            </w:r>
            <w:r w:rsidRPr="00913C03">
              <w:rPr>
                <w:b/>
                <w:bCs/>
                <w:sz w:val="16"/>
                <w:szCs w:val="16"/>
              </w:rPr>
              <w:t>9</w:t>
            </w:r>
            <w:r w:rsidRPr="00913C03">
              <w:rPr>
                <w:sz w:val="16"/>
                <w:szCs w:val="16"/>
              </w:rPr>
              <w:t xml:space="preserve"> (</w:t>
            </w:r>
            <w:proofErr w:type="gramStart"/>
            <w:r w:rsidRPr="000B5AB0">
              <w:rPr>
                <w:sz w:val="16"/>
                <w:szCs w:val="16"/>
              </w:rPr>
              <w:t>with the exception of</w:t>
            </w:r>
            <w:proofErr w:type="gramEnd"/>
            <w:r w:rsidRPr="000B5AB0">
              <w:rPr>
                <w:sz w:val="16"/>
                <w:szCs w:val="16"/>
              </w:rPr>
              <w:t xml:space="preserve"> non-geostationary-satellite network subject to No. </w:t>
            </w:r>
            <w:r w:rsidRPr="000B5AB0">
              <w:rPr>
                <w:b/>
                <w:bCs/>
                <w:sz w:val="16"/>
                <w:szCs w:val="16"/>
              </w:rPr>
              <w:t>9.21</w:t>
            </w:r>
            <w:r w:rsidRPr="000B5AB0">
              <w:rPr>
                <w:sz w:val="16"/>
                <w:szCs w:val="16"/>
              </w:rPr>
              <w:t xml:space="preserve"> only)</w:t>
            </w:r>
            <w:r w:rsidRPr="00913C03">
              <w:rPr>
                <w:sz w:val="16"/>
                <w:szCs w:val="16"/>
              </w:rPr>
              <w:t>.</w:t>
            </w:r>
          </w:p>
          <w:p w14:paraId="27EFE27C" w14:textId="77777777" w:rsidR="00137F85" w:rsidRDefault="00137F85" w:rsidP="004B4F82">
            <w:pPr>
              <w:pStyle w:val="Tabletext"/>
              <w:rPr>
                <w:sz w:val="16"/>
                <w:szCs w:val="16"/>
              </w:rPr>
            </w:pPr>
            <w:r w:rsidRPr="00BA32CC">
              <w:rPr>
                <w:sz w:val="16"/>
                <w:szCs w:val="16"/>
              </w:rPr>
              <w:t xml:space="preserve">Note: Notification also includes the application of Resolutions </w:t>
            </w:r>
            <w:r w:rsidRPr="00C40528">
              <w:rPr>
                <w:b/>
                <w:bCs/>
                <w:sz w:val="16"/>
                <w:szCs w:val="16"/>
              </w:rPr>
              <w:t>4</w:t>
            </w:r>
            <w:r w:rsidRPr="00BA32CC">
              <w:rPr>
                <w:sz w:val="16"/>
                <w:szCs w:val="16"/>
              </w:rPr>
              <w:t xml:space="preserve"> and </w:t>
            </w:r>
            <w:r w:rsidRPr="00C40528">
              <w:rPr>
                <w:b/>
                <w:bCs/>
                <w:sz w:val="16"/>
                <w:szCs w:val="16"/>
              </w:rPr>
              <w:t>49</w:t>
            </w:r>
            <w:r w:rsidRPr="00BA32CC">
              <w:rPr>
                <w:sz w:val="16"/>
                <w:szCs w:val="16"/>
              </w:rPr>
              <w:t xml:space="preserve">, Nos. </w:t>
            </w:r>
            <w:r w:rsidRPr="00C40528">
              <w:rPr>
                <w:b/>
                <w:bCs/>
                <w:sz w:val="16"/>
                <w:szCs w:val="16"/>
              </w:rPr>
              <w:t>11.32A</w:t>
            </w:r>
            <w:r w:rsidRPr="00BA32CC">
              <w:rPr>
                <w:sz w:val="16"/>
                <w:szCs w:val="16"/>
              </w:rPr>
              <w:t xml:space="preserve"> (see footnote </w:t>
            </w:r>
            <w:r w:rsidRPr="00CB287F">
              <w:rPr>
                <w:i/>
                <w:iCs/>
                <w:sz w:val="16"/>
                <w:szCs w:val="16"/>
              </w:rPr>
              <w:t>a)</w:t>
            </w:r>
            <w:r>
              <w:rPr>
                <w:sz w:val="16"/>
                <w:szCs w:val="16"/>
              </w:rPr>
              <w:t>)</w:t>
            </w:r>
            <w:r w:rsidRPr="00BA32CC">
              <w:rPr>
                <w:sz w:val="16"/>
                <w:szCs w:val="16"/>
              </w:rPr>
              <w:t xml:space="preserve">, </w:t>
            </w:r>
            <w:r w:rsidRPr="00C40528">
              <w:rPr>
                <w:b/>
                <w:bCs/>
                <w:sz w:val="16"/>
                <w:szCs w:val="16"/>
              </w:rPr>
              <w:t>11.41</w:t>
            </w:r>
            <w:r w:rsidRPr="00BA32CC">
              <w:rPr>
                <w:sz w:val="16"/>
                <w:szCs w:val="16"/>
              </w:rPr>
              <w:t xml:space="preserve">, </w:t>
            </w:r>
            <w:r w:rsidRPr="00C40528">
              <w:rPr>
                <w:b/>
                <w:bCs/>
                <w:sz w:val="16"/>
                <w:szCs w:val="16"/>
              </w:rPr>
              <w:t>11.47</w:t>
            </w:r>
            <w:r w:rsidRPr="00BA32CC">
              <w:rPr>
                <w:sz w:val="16"/>
                <w:szCs w:val="16"/>
              </w:rPr>
              <w:t xml:space="preserve">, </w:t>
            </w:r>
            <w:r w:rsidRPr="00C40528">
              <w:rPr>
                <w:b/>
                <w:bCs/>
                <w:sz w:val="16"/>
                <w:szCs w:val="16"/>
              </w:rPr>
              <w:t>11.49</w:t>
            </w:r>
            <w:r w:rsidRPr="00BA32CC">
              <w:rPr>
                <w:sz w:val="16"/>
                <w:szCs w:val="16"/>
              </w:rPr>
              <w:t>, Sub</w:t>
            </w:r>
            <w:r w:rsidRPr="00BA32CC">
              <w:rPr>
                <w:sz w:val="16"/>
                <w:szCs w:val="16"/>
              </w:rPr>
              <w:noBreakHyphen/>
              <w:t xml:space="preserve">section IID of Article </w:t>
            </w:r>
            <w:r w:rsidRPr="00C40528">
              <w:rPr>
                <w:b/>
                <w:bCs/>
                <w:sz w:val="16"/>
                <w:szCs w:val="16"/>
              </w:rPr>
              <w:t>9</w:t>
            </w:r>
            <w:r w:rsidRPr="00C40528">
              <w:rPr>
                <w:sz w:val="16"/>
                <w:szCs w:val="16"/>
              </w:rPr>
              <w:t>,</w:t>
            </w:r>
            <w:r w:rsidRPr="00BA32CC">
              <w:rPr>
                <w:sz w:val="16"/>
                <w:szCs w:val="16"/>
              </w:rPr>
              <w:t xml:space="preserve"> Sections 1 and 2 of Article </w:t>
            </w:r>
            <w:r w:rsidRPr="00C40528">
              <w:rPr>
                <w:b/>
                <w:bCs/>
                <w:sz w:val="16"/>
                <w:szCs w:val="16"/>
              </w:rPr>
              <w:t>13</w:t>
            </w:r>
            <w:r w:rsidRPr="00BA32CC">
              <w:rPr>
                <w:sz w:val="16"/>
                <w:szCs w:val="16"/>
              </w:rPr>
              <w:t xml:space="preserve">, Article </w:t>
            </w:r>
            <w:r w:rsidRPr="00C40528">
              <w:rPr>
                <w:b/>
                <w:bCs/>
                <w:sz w:val="16"/>
                <w:szCs w:val="16"/>
              </w:rPr>
              <w:t>14</w:t>
            </w:r>
            <w:r w:rsidRPr="00BA32CC">
              <w:rPr>
                <w:sz w:val="16"/>
                <w:szCs w:val="16"/>
              </w:rPr>
              <w:t xml:space="preserve"> and will not be separately charged. </w:t>
            </w:r>
          </w:p>
          <w:p w14:paraId="6147AAE6" w14:textId="6B7D4221" w:rsidR="00137F85" w:rsidRDefault="00137F85" w:rsidP="00271C4A">
            <w:pPr>
              <w:pStyle w:val="Tabletext"/>
              <w:rPr>
                <w:sz w:val="16"/>
                <w:szCs w:val="16"/>
              </w:rPr>
            </w:pPr>
          </w:p>
          <w:p w14:paraId="21E872D8" w14:textId="77777777" w:rsidR="001E74E4" w:rsidRDefault="001E74E4" w:rsidP="001E74E4">
            <w:pPr>
              <w:pStyle w:val="Tabletext"/>
              <w:rPr>
                <w:sz w:val="16"/>
                <w:szCs w:val="16"/>
              </w:rPr>
            </w:pPr>
            <w:r>
              <w:rPr>
                <w:sz w:val="16"/>
                <w:szCs w:val="16"/>
              </w:rPr>
              <w:t>*During the discussion in 3</w:t>
            </w:r>
            <w:r w:rsidRPr="004F578C">
              <w:rPr>
                <w:sz w:val="16"/>
                <w:szCs w:val="16"/>
                <w:vertAlign w:val="superscript"/>
              </w:rPr>
              <w:t>rd</w:t>
            </w:r>
            <w:r>
              <w:rPr>
                <w:sz w:val="16"/>
                <w:szCs w:val="16"/>
              </w:rPr>
              <w:t xml:space="preserve"> EG Dec 482 meeting, the following clarification were sought:</w:t>
            </w:r>
          </w:p>
          <w:p w14:paraId="6D8A8396" w14:textId="77777777" w:rsidR="001E74E4" w:rsidRDefault="001E74E4" w:rsidP="001E74E4">
            <w:pPr>
              <w:pStyle w:val="Tabletext"/>
              <w:numPr>
                <w:ilvl w:val="0"/>
                <w:numId w:val="6"/>
              </w:numPr>
              <w:rPr>
                <w:sz w:val="16"/>
                <w:szCs w:val="16"/>
              </w:rPr>
            </w:pPr>
            <w:r>
              <w:rPr>
                <w:sz w:val="16"/>
                <w:szCs w:val="16"/>
              </w:rPr>
              <w:t>For categories N1</w:t>
            </w:r>
          </w:p>
          <w:p w14:paraId="71177E8A" w14:textId="77777777" w:rsidR="001E74E4" w:rsidRDefault="001E74E4" w:rsidP="001E74E4">
            <w:pPr>
              <w:pStyle w:val="Tabletext"/>
              <w:ind w:left="360"/>
              <w:rPr>
                <w:bCs/>
                <w:sz w:val="16"/>
                <w:szCs w:val="16"/>
              </w:rPr>
            </w:pPr>
            <w:r>
              <w:rPr>
                <w:sz w:val="16"/>
                <w:szCs w:val="16"/>
              </w:rPr>
              <w:lastRenderedPageBreak/>
              <w:t xml:space="preserve">If an administration </w:t>
            </w:r>
            <w:proofErr w:type="gramStart"/>
            <w:r>
              <w:rPr>
                <w:sz w:val="16"/>
                <w:szCs w:val="16"/>
              </w:rPr>
              <w:t>submit</w:t>
            </w:r>
            <w:proofErr w:type="gramEnd"/>
            <w:r>
              <w:rPr>
                <w:sz w:val="16"/>
                <w:szCs w:val="16"/>
              </w:rPr>
              <w:t xml:space="preserve"> a </w:t>
            </w:r>
            <w:r w:rsidRPr="00913C03">
              <w:rPr>
                <w:sz w:val="16"/>
                <w:szCs w:val="16"/>
              </w:rPr>
              <w:t xml:space="preserve">Notification for recording in the MIFR of frequency assignments to a satellite network subject to coordination under Section II of Article </w:t>
            </w:r>
            <w:r w:rsidRPr="00913C03">
              <w:rPr>
                <w:b/>
                <w:bCs/>
                <w:sz w:val="16"/>
                <w:szCs w:val="16"/>
              </w:rPr>
              <w:t>9</w:t>
            </w:r>
            <w:r>
              <w:rPr>
                <w:b/>
                <w:bCs/>
                <w:sz w:val="16"/>
                <w:szCs w:val="16"/>
              </w:rPr>
              <w:t xml:space="preserve"> </w:t>
            </w:r>
            <w:r w:rsidRPr="000E421F">
              <w:rPr>
                <w:bCs/>
                <w:sz w:val="16"/>
                <w:szCs w:val="16"/>
              </w:rPr>
              <w:t xml:space="preserve">together with </w:t>
            </w:r>
            <w:r>
              <w:rPr>
                <w:bCs/>
                <w:sz w:val="16"/>
                <w:szCs w:val="16"/>
              </w:rPr>
              <w:t>No.</w:t>
            </w:r>
            <w:r w:rsidRPr="000E421F">
              <w:rPr>
                <w:b/>
                <w:bCs/>
                <w:sz w:val="16"/>
                <w:szCs w:val="16"/>
              </w:rPr>
              <w:t xml:space="preserve"> 9.21</w:t>
            </w:r>
            <w:r>
              <w:rPr>
                <w:bCs/>
                <w:sz w:val="16"/>
                <w:szCs w:val="16"/>
              </w:rPr>
              <w:t xml:space="preserve">, should that administration pay the amount this column with or without application of </w:t>
            </w:r>
            <w:r w:rsidRPr="000E421F">
              <w:rPr>
                <w:b/>
                <w:bCs/>
                <w:sz w:val="16"/>
                <w:szCs w:val="16"/>
              </w:rPr>
              <w:t>No. 9.21</w:t>
            </w:r>
            <w:r>
              <w:rPr>
                <w:bCs/>
                <w:sz w:val="16"/>
                <w:szCs w:val="16"/>
              </w:rPr>
              <w:t>.</w:t>
            </w:r>
          </w:p>
          <w:p w14:paraId="2D5E6294" w14:textId="77777777" w:rsidR="001E74E4" w:rsidRPr="000E421F" w:rsidRDefault="001E74E4" w:rsidP="001E74E4">
            <w:pPr>
              <w:pStyle w:val="Tabletext"/>
              <w:numPr>
                <w:ilvl w:val="0"/>
                <w:numId w:val="6"/>
              </w:numPr>
              <w:rPr>
                <w:bCs/>
                <w:sz w:val="16"/>
                <w:szCs w:val="16"/>
                <w:lang w:eastAsia="zh-CN"/>
              </w:rPr>
            </w:pPr>
            <w:r>
              <w:rPr>
                <w:bCs/>
                <w:sz w:val="16"/>
                <w:szCs w:val="16"/>
                <w:lang w:eastAsia="zh-CN"/>
              </w:rPr>
              <w:t xml:space="preserve">For </w:t>
            </w:r>
            <w:r>
              <w:rPr>
                <w:sz w:val="16"/>
                <w:szCs w:val="16"/>
              </w:rPr>
              <w:t>categories N2</w:t>
            </w:r>
          </w:p>
          <w:p w14:paraId="18F897B8" w14:textId="77777777" w:rsidR="001E74E4" w:rsidRDefault="001E74E4" w:rsidP="001E74E4">
            <w:pPr>
              <w:pStyle w:val="Tabletext"/>
              <w:ind w:left="360"/>
              <w:rPr>
                <w:bCs/>
                <w:sz w:val="16"/>
                <w:szCs w:val="16"/>
              </w:rPr>
            </w:pPr>
            <w:r>
              <w:rPr>
                <w:sz w:val="16"/>
                <w:szCs w:val="16"/>
              </w:rPr>
              <w:t xml:space="preserve">If an administration submit a </w:t>
            </w:r>
            <w:r w:rsidRPr="00913C03">
              <w:rPr>
                <w:sz w:val="16"/>
                <w:szCs w:val="16"/>
              </w:rPr>
              <w:t>Notification</w:t>
            </w:r>
            <w:r>
              <w:rPr>
                <w:sz w:val="16"/>
                <w:szCs w:val="16"/>
              </w:rPr>
              <w:t xml:space="preserve"> </w:t>
            </w:r>
            <w:r w:rsidRPr="00913C03">
              <w:rPr>
                <w:sz w:val="16"/>
                <w:szCs w:val="16"/>
              </w:rPr>
              <w:t xml:space="preserve">for recording in the MIFR of frequency assignments to a satellite network subject to coordination under Section II of Article </w:t>
            </w:r>
            <w:r w:rsidRPr="00913C03">
              <w:rPr>
                <w:b/>
                <w:bCs/>
                <w:sz w:val="16"/>
                <w:szCs w:val="16"/>
              </w:rPr>
              <w:t>9</w:t>
            </w:r>
            <w:r>
              <w:rPr>
                <w:b/>
                <w:bCs/>
                <w:sz w:val="16"/>
                <w:szCs w:val="16"/>
              </w:rPr>
              <w:t xml:space="preserve"> </w:t>
            </w:r>
            <w:r w:rsidRPr="00905933">
              <w:rPr>
                <w:bCs/>
                <w:sz w:val="16"/>
                <w:szCs w:val="16"/>
              </w:rPr>
              <w:t xml:space="preserve">together with </w:t>
            </w:r>
            <w:r>
              <w:rPr>
                <w:bCs/>
                <w:sz w:val="16"/>
                <w:szCs w:val="16"/>
              </w:rPr>
              <w:t>No.</w:t>
            </w:r>
            <w:r w:rsidRPr="00905933">
              <w:rPr>
                <w:b/>
                <w:bCs/>
                <w:sz w:val="16"/>
                <w:szCs w:val="16"/>
              </w:rPr>
              <w:t xml:space="preserve"> 9.21</w:t>
            </w:r>
            <w:r>
              <w:rPr>
                <w:b/>
                <w:bCs/>
                <w:sz w:val="16"/>
                <w:szCs w:val="16"/>
              </w:rPr>
              <w:t xml:space="preserve">, </w:t>
            </w:r>
            <w:r>
              <w:rPr>
                <w:sz w:val="16"/>
                <w:szCs w:val="16"/>
              </w:rPr>
              <w:t xml:space="preserve">which does not involve </w:t>
            </w:r>
            <w:r w:rsidRPr="00BA32CC">
              <w:rPr>
                <w:sz w:val="16"/>
                <w:szCs w:val="16"/>
              </w:rPr>
              <w:t xml:space="preserve">the application of Resolutions </w:t>
            </w:r>
            <w:r w:rsidRPr="00C40528">
              <w:rPr>
                <w:b/>
                <w:bCs/>
                <w:sz w:val="16"/>
                <w:szCs w:val="16"/>
              </w:rPr>
              <w:t>4</w:t>
            </w:r>
            <w:r w:rsidRPr="00BA32CC">
              <w:rPr>
                <w:sz w:val="16"/>
                <w:szCs w:val="16"/>
              </w:rPr>
              <w:t xml:space="preserve"> and </w:t>
            </w:r>
            <w:r w:rsidRPr="00C40528">
              <w:rPr>
                <w:b/>
                <w:bCs/>
                <w:sz w:val="16"/>
                <w:szCs w:val="16"/>
              </w:rPr>
              <w:t>49</w:t>
            </w:r>
            <w:r w:rsidRPr="00BA32CC">
              <w:rPr>
                <w:sz w:val="16"/>
                <w:szCs w:val="16"/>
              </w:rPr>
              <w:t xml:space="preserve">, Nos. </w:t>
            </w:r>
            <w:r w:rsidRPr="00C40528">
              <w:rPr>
                <w:b/>
                <w:bCs/>
                <w:sz w:val="16"/>
                <w:szCs w:val="16"/>
              </w:rPr>
              <w:t>11.32A</w:t>
            </w:r>
            <w:r w:rsidRPr="00BA32CC">
              <w:rPr>
                <w:sz w:val="16"/>
                <w:szCs w:val="16"/>
              </w:rPr>
              <w:t xml:space="preserve"> (see footnote </w:t>
            </w:r>
            <w:r w:rsidRPr="00CB287F">
              <w:rPr>
                <w:i/>
                <w:iCs/>
                <w:sz w:val="16"/>
                <w:szCs w:val="16"/>
              </w:rPr>
              <w:t>a)</w:t>
            </w:r>
            <w:r>
              <w:rPr>
                <w:sz w:val="16"/>
                <w:szCs w:val="16"/>
              </w:rPr>
              <w:t>)</w:t>
            </w:r>
            <w:r w:rsidRPr="00BA32CC">
              <w:rPr>
                <w:sz w:val="16"/>
                <w:szCs w:val="16"/>
              </w:rPr>
              <w:t xml:space="preserve">, </w:t>
            </w:r>
            <w:r w:rsidRPr="00C40528">
              <w:rPr>
                <w:b/>
                <w:bCs/>
                <w:sz w:val="16"/>
                <w:szCs w:val="16"/>
              </w:rPr>
              <w:t>11.41</w:t>
            </w:r>
            <w:r w:rsidRPr="00BA32CC">
              <w:rPr>
                <w:sz w:val="16"/>
                <w:szCs w:val="16"/>
              </w:rPr>
              <w:t xml:space="preserve">, </w:t>
            </w:r>
            <w:r w:rsidRPr="00C40528">
              <w:rPr>
                <w:b/>
                <w:bCs/>
                <w:sz w:val="16"/>
                <w:szCs w:val="16"/>
              </w:rPr>
              <w:t>11.47</w:t>
            </w:r>
            <w:r w:rsidRPr="00BA32CC">
              <w:rPr>
                <w:sz w:val="16"/>
                <w:szCs w:val="16"/>
              </w:rPr>
              <w:t xml:space="preserve">, </w:t>
            </w:r>
            <w:r w:rsidRPr="00C40528">
              <w:rPr>
                <w:b/>
                <w:bCs/>
                <w:sz w:val="16"/>
                <w:szCs w:val="16"/>
              </w:rPr>
              <w:t>11.49</w:t>
            </w:r>
            <w:r w:rsidRPr="00BA32CC">
              <w:rPr>
                <w:sz w:val="16"/>
                <w:szCs w:val="16"/>
              </w:rPr>
              <w:t>, Sub</w:t>
            </w:r>
            <w:r w:rsidRPr="00BA32CC">
              <w:rPr>
                <w:sz w:val="16"/>
                <w:szCs w:val="16"/>
              </w:rPr>
              <w:noBreakHyphen/>
              <w:t xml:space="preserve">section IID of Article </w:t>
            </w:r>
            <w:r w:rsidRPr="00C40528">
              <w:rPr>
                <w:b/>
                <w:bCs/>
                <w:sz w:val="16"/>
                <w:szCs w:val="16"/>
              </w:rPr>
              <w:t>9</w:t>
            </w:r>
            <w:r w:rsidRPr="00C40528">
              <w:rPr>
                <w:sz w:val="16"/>
                <w:szCs w:val="16"/>
              </w:rPr>
              <w:t>,</w:t>
            </w:r>
            <w:r w:rsidRPr="00BA32CC">
              <w:rPr>
                <w:sz w:val="16"/>
                <w:szCs w:val="16"/>
              </w:rPr>
              <w:t xml:space="preserve"> Sections 1 and 2 of Article </w:t>
            </w:r>
            <w:r w:rsidRPr="00C40528">
              <w:rPr>
                <w:b/>
                <w:bCs/>
                <w:sz w:val="16"/>
                <w:szCs w:val="16"/>
              </w:rPr>
              <w:t>13</w:t>
            </w:r>
            <w:r w:rsidRPr="00BA32CC">
              <w:rPr>
                <w:sz w:val="16"/>
                <w:szCs w:val="16"/>
              </w:rPr>
              <w:t xml:space="preserve">, Article </w:t>
            </w:r>
            <w:r w:rsidRPr="00C40528">
              <w:rPr>
                <w:b/>
                <w:bCs/>
                <w:sz w:val="16"/>
                <w:szCs w:val="16"/>
              </w:rPr>
              <w:t>14</w:t>
            </w:r>
            <w:r>
              <w:rPr>
                <w:sz w:val="16"/>
                <w:szCs w:val="16"/>
              </w:rPr>
              <w:t xml:space="preserve"> or some of this provisions, should they pay the full </w:t>
            </w:r>
            <w:r>
              <w:rPr>
                <w:bCs/>
                <w:sz w:val="16"/>
                <w:szCs w:val="16"/>
              </w:rPr>
              <w:t>amount reflected in this column (69 504 CHF)?</w:t>
            </w:r>
          </w:p>
          <w:p w14:paraId="13E11A0E" w14:textId="77777777" w:rsidR="001E74E4" w:rsidRDefault="001E74E4" w:rsidP="001E74E4">
            <w:pPr>
              <w:pStyle w:val="Tabletext"/>
              <w:ind w:left="360"/>
              <w:rPr>
                <w:bCs/>
                <w:sz w:val="16"/>
                <w:szCs w:val="16"/>
                <w:lang w:eastAsia="zh-CN"/>
              </w:rPr>
            </w:pPr>
            <w:r>
              <w:rPr>
                <w:bCs/>
                <w:sz w:val="16"/>
                <w:szCs w:val="16"/>
              </w:rPr>
              <w:t xml:space="preserve">Justification </w:t>
            </w:r>
            <w:proofErr w:type="gramStart"/>
            <w:r>
              <w:rPr>
                <w:bCs/>
                <w:sz w:val="16"/>
                <w:szCs w:val="16"/>
              </w:rPr>
              <w:t>are</w:t>
            </w:r>
            <w:proofErr w:type="gramEnd"/>
            <w:r>
              <w:rPr>
                <w:bCs/>
                <w:sz w:val="16"/>
                <w:szCs w:val="16"/>
              </w:rPr>
              <w:t xml:space="preserve"> required for the above full amount.</w:t>
            </w:r>
          </w:p>
          <w:p w14:paraId="677F8CD1" w14:textId="160BE472" w:rsidR="001E74E4" w:rsidRPr="001E74E4" w:rsidRDefault="001E74E4" w:rsidP="00271C4A">
            <w:pPr>
              <w:pStyle w:val="Tabletext"/>
              <w:rPr>
                <w:sz w:val="16"/>
                <w:szCs w:val="16"/>
              </w:rPr>
            </w:pPr>
          </w:p>
        </w:tc>
        <w:tc>
          <w:tcPr>
            <w:tcW w:w="1079" w:type="dxa"/>
            <w:tcBorders>
              <w:top w:val="single" w:sz="4" w:space="0" w:color="000000"/>
              <w:left w:val="single" w:sz="4" w:space="0" w:color="000000"/>
              <w:bottom w:val="single" w:sz="4" w:space="0" w:color="000000"/>
            </w:tcBorders>
            <w:vAlign w:val="center"/>
          </w:tcPr>
          <w:p w14:paraId="234A145B" w14:textId="3F5EEA18" w:rsidR="00137F85" w:rsidRPr="00BA32CC" w:rsidRDefault="00137F85" w:rsidP="004B4F82">
            <w:pPr>
              <w:pStyle w:val="Tabletext"/>
              <w:jc w:val="center"/>
              <w:rPr>
                <w:sz w:val="16"/>
                <w:szCs w:val="16"/>
              </w:rPr>
            </w:pPr>
            <w:r>
              <w:rPr>
                <w:sz w:val="16"/>
                <w:szCs w:val="16"/>
              </w:rPr>
              <w:lastRenderedPageBreak/>
              <w:br/>
              <w:t>37 092</w:t>
            </w:r>
          </w:p>
        </w:tc>
        <w:tc>
          <w:tcPr>
            <w:tcW w:w="993" w:type="dxa"/>
            <w:tcBorders>
              <w:top w:val="single" w:sz="4" w:space="0" w:color="000000"/>
              <w:left w:val="single" w:sz="4" w:space="0" w:color="000000"/>
              <w:bottom w:val="single" w:sz="4" w:space="0" w:color="000000"/>
            </w:tcBorders>
            <w:vAlign w:val="center"/>
          </w:tcPr>
          <w:p w14:paraId="6BFBA625" w14:textId="3747692B" w:rsidR="00137F85" w:rsidRPr="00BA32CC" w:rsidRDefault="00137F85" w:rsidP="004B4F82">
            <w:pPr>
              <w:pStyle w:val="Tabletext"/>
              <w:jc w:val="center"/>
              <w:rPr>
                <w:sz w:val="16"/>
                <w:szCs w:val="16"/>
              </w:rPr>
            </w:pPr>
            <w:r>
              <w:rPr>
                <w:sz w:val="16"/>
                <w:szCs w:val="16"/>
              </w:rPr>
              <w:br/>
              <w:t>19 092</w:t>
            </w:r>
          </w:p>
        </w:tc>
        <w:tc>
          <w:tcPr>
            <w:tcW w:w="994" w:type="dxa"/>
            <w:vMerge w:val="restart"/>
            <w:tcBorders>
              <w:top w:val="single" w:sz="4" w:space="0" w:color="000000"/>
              <w:left w:val="single" w:sz="4" w:space="0" w:color="000000"/>
            </w:tcBorders>
            <w:vAlign w:val="center"/>
          </w:tcPr>
          <w:p w14:paraId="3021D766" w14:textId="4418798B" w:rsidR="00137F85" w:rsidRPr="00BA32CC" w:rsidRDefault="00137F85" w:rsidP="004B4F82">
            <w:pPr>
              <w:pStyle w:val="Tabletext"/>
              <w:jc w:val="center"/>
              <w:rPr>
                <w:sz w:val="16"/>
                <w:szCs w:val="16"/>
              </w:rPr>
            </w:pPr>
            <w:r>
              <w:rPr>
                <w:sz w:val="16"/>
                <w:szCs w:val="16"/>
              </w:rPr>
              <w:t>180</w:t>
            </w: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1D512492" w14:textId="77777777" w:rsidR="00137F85" w:rsidRPr="00BA32CC" w:rsidRDefault="00137F85" w:rsidP="004B4F82">
            <w:pPr>
              <w:pStyle w:val="Tabletext"/>
              <w:jc w:val="center"/>
              <w:rPr>
                <w:sz w:val="16"/>
                <w:szCs w:val="16"/>
              </w:rPr>
            </w:pPr>
          </w:p>
        </w:tc>
      </w:tr>
      <w:tr w:rsidR="00137F85" w:rsidRPr="007E04E8" w14:paraId="31E288B0" w14:textId="77777777" w:rsidTr="00076856">
        <w:trPr>
          <w:cantSplit/>
          <w:trHeight w:val="389"/>
          <w:jc w:val="center"/>
        </w:trPr>
        <w:tc>
          <w:tcPr>
            <w:tcW w:w="471" w:type="dxa"/>
            <w:vMerge/>
            <w:tcBorders>
              <w:left w:val="single" w:sz="4" w:space="0" w:color="000000"/>
            </w:tcBorders>
            <w:vAlign w:val="center"/>
          </w:tcPr>
          <w:p w14:paraId="633367A1" w14:textId="77777777" w:rsidR="00137F85" w:rsidRPr="00BA32CC" w:rsidRDefault="00137F85" w:rsidP="004B4F82">
            <w:pPr>
              <w:pStyle w:val="Tabletext"/>
              <w:rPr>
                <w:sz w:val="16"/>
                <w:szCs w:val="16"/>
              </w:rPr>
            </w:pPr>
          </w:p>
        </w:tc>
        <w:tc>
          <w:tcPr>
            <w:tcW w:w="1088" w:type="dxa"/>
            <w:vMerge/>
            <w:tcBorders>
              <w:left w:val="single" w:sz="4" w:space="0" w:color="000000"/>
            </w:tcBorders>
            <w:vAlign w:val="center"/>
          </w:tcPr>
          <w:p w14:paraId="461B748A" w14:textId="77777777" w:rsidR="00137F85" w:rsidRPr="00BA32CC" w:rsidRDefault="00137F85" w:rsidP="004B4F82">
            <w:pPr>
              <w:pStyle w:val="Tabletext"/>
              <w:rPr>
                <w:sz w:val="16"/>
                <w:szCs w:val="16"/>
              </w:rPr>
            </w:pPr>
          </w:p>
        </w:tc>
        <w:tc>
          <w:tcPr>
            <w:tcW w:w="683" w:type="dxa"/>
            <w:vMerge/>
            <w:tcBorders>
              <w:top w:val="single" w:sz="4" w:space="0" w:color="000000"/>
              <w:left w:val="single" w:sz="4" w:space="0" w:color="000000"/>
              <w:bottom w:val="single" w:sz="4" w:space="0" w:color="000000"/>
            </w:tcBorders>
            <w:vAlign w:val="center"/>
          </w:tcPr>
          <w:p w14:paraId="26529EF0" w14:textId="77777777" w:rsidR="00137F85" w:rsidRPr="00BA32CC" w:rsidRDefault="00137F85" w:rsidP="004B4F82">
            <w:pPr>
              <w:pStyle w:val="Tabletext"/>
              <w:rPr>
                <w:sz w:val="16"/>
                <w:szCs w:val="16"/>
              </w:rPr>
            </w:pPr>
          </w:p>
        </w:tc>
        <w:tc>
          <w:tcPr>
            <w:tcW w:w="8579" w:type="dxa"/>
            <w:vMerge/>
            <w:tcBorders>
              <w:top w:val="single" w:sz="4" w:space="0" w:color="000000"/>
              <w:left w:val="single" w:sz="4" w:space="0" w:color="000000"/>
              <w:bottom w:val="single" w:sz="4" w:space="0" w:color="000000"/>
            </w:tcBorders>
            <w:vAlign w:val="center"/>
          </w:tcPr>
          <w:p w14:paraId="4AA817A2" w14:textId="77777777" w:rsidR="00137F85" w:rsidRPr="00BA32CC" w:rsidRDefault="00137F85" w:rsidP="004B4F82">
            <w:pPr>
              <w:pStyle w:val="Tabletext"/>
              <w:rPr>
                <w:sz w:val="16"/>
                <w:szCs w:val="16"/>
              </w:rPr>
            </w:pPr>
          </w:p>
        </w:tc>
        <w:tc>
          <w:tcPr>
            <w:tcW w:w="1079" w:type="dxa"/>
            <w:vMerge w:val="restart"/>
            <w:tcBorders>
              <w:top w:val="single" w:sz="4" w:space="0" w:color="000000"/>
              <w:left w:val="single" w:sz="4" w:space="0" w:color="000000"/>
              <w:bottom w:val="single" w:sz="4" w:space="0" w:color="000000"/>
            </w:tcBorders>
            <w:vAlign w:val="center"/>
          </w:tcPr>
          <w:p w14:paraId="2D9F6F67" w14:textId="499A7747" w:rsidR="00137F85" w:rsidRPr="00BA32CC" w:rsidRDefault="00137F85" w:rsidP="004B4F82">
            <w:pPr>
              <w:pStyle w:val="Tabletext"/>
              <w:jc w:val="center"/>
              <w:rPr>
                <w:sz w:val="16"/>
                <w:szCs w:val="16"/>
              </w:rPr>
            </w:pPr>
            <w:r>
              <w:rPr>
                <w:sz w:val="16"/>
                <w:szCs w:val="16"/>
              </w:rPr>
              <w:br/>
              <w:t>69 504</w:t>
            </w:r>
          </w:p>
        </w:tc>
        <w:tc>
          <w:tcPr>
            <w:tcW w:w="993" w:type="dxa"/>
            <w:vMerge w:val="restart"/>
            <w:tcBorders>
              <w:top w:val="single" w:sz="4" w:space="0" w:color="000000"/>
              <w:left w:val="single" w:sz="4" w:space="0" w:color="000000"/>
              <w:bottom w:val="single" w:sz="4" w:space="0" w:color="000000"/>
            </w:tcBorders>
            <w:vAlign w:val="center"/>
          </w:tcPr>
          <w:p w14:paraId="58819C2E" w14:textId="45DEC4C5" w:rsidR="00137F85" w:rsidRPr="00BA32CC" w:rsidRDefault="00137F85" w:rsidP="004B4F82">
            <w:pPr>
              <w:pStyle w:val="Tabletext"/>
              <w:jc w:val="center"/>
              <w:rPr>
                <w:sz w:val="16"/>
                <w:szCs w:val="16"/>
              </w:rPr>
            </w:pPr>
            <w:r>
              <w:rPr>
                <w:sz w:val="16"/>
                <w:szCs w:val="16"/>
              </w:rPr>
              <w:br/>
              <w:t>51 504</w:t>
            </w:r>
          </w:p>
        </w:tc>
        <w:tc>
          <w:tcPr>
            <w:tcW w:w="994" w:type="dxa"/>
            <w:vMerge/>
            <w:tcBorders>
              <w:left w:val="single" w:sz="4" w:space="0" w:color="000000"/>
            </w:tcBorders>
            <w:vAlign w:val="center"/>
          </w:tcPr>
          <w:p w14:paraId="7F5181C6" w14:textId="77777777" w:rsidR="00137F85" w:rsidRPr="00BA32CC" w:rsidRDefault="00137F85"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4EC8CCD" w14:textId="77777777" w:rsidR="00137F85" w:rsidRPr="00BA32CC" w:rsidRDefault="00137F85" w:rsidP="004B4F82">
            <w:pPr>
              <w:pStyle w:val="Tabletext"/>
              <w:jc w:val="center"/>
              <w:rPr>
                <w:sz w:val="16"/>
                <w:szCs w:val="16"/>
              </w:rPr>
            </w:pPr>
          </w:p>
        </w:tc>
      </w:tr>
      <w:tr w:rsidR="00137F85" w:rsidRPr="007E04E8" w14:paraId="2B33BEE2" w14:textId="77777777" w:rsidTr="00076856">
        <w:trPr>
          <w:cantSplit/>
          <w:trHeight w:val="389"/>
          <w:jc w:val="center"/>
        </w:trPr>
        <w:tc>
          <w:tcPr>
            <w:tcW w:w="471" w:type="dxa"/>
            <w:vMerge/>
            <w:tcBorders>
              <w:left w:val="single" w:sz="4" w:space="0" w:color="000000"/>
            </w:tcBorders>
            <w:vAlign w:val="center"/>
          </w:tcPr>
          <w:p w14:paraId="5AA29749" w14:textId="77777777" w:rsidR="00137F85" w:rsidRPr="00BA32CC" w:rsidRDefault="00137F85" w:rsidP="004B4F82">
            <w:pPr>
              <w:pStyle w:val="Tabletext"/>
              <w:rPr>
                <w:sz w:val="16"/>
                <w:szCs w:val="16"/>
              </w:rPr>
            </w:pPr>
          </w:p>
        </w:tc>
        <w:tc>
          <w:tcPr>
            <w:tcW w:w="1088" w:type="dxa"/>
            <w:vMerge/>
            <w:tcBorders>
              <w:left w:val="single" w:sz="4" w:space="0" w:color="000000"/>
            </w:tcBorders>
            <w:vAlign w:val="center"/>
          </w:tcPr>
          <w:p w14:paraId="2A92B312" w14:textId="77777777" w:rsidR="00137F85" w:rsidRPr="00BA32CC" w:rsidRDefault="00137F85" w:rsidP="004B4F82">
            <w:pPr>
              <w:pStyle w:val="Tabletext"/>
              <w:rPr>
                <w:sz w:val="16"/>
                <w:szCs w:val="16"/>
              </w:rPr>
            </w:pPr>
          </w:p>
        </w:tc>
        <w:tc>
          <w:tcPr>
            <w:tcW w:w="683" w:type="dxa"/>
            <w:vMerge w:val="restart"/>
            <w:tcBorders>
              <w:top w:val="single" w:sz="4" w:space="0" w:color="000000"/>
              <w:left w:val="single" w:sz="4" w:space="0" w:color="000000"/>
              <w:bottom w:val="single" w:sz="4" w:space="0" w:color="000000"/>
            </w:tcBorders>
            <w:vAlign w:val="center"/>
          </w:tcPr>
          <w:p w14:paraId="58EC946D" w14:textId="77777777" w:rsidR="00137F85" w:rsidRPr="00BA32CC" w:rsidRDefault="00137F85" w:rsidP="004B4F82">
            <w:pPr>
              <w:pStyle w:val="Tabletext"/>
              <w:rPr>
                <w:sz w:val="16"/>
                <w:szCs w:val="16"/>
              </w:rPr>
            </w:pPr>
            <w:r w:rsidRPr="00BA32CC">
              <w:rPr>
                <w:sz w:val="16"/>
                <w:szCs w:val="16"/>
              </w:rPr>
              <w:t>N2*</w:t>
            </w:r>
          </w:p>
        </w:tc>
        <w:tc>
          <w:tcPr>
            <w:tcW w:w="8579" w:type="dxa"/>
            <w:vMerge/>
            <w:tcBorders>
              <w:top w:val="single" w:sz="4" w:space="0" w:color="000000"/>
              <w:left w:val="single" w:sz="4" w:space="0" w:color="000000"/>
              <w:bottom w:val="single" w:sz="4" w:space="0" w:color="000000"/>
            </w:tcBorders>
            <w:vAlign w:val="center"/>
          </w:tcPr>
          <w:p w14:paraId="0707001A" w14:textId="77777777" w:rsidR="00137F85" w:rsidRPr="00BA32CC" w:rsidRDefault="00137F85" w:rsidP="004B4F82">
            <w:pPr>
              <w:pStyle w:val="Tabletext"/>
              <w:rPr>
                <w:sz w:val="16"/>
                <w:szCs w:val="16"/>
              </w:rPr>
            </w:pPr>
          </w:p>
        </w:tc>
        <w:tc>
          <w:tcPr>
            <w:tcW w:w="1079" w:type="dxa"/>
            <w:vMerge/>
            <w:tcBorders>
              <w:top w:val="single" w:sz="4" w:space="0" w:color="000000"/>
              <w:left w:val="single" w:sz="4" w:space="0" w:color="000000"/>
              <w:bottom w:val="single" w:sz="4" w:space="0" w:color="000000"/>
            </w:tcBorders>
            <w:vAlign w:val="center"/>
          </w:tcPr>
          <w:p w14:paraId="329BAB81" w14:textId="77777777" w:rsidR="00137F85" w:rsidRPr="00BA32CC" w:rsidRDefault="00137F85" w:rsidP="004B4F82">
            <w:pPr>
              <w:pStyle w:val="Tabletext"/>
              <w:jc w:val="center"/>
              <w:rPr>
                <w:sz w:val="16"/>
                <w:szCs w:val="16"/>
              </w:rPr>
            </w:pPr>
          </w:p>
        </w:tc>
        <w:tc>
          <w:tcPr>
            <w:tcW w:w="993" w:type="dxa"/>
            <w:vMerge/>
            <w:tcBorders>
              <w:top w:val="single" w:sz="4" w:space="0" w:color="000000"/>
              <w:left w:val="single" w:sz="4" w:space="0" w:color="000000"/>
              <w:bottom w:val="single" w:sz="4" w:space="0" w:color="000000"/>
            </w:tcBorders>
            <w:vAlign w:val="center"/>
          </w:tcPr>
          <w:p w14:paraId="190F4756" w14:textId="77777777" w:rsidR="00137F85" w:rsidRPr="00BA32CC" w:rsidRDefault="00137F85" w:rsidP="004B4F82">
            <w:pPr>
              <w:pStyle w:val="Tabletext"/>
              <w:jc w:val="center"/>
              <w:rPr>
                <w:sz w:val="16"/>
                <w:szCs w:val="16"/>
              </w:rPr>
            </w:pPr>
          </w:p>
        </w:tc>
        <w:tc>
          <w:tcPr>
            <w:tcW w:w="994" w:type="dxa"/>
            <w:vMerge/>
            <w:tcBorders>
              <w:left w:val="single" w:sz="4" w:space="0" w:color="000000"/>
            </w:tcBorders>
            <w:vAlign w:val="center"/>
          </w:tcPr>
          <w:p w14:paraId="7A306F0D" w14:textId="77777777" w:rsidR="00137F85" w:rsidRPr="00BA32CC" w:rsidRDefault="00137F85"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2F214A7F" w14:textId="77777777" w:rsidR="00137F85" w:rsidRPr="00BA32CC" w:rsidRDefault="00137F85" w:rsidP="004B4F82">
            <w:pPr>
              <w:pStyle w:val="Tabletext"/>
              <w:jc w:val="center"/>
              <w:rPr>
                <w:sz w:val="16"/>
                <w:szCs w:val="16"/>
              </w:rPr>
            </w:pPr>
          </w:p>
        </w:tc>
      </w:tr>
      <w:tr w:rsidR="00137F85" w:rsidRPr="007E04E8" w14:paraId="08B1E594" w14:textId="77777777" w:rsidTr="00076856">
        <w:trPr>
          <w:cantSplit/>
          <w:trHeight w:val="389"/>
          <w:jc w:val="center"/>
        </w:trPr>
        <w:tc>
          <w:tcPr>
            <w:tcW w:w="471" w:type="dxa"/>
            <w:vMerge/>
            <w:tcBorders>
              <w:left w:val="single" w:sz="4" w:space="0" w:color="000000"/>
            </w:tcBorders>
            <w:vAlign w:val="center"/>
          </w:tcPr>
          <w:p w14:paraId="7B2EA848" w14:textId="77777777" w:rsidR="00137F85" w:rsidRPr="00BA32CC" w:rsidRDefault="00137F85" w:rsidP="004B4F82">
            <w:pPr>
              <w:pStyle w:val="Tabletext"/>
              <w:rPr>
                <w:sz w:val="16"/>
                <w:szCs w:val="16"/>
              </w:rPr>
            </w:pPr>
          </w:p>
        </w:tc>
        <w:tc>
          <w:tcPr>
            <w:tcW w:w="1088" w:type="dxa"/>
            <w:vMerge/>
            <w:tcBorders>
              <w:left w:val="single" w:sz="4" w:space="0" w:color="000000"/>
            </w:tcBorders>
            <w:vAlign w:val="center"/>
          </w:tcPr>
          <w:p w14:paraId="47FADD99" w14:textId="77777777" w:rsidR="00137F85" w:rsidRPr="00BA32CC" w:rsidRDefault="00137F85" w:rsidP="004B4F82">
            <w:pPr>
              <w:pStyle w:val="Tabletext"/>
              <w:rPr>
                <w:sz w:val="16"/>
                <w:szCs w:val="16"/>
              </w:rPr>
            </w:pPr>
          </w:p>
        </w:tc>
        <w:tc>
          <w:tcPr>
            <w:tcW w:w="683" w:type="dxa"/>
            <w:vMerge/>
            <w:tcBorders>
              <w:top w:val="single" w:sz="4" w:space="0" w:color="000000"/>
              <w:left w:val="single" w:sz="4" w:space="0" w:color="000000"/>
              <w:bottom w:val="single" w:sz="4" w:space="0" w:color="000000"/>
            </w:tcBorders>
            <w:vAlign w:val="center"/>
          </w:tcPr>
          <w:p w14:paraId="7E1411C4" w14:textId="77777777" w:rsidR="00137F85" w:rsidRPr="00BA32CC" w:rsidRDefault="00137F85" w:rsidP="004B4F82">
            <w:pPr>
              <w:pStyle w:val="Tabletext"/>
              <w:rPr>
                <w:sz w:val="16"/>
                <w:szCs w:val="16"/>
              </w:rPr>
            </w:pPr>
          </w:p>
        </w:tc>
        <w:tc>
          <w:tcPr>
            <w:tcW w:w="8579" w:type="dxa"/>
            <w:vMerge/>
            <w:tcBorders>
              <w:top w:val="single" w:sz="4" w:space="0" w:color="000000"/>
              <w:left w:val="single" w:sz="4" w:space="0" w:color="000000"/>
              <w:bottom w:val="single" w:sz="4" w:space="0" w:color="000000"/>
            </w:tcBorders>
            <w:vAlign w:val="center"/>
          </w:tcPr>
          <w:p w14:paraId="62FA8E94" w14:textId="77777777" w:rsidR="00137F85" w:rsidRPr="00BA32CC" w:rsidRDefault="00137F85" w:rsidP="004B4F82">
            <w:pPr>
              <w:pStyle w:val="Tabletext"/>
              <w:rPr>
                <w:sz w:val="16"/>
                <w:szCs w:val="16"/>
              </w:rPr>
            </w:pPr>
          </w:p>
        </w:tc>
        <w:tc>
          <w:tcPr>
            <w:tcW w:w="1079" w:type="dxa"/>
            <w:vMerge w:val="restart"/>
            <w:tcBorders>
              <w:top w:val="single" w:sz="4" w:space="0" w:color="000000"/>
              <w:left w:val="single" w:sz="4" w:space="0" w:color="000000"/>
              <w:bottom w:val="single" w:sz="4" w:space="0" w:color="000000"/>
            </w:tcBorders>
            <w:vAlign w:val="center"/>
          </w:tcPr>
          <w:p w14:paraId="413C9FB4" w14:textId="0E2F9B93" w:rsidR="00137F85" w:rsidRPr="00BA32CC" w:rsidRDefault="00137F85" w:rsidP="004B4F82">
            <w:pPr>
              <w:pStyle w:val="Tabletext"/>
              <w:jc w:val="center"/>
              <w:rPr>
                <w:sz w:val="16"/>
                <w:szCs w:val="16"/>
              </w:rPr>
            </w:pPr>
            <w:commentRangeStart w:id="16"/>
            <w:r>
              <w:rPr>
                <w:sz w:val="16"/>
                <w:szCs w:val="16"/>
              </w:rPr>
              <w:br/>
              <w:t>69 504</w:t>
            </w:r>
          </w:p>
        </w:tc>
        <w:tc>
          <w:tcPr>
            <w:tcW w:w="993" w:type="dxa"/>
            <w:vMerge w:val="restart"/>
            <w:tcBorders>
              <w:top w:val="single" w:sz="4" w:space="0" w:color="000000"/>
              <w:left w:val="single" w:sz="4" w:space="0" w:color="000000"/>
              <w:bottom w:val="single" w:sz="4" w:space="0" w:color="000000"/>
            </w:tcBorders>
            <w:vAlign w:val="center"/>
          </w:tcPr>
          <w:p w14:paraId="4DC7915C" w14:textId="5370205B" w:rsidR="00137F85" w:rsidRPr="00BA32CC" w:rsidRDefault="00137F85" w:rsidP="004B4F82">
            <w:pPr>
              <w:pStyle w:val="Tabletext"/>
              <w:jc w:val="center"/>
              <w:rPr>
                <w:sz w:val="16"/>
                <w:szCs w:val="16"/>
              </w:rPr>
            </w:pPr>
            <w:r>
              <w:rPr>
                <w:sz w:val="16"/>
                <w:szCs w:val="16"/>
              </w:rPr>
              <w:br/>
              <w:t>51 504</w:t>
            </w:r>
            <w:commentRangeEnd w:id="16"/>
            <w:r>
              <w:rPr>
                <w:rStyle w:val="CommentReference"/>
              </w:rPr>
              <w:commentReference w:id="16"/>
            </w:r>
          </w:p>
        </w:tc>
        <w:tc>
          <w:tcPr>
            <w:tcW w:w="994" w:type="dxa"/>
            <w:vMerge/>
            <w:tcBorders>
              <w:left w:val="single" w:sz="4" w:space="0" w:color="000000"/>
            </w:tcBorders>
            <w:vAlign w:val="center"/>
          </w:tcPr>
          <w:p w14:paraId="7C204F82" w14:textId="77777777" w:rsidR="00137F85" w:rsidRPr="00BA32CC" w:rsidRDefault="00137F85"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7E972D4D" w14:textId="77777777" w:rsidR="00137F85" w:rsidRPr="00BA32CC" w:rsidRDefault="00137F85" w:rsidP="004B4F82">
            <w:pPr>
              <w:pStyle w:val="Tabletext"/>
              <w:jc w:val="center"/>
              <w:rPr>
                <w:sz w:val="16"/>
                <w:szCs w:val="16"/>
              </w:rPr>
            </w:pPr>
          </w:p>
        </w:tc>
      </w:tr>
      <w:tr w:rsidR="00137F85" w:rsidRPr="007E04E8" w14:paraId="25EF4271" w14:textId="77777777" w:rsidTr="00076856">
        <w:trPr>
          <w:cantSplit/>
          <w:jc w:val="center"/>
        </w:trPr>
        <w:tc>
          <w:tcPr>
            <w:tcW w:w="471" w:type="dxa"/>
            <w:vMerge/>
            <w:tcBorders>
              <w:left w:val="single" w:sz="4" w:space="0" w:color="000000"/>
            </w:tcBorders>
            <w:vAlign w:val="center"/>
          </w:tcPr>
          <w:p w14:paraId="2BC102F5" w14:textId="77777777" w:rsidR="00137F85" w:rsidRPr="00BA32CC" w:rsidRDefault="00137F85" w:rsidP="004B4F82">
            <w:pPr>
              <w:pStyle w:val="Tabletext"/>
              <w:rPr>
                <w:sz w:val="16"/>
                <w:szCs w:val="16"/>
              </w:rPr>
            </w:pPr>
          </w:p>
        </w:tc>
        <w:tc>
          <w:tcPr>
            <w:tcW w:w="1088" w:type="dxa"/>
            <w:vMerge/>
            <w:tcBorders>
              <w:left w:val="single" w:sz="4" w:space="0" w:color="000000"/>
            </w:tcBorders>
            <w:vAlign w:val="center"/>
          </w:tcPr>
          <w:p w14:paraId="269B4094" w14:textId="77777777" w:rsidR="00137F85" w:rsidRPr="00BA32CC" w:rsidRDefault="00137F85" w:rsidP="004B4F82">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2D0943DC" w14:textId="77777777" w:rsidR="00137F85" w:rsidRPr="00BA32CC" w:rsidRDefault="00137F85" w:rsidP="004B4F82">
            <w:pPr>
              <w:pStyle w:val="Tabletext"/>
              <w:rPr>
                <w:sz w:val="16"/>
                <w:szCs w:val="16"/>
              </w:rPr>
            </w:pPr>
            <w:r w:rsidRPr="00BA32CC">
              <w:rPr>
                <w:sz w:val="16"/>
                <w:szCs w:val="16"/>
              </w:rPr>
              <w:t>N3*</w:t>
            </w:r>
          </w:p>
        </w:tc>
        <w:tc>
          <w:tcPr>
            <w:tcW w:w="8579" w:type="dxa"/>
            <w:vMerge/>
            <w:tcBorders>
              <w:top w:val="single" w:sz="4" w:space="0" w:color="000000"/>
              <w:left w:val="single" w:sz="4" w:space="0" w:color="000000"/>
              <w:bottom w:val="single" w:sz="4" w:space="0" w:color="000000"/>
            </w:tcBorders>
            <w:vAlign w:val="center"/>
          </w:tcPr>
          <w:p w14:paraId="577D1D72" w14:textId="77777777" w:rsidR="00137F85" w:rsidRPr="00BA32CC" w:rsidRDefault="00137F85" w:rsidP="004B4F82">
            <w:pPr>
              <w:pStyle w:val="Tabletext"/>
              <w:rPr>
                <w:sz w:val="16"/>
                <w:szCs w:val="16"/>
              </w:rPr>
            </w:pPr>
          </w:p>
        </w:tc>
        <w:tc>
          <w:tcPr>
            <w:tcW w:w="1079" w:type="dxa"/>
            <w:vMerge/>
            <w:tcBorders>
              <w:top w:val="single" w:sz="4" w:space="0" w:color="000000"/>
              <w:left w:val="single" w:sz="4" w:space="0" w:color="000000"/>
              <w:bottom w:val="single" w:sz="4" w:space="0" w:color="000000"/>
            </w:tcBorders>
            <w:vAlign w:val="center"/>
          </w:tcPr>
          <w:p w14:paraId="75DF8609" w14:textId="77777777" w:rsidR="00137F85" w:rsidRPr="00BA32CC" w:rsidRDefault="00137F85" w:rsidP="004B4F82">
            <w:pPr>
              <w:pStyle w:val="Tabletext"/>
              <w:jc w:val="center"/>
              <w:rPr>
                <w:sz w:val="16"/>
                <w:szCs w:val="16"/>
              </w:rPr>
            </w:pPr>
          </w:p>
        </w:tc>
        <w:tc>
          <w:tcPr>
            <w:tcW w:w="993" w:type="dxa"/>
            <w:vMerge/>
            <w:tcBorders>
              <w:top w:val="single" w:sz="4" w:space="0" w:color="000000"/>
              <w:left w:val="single" w:sz="4" w:space="0" w:color="000000"/>
              <w:bottom w:val="single" w:sz="4" w:space="0" w:color="000000"/>
            </w:tcBorders>
            <w:vAlign w:val="center"/>
          </w:tcPr>
          <w:p w14:paraId="1B260F7E" w14:textId="77777777" w:rsidR="00137F85" w:rsidRPr="00BA32CC" w:rsidRDefault="00137F85" w:rsidP="004B4F82">
            <w:pPr>
              <w:pStyle w:val="Tabletext"/>
              <w:jc w:val="center"/>
              <w:rPr>
                <w:sz w:val="16"/>
                <w:szCs w:val="16"/>
              </w:rPr>
            </w:pPr>
          </w:p>
        </w:tc>
        <w:tc>
          <w:tcPr>
            <w:tcW w:w="994" w:type="dxa"/>
            <w:vMerge/>
            <w:tcBorders>
              <w:left w:val="single" w:sz="4" w:space="0" w:color="000000"/>
              <w:bottom w:val="single" w:sz="4" w:space="0" w:color="000000"/>
            </w:tcBorders>
            <w:vAlign w:val="center"/>
          </w:tcPr>
          <w:p w14:paraId="1E2D10F1" w14:textId="77777777" w:rsidR="00137F85" w:rsidRPr="00BA32CC" w:rsidRDefault="00137F85" w:rsidP="004B4F82">
            <w:pPr>
              <w:pStyle w:val="Tabletext"/>
              <w:jc w:val="center"/>
              <w:rPr>
                <w:sz w:val="16"/>
                <w:szCs w:val="16"/>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1EFC1EC" w14:textId="77777777" w:rsidR="00137F85" w:rsidRPr="00BA32CC" w:rsidRDefault="00137F85" w:rsidP="004B4F82">
            <w:pPr>
              <w:pStyle w:val="Tabletext"/>
              <w:jc w:val="center"/>
              <w:rPr>
                <w:sz w:val="16"/>
                <w:szCs w:val="16"/>
              </w:rPr>
            </w:pPr>
          </w:p>
        </w:tc>
      </w:tr>
      <w:tr w:rsidR="00853B16" w:rsidRPr="007E04E8" w14:paraId="315A0313" w14:textId="77777777" w:rsidTr="000B5AB0">
        <w:trPr>
          <w:cantSplit/>
          <w:jc w:val="center"/>
        </w:trPr>
        <w:tc>
          <w:tcPr>
            <w:tcW w:w="471" w:type="dxa"/>
            <w:vMerge/>
            <w:tcBorders>
              <w:left w:val="single" w:sz="4" w:space="0" w:color="000000"/>
            </w:tcBorders>
            <w:vAlign w:val="center"/>
          </w:tcPr>
          <w:p w14:paraId="66D4BC5E" w14:textId="77777777" w:rsidR="00853B16" w:rsidRPr="00BA32CC" w:rsidRDefault="00853B16" w:rsidP="004B4F82">
            <w:pPr>
              <w:pStyle w:val="Tabletext"/>
              <w:rPr>
                <w:sz w:val="16"/>
                <w:szCs w:val="16"/>
              </w:rPr>
            </w:pPr>
          </w:p>
        </w:tc>
        <w:tc>
          <w:tcPr>
            <w:tcW w:w="1088" w:type="dxa"/>
            <w:vMerge/>
            <w:tcBorders>
              <w:left w:val="single" w:sz="4" w:space="0" w:color="000000"/>
            </w:tcBorders>
            <w:vAlign w:val="center"/>
          </w:tcPr>
          <w:p w14:paraId="0A4B61C1" w14:textId="77777777" w:rsidR="00853B16" w:rsidRPr="00BA32CC" w:rsidRDefault="00853B16" w:rsidP="004B4F82">
            <w:pPr>
              <w:pStyle w:val="Tabletext"/>
              <w:rPr>
                <w:sz w:val="16"/>
                <w:szCs w:val="16"/>
              </w:rPr>
            </w:pPr>
          </w:p>
        </w:tc>
        <w:tc>
          <w:tcPr>
            <w:tcW w:w="683" w:type="dxa"/>
            <w:vMerge w:val="restart"/>
            <w:tcBorders>
              <w:top w:val="single" w:sz="4" w:space="0" w:color="000000"/>
              <w:left w:val="single" w:sz="4" w:space="0" w:color="000000"/>
            </w:tcBorders>
            <w:vAlign w:val="center"/>
          </w:tcPr>
          <w:p w14:paraId="08F1E968" w14:textId="77777777" w:rsidR="00853B16" w:rsidRPr="00BA32CC" w:rsidRDefault="00853B16" w:rsidP="004B4F82">
            <w:pPr>
              <w:pStyle w:val="Tabletext"/>
              <w:rPr>
                <w:sz w:val="16"/>
                <w:szCs w:val="16"/>
              </w:rPr>
            </w:pPr>
            <w:r w:rsidRPr="00BA32CC">
              <w:rPr>
                <w:sz w:val="16"/>
                <w:szCs w:val="16"/>
              </w:rPr>
              <w:t>N4</w:t>
            </w:r>
          </w:p>
        </w:tc>
        <w:tc>
          <w:tcPr>
            <w:tcW w:w="8579" w:type="dxa"/>
            <w:vMerge w:val="restart"/>
            <w:tcBorders>
              <w:top w:val="single" w:sz="4" w:space="0" w:color="000000"/>
              <w:left w:val="single" w:sz="4" w:space="0" w:color="000000"/>
            </w:tcBorders>
            <w:vAlign w:val="center"/>
          </w:tcPr>
          <w:p w14:paraId="4393E86A" w14:textId="084A157D" w:rsidR="006E2D8C" w:rsidRPr="00BA32CC" w:rsidRDefault="00853B16" w:rsidP="000A409E">
            <w:pPr>
              <w:pStyle w:val="Tabletext"/>
              <w:rPr>
                <w:sz w:val="16"/>
                <w:szCs w:val="16"/>
              </w:rPr>
            </w:pPr>
            <w:r w:rsidRPr="00BA32CC">
              <w:rPr>
                <w:sz w:val="16"/>
                <w:szCs w:val="16"/>
              </w:rPr>
              <w:t>Notification for recording in the MIFR of frequency assignments to a satellite network not subject to coordination under Section</w:t>
            </w:r>
            <w:r>
              <w:rPr>
                <w:sz w:val="16"/>
                <w:szCs w:val="16"/>
              </w:rPr>
              <w:t> </w:t>
            </w:r>
            <w:r w:rsidRPr="00BA32CC">
              <w:rPr>
                <w:sz w:val="16"/>
                <w:szCs w:val="16"/>
              </w:rPr>
              <w:t xml:space="preserve">II of Article </w:t>
            </w:r>
            <w:r w:rsidRPr="00C40528">
              <w:rPr>
                <w:b/>
                <w:bCs/>
                <w:sz w:val="16"/>
                <w:szCs w:val="16"/>
              </w:rPr>
              <w:t>9</w:t>
            </w:r>
            <w:r w:rsidRPr="00BA32CC">
              <w:rPr>
                <w:sz w:val="16"/>
                <w:szCs w:val="16"/>
              </w:rPr>
              <w:t xml:space="preserve">, or to a non-geostationary satellite network subject to No. </w:t>
            </w:r>
            <w:r w:rsidRPr="00CB287F">
              <w:rPr>
                <w:b/>
                <w:bCs/>
                <w:sz w:val="16"/>
                <w:szCs w:val="16"/>
              </w:rPr>
              <w:t>9.21</w:t>
            </w:r>
            <w:r w:rsidRPr="00BA32CC">
              <w:rPr>
                <w:sz w:val="16"/>
                <w:szCs w:val="16"/>
              </w:rPr>
              <w:t xml:space="preserve"> only.</w:t>
            </w:r>
          </w:p>
        </w:tc>
        <w:tc>
          <w:tcPr>
            <w:tcW w:w="2072" w:type="dxa"/>
            <w:gridSpan w:val="2"/>
            <w:tcBorders>
              <w:top w:val="single" w:sz="4" w:space="0" w:color="000000"/>
              <w:left w:val="single" w:sz="4" w:space="0" w:color="000000"/>
              <w:bottom w:val="single" w:sz="4" w:space="0" w:color="000000"/>
            </w:tcBorders>
            <w:vAlign w:val="center"/>
          </w:tcPr>
          <w:p w14:paraId="1C47F5BD" w14:textId="77777777" w:rsidR="00853B16" w:rsidRPr="000B5AB0" w:rsidRDefault="00853B16" w:rsidP="004B4F82">
            <w:pPr>
              <w:pStyle w:val="Tabletext"/>
              <w:jc w:val="center"/>
              <w:rPr>
                <w:sz w:val="16"/>
                <w:szCs w:val="16"/>
              </w:rPr>
            </w:pPr>
            <w:r w:rsidRPr="000B5AB0">
              <w:rPr>
                <w:sz w:val="16"/>
                <w:szCs w:val="16"/>
              </w:rPr>
              <w:t>7 030</w:t>
            </w:r>
          </w:p>
        </w:tc>
        <w:tc>
          <w:tcPr>
            <w:tcW w:w="2394" w:type="dxa"/>
            <w:gridSpan w:val="2"/>
            <w:tcBorders>
              <w:top w:val="single" w:sz="4" w:space="0" w:color="000000"/>
              <w:left w:val="single" w:sz="4" w:space="0" w:color="000000"/>
              <w:bottom w:val="single" w:sz="4" w:space="0" w:color="000000"/>
              <w:right w:val="single" w:sz="4" w:space="0" w:color="000000"/>
            </w:tcBorders>
            <w:vAlign w:val="center"/>
          </w:tcPr>
          <w:p w14:paraId="0FAB153A" w14:textId="77777777" w:rsidR="00853B16" w:rsidRPr="000B5AB0" w:rsidRDefault="00853B16" w:rsidP="004B4F82">
            <w:pPr>
              <w:pStyle w:val="Tabletext"/>
              <w:jc w:val="center"/>
              <w:rPr>
                <w:sz w:val="16"/>
                <w:szCs w:val="16"/>
              </w:rPr>
            </w:pPr>
            <w:r w:rsidRPr="000B5AB0">
              <w:rPr>
                <w:sz w:val="16"/>
                <w:szCs w:val="16"/>
              </w:rPr>
              <w:t>Not applicable</w:t>
            </w:r>
          </w:p>
        </w:tc>
      </w:tr>
      <w:tr w:rsidR="00233B79" w:rsidRPr="007E04E8" w14:paraId="2D0CCE59" w14:textId="77777777" w:rsidTr="000B5AB0">
        <w:trPr>
          <w:cantSplit/>
          <w:jc w:val="center"/>
        </w:trPr>
        <w:tc>
          <w:tcPr>
            <w:tcW w:w="471" w:type="dxa"/>
            <w:vMerge/>
            <w:tcBorders>
              <w:left w:val="single" w:sz="4" w:space="0" w:color="000000"/>
              <w:bottom w:val="single" w:sz="4" w:space="0" w:color="000000"/>
            </w:tcBorders>
            <w:vAlign w:val="center"/>
          </w:tcPr>
          <w:p w14:paraId="6534C1CC" w14:textId="77777777" w:rsidR="00233B79" w:rsidRPr="00BA32CC" w:rsidRDefault="00233B79" w:rsidP="004B4F82">
            <w:pPr>
              <w:pStyle w:val="Tabletext"/>
              <w:rPr>
                <w:sz w:val="16"/>
                <w:szCs w:val="16"/>
              </w:rPr>
            </w:pPr>
          </w:p>
        </w:tc>
        <w:tc>
          <w:tcPr>
            <w:tcW w:w="1088" w:type="dxa"/>
            <w:vMerge/>
            <w:tcBorders>
              <w:left w:val="single" w:sz="4" w:space="0" w:color="000000"/>
              <w:bottom w:val="single" w:sz="4" w:space="0" w:color="000000"/>
            </w:tcBorders>
            <w:vAlign w:val="center"/>
          </w:tcPr>
          <w:p w14:paraId="33FB9D68" w14:textId="77777777" w:rsidR="00233B79" w:rsidRPr="00BA32CC" w:rsidRDefault="00233B79" w:rsidP="004B4F82">
            <w:pPr>
              <w:pStyle w:val="Tabletext"/>
              <w:rPr>
                <w:sz w:val="16"/>
                <w:szCs w:val="16"/>
              </w:rPr>
            </w:pPr>
          </w:p>
        </w:tc>
        <w:tc>
          <w:tcPr>
            <w:tcW w:w="683" w:type="dxa"/>
            <w:vMerge/>
            <w:tcBorders>
              <w:left w:val="single" w:sz="4" w:space="0" w:color="000000"/>
              <w:bottom w:val="single" w:sz="4" w:space="0" w:color="000000"/>
            </w:tcBorders>
            <w:vAlign w:val="center"/>
          </w:tcPr>
          <w:p w14:paraId="56D260A4" w14:textId="77777777" w:rsidR="00233B79" w:rsidRPr="00BA32CC" w:rsidRDefault="00233B79" w:rsidP="004B4F82">
            <w:pPr>
              <w:pStyle w:val="Tabletext"/>
              <w:rPr>
                <w:sz w:val="16"/>
                <w:szCs w:val="16"/>
              </w:rPr>
            </w:pPr>
          </w:p>
        </w:tc>
        <w:tc>
          <w:tcPr>
            <w:tcW w:w="8579" w:type="dxa"/>
            <w:vMerge/>
            <w:tcBorders>
              <w:left w:val="single" w:sz="4" w:space="0" w:color="000000"/>
              <w:bottom w:val="single" w:sz="4" w:space="0" w:color="000000"/>
            </w:tcBorders>
            <w:vAlign w:val="center"/>
          </w:tcPr>
          <w:p w14:paraId="5FD266D1" w14:textId="77777777" w:rsidR="00233B79" w:rsidRPr="00BA32CC" w:rsidRDefault="00233B79" w:rsidP="004B4F82">
            <w:pPr>
              <w:pStyle w:val="Tabletext"/>
              <w:rPr>
                <w:sz w:val="16"/>
                <w:szCs w:val="16"/>
              </w:rPr>
            </w:pPr>
          </w:p>
        </w:tc>
        <w:tc>
          <w:tcPr>
            <w:tcW w:w="1079" w:type="dxa"/>
            <w:tcBorders>
              <w:top w:val="single" w:sz="4" w:space="0" w:color="000000"/>
              <w:left w:val="single" w:sz="4" w:space="0" w:color="000000"/>
              <w:bottom w:val="single" w:sz="4" w:space="0" w:color="000000"/>
              <w:right w:val="single" w:sz="4" w:space="0" w:color="000000"/>
            </w:tcBorders>
            <w:vAlign w:val="center"/>
          </w:tcPr>
          <w:p w14:paraId="25BF47B4" w14:textId="0E7A82BC" w:rsidR="00233B79" w:rsidRPr="000B5AB0" w:rsidRDefault="00233B79" w:rsidP="004B4F82">
            <w:pPr>
              <w:pStyle w:val="Tabletext"/>
              <w:jc w:val="cente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62E8DD2" w14:textId="131ABE3E" w:rsidR="00233B79" w:rsidRPr="000B5AB0" w:rsidRDefault="00233B79" w:rsidP="004B4F82">
            <w:pPr>
              <w:pStyle w:val="Tabletext"/>
              <w:jc w:val="center"/>
              <w:rPr>
                <w:sz w:val="16"/>
                <w:szCs w:val="16"/>
              </w:rPr>
            </w:pPr>
          </w:p>
        </w:tc>
        <w:tc>
          <w:tcPr>
            <w:tcW w:w="994" w:type="dxa"/>
            <w:tcBorders>
              <w:top w:val="single" w:sz="4" w:space="0" w:color="000000"/>
              <w:left w:val="single" w:sz="4" w:space="0" w:color="000000"/>
              <w:bottom w:val="single" w:sz="4" w:space="0" w:color="000000"/>
              <w:right w:val="single" w:sz="4" w:space="0" w:color="auto"/>
            </w:tcBorders>
            <w:vAlign w:val="center"/>
          </w:tcPr>
          <w:p w14:paraId="33038B6E" w14:textId="0400FD8F" w:rsidR="00233B79" w:rsidRPr="000B5AB0" w:rsidRDefault="00233B79" w:rsidP="004B4F82">
            <w:pPr>
              <w:pStyle w:val="Tabletext"/>
              <w:jc w:val="center"/>
              <w:rPr>
                <w:sz w:val="16"/>
                <w:szCs w:val="16"/>
              </w:rPr>
            </w:pPr>
          </w:p>
        </w:tc>
        <w:tc>
          <w:tcPr>
            <w:tcW w:w="1400" w:type="dxa"/>
            <w:tcBorders>
              <w:top w:val="single" w:sz="4" w:space="0" w:color="auto"/>
              <w:left w:val="single" w:sz="4" w:space="0" w:color="auto"/>
              <w:bottom w:val="single" w:sz="4" w:space="0" w:color="auto"/>
              <w:right w:val="single" w:sz="4" w:space="0" w:color="auto"/>
            </w:tcBorders>
            <w:vAlign w:val="center"/>
          </w:tcPr>
          <w:p w14:paraId="2A08C225" w14:textId="350C10CB" w:rsidR="00233B79" w:rsidRPr="000B5AB0" w:rsidRDefault="00233B79" w:rsidP="004B4F82">
            <w:pPr>
              <w:pStyle w:val="Tabletext"/>
              <w:jc w:val="center"/>
              <w:rPr>
                <w:sz w:val="16"/>
                <w:szCs w:val="16"/>
              </w:rPr>
            </w:pPr>
          </w:p>
        </w:tc>
      </w:tr>
      <w:tr w:rsidR="009C6203" w:rsidRPr="007E04E8" w14:paraId="6D0F0DB0" w14:textId="77777777" w:rsidTr="000B5AB0">
        <w:trPr>
          <w:cantSplit/>
          <w:jc w:val="center"/>
        </w:trPr>
        <w:tc>
          <w:tcPr>
            <w:tcW w:w="471" w:type="dxa"/>
            <w:vMerge w:val="restart"/>
            <w:tcBorders>
              <w:top w:val="single" w:sz="4" w:space="0" w:color="000000"/>
              <w:left w:val="single" w:sz="4" w:space="0" w:color="000000"/>
              <w:bottom w:val="single" w:sz="4" w:space="0" w:color="000000"/>
            </w:tcBorders>
            <w:vAlign w:val="center"/>
          </w:tcPr>
          <w:p w14:paraId="5F54FC0E" w14:textId="25E17914" w:rsidR="009C6203" w:rsidRPr="00BA32CC" w:rsidRDefault="009C6203" w:rsidP="009C6203">
            <w:pPr>
              <w:pStyle w:val="Tabletext"/>
              <w:rPr>
                <w:sz w:val="16"/>
                <w:szCs w:val="16"/>
              </w:rPr>
            </w:pPr>
            <w:r w:rsidRPr="00BA32CC">
              <w:rPr>
                <w:sz w:val="16"/>
                <w:szCs w:val="16"/>
              </w:rPr>
              <w:t>4</w:t>
            </w:r>
          </w:p>
        </w:tc>
        <w:tc>
          <w:tcPr>
            <w:tcW w:w="1088" w:type="dxa"/>
            <w:vMerge w:val="restart"/>
            <w:tcBorders>
              <w:top w:val="single" w:sz="4" w:space="0" w:color="000000"/>
              <w:left w:val="single" w:sz="4" w:space="0" w:color="000000"/>
              <w:bottom w:val="single" w:sz="4" w:space="0" w:color="000000"/>
            </w:tcBorders>
            <w:vAlign w:val="center"/>
          </w:tcPr>
          <w:p w14:paraId="5A56891D" w14:textId="77777777" w:rsidR="009C6203" w:rsidRPr="00BA32CC" w:rsidRDefault="009C6203" w:rsidP="009C6203">
            <w:pPr>
              <w:pStyle w:val="Tabletext"/>
              <w:rPr>
                <w:sz w:val="16"/>
                <w:szCs w:val="16"/>
              </w:rPr>
            </w:pPr>
            <w:r w:rsidRPr="00BA32CC">
              <w:rPr>
                <w:sz w:val="16"/>
                <w:szCs w:val="16"/>
              </w:rPr>
              <w:t>Plans (P)</w:t>
            </w:r>
          </w:p>
        </w:tc>
        <w:tc>
          <w:tcPr>
            <w:tcW w:w="683" w:type="dxa"/>
            <w:tcBorders>
              <w:top w:val="single" w:sz="4" w:space="0" w:color="000000"/>
              <w:left w:val="single" w:sz="4" w:space="0" w:color="000000"/>
              <w:bottom w:val="single" w:sz="4" w:space="0" w:color="000000"/>
            </w:tcBorders>
            <w:vAlign w:val="center"/>
          </w:tcPr>
          <w:p w14:paraId="44D70A2E" w14:textId="77777777" w:rsidR="009C6203" w:rsidRPr="00BA32CC" w:rsidRDefault="009C6203" w:rsidP="009C6203">
            <w:pPr>
              <w:pStyle w:val="Tabletext"/>
              <w:rPr>
                <w:sz w:val="16"/>
                <w:szCs w:val="16"/>
              </w:rPr>
            </w:pPr>
            <w:r w:rsidRPr="00BA32CC">
              <w:rPr>
                <w:sz w:val="16"/>
                <w:szCs w:val="16"/>
              </w:rPr>
              <w:t>P1</w:t>
            </w:r>
          </w:p>
        </w:tc>
        <w:tc>
          <w:tcPr>
            <w:tcW w:w="8579" w:type="dxa"/>
            <w:tcBorders>
              <w:top w:val="single" w:sz="4" w:space="0" w:color="000000"/>
              <w:left w:val="single" w:sz="4" w:space="0" w:color="000000"/>
              <w:bottom w:val="single" w:sz="4" w:space="0" w:color="000000"/>
            </w:tcBorders>
          </w:tcPr>
          <w:p w14:paraId="19371830" w14:textId="77777777" w:rsidR="009C6203" w:rsidRDefault="009C6203" w:rsidP="009C6203">
            <w:pPr>
              <w:pStyle w:val="Tabletext"/>
              <w:rPr>
                <w:sz w:val="16"/>
                <w:szCs w:val="16"/>
              </w:rPr>
            </w:pPr>
            <w:r w:rsidRPr="00BA32CC">
              <w:rPr>
                <w:sz w:val="16"/>
                <w:szCs w:val="16"/>
              </w:rPr>
              <w:t>Part A Special Section for a proposed new or modified assignment in the Regions 1 and 3 List or feeder-link Lists of additional uses under § 4.1.5 or proposed modification to the Region 2 Plans under §</w:t>
            </w:r>
            <w:r>
              <w:rPr>
                <w:sz w:val="16"/>
                <w:szCs w:val="16"/>
              </w:rPr>
              <w:t> </w:t>
            </w:r>
            <w:r w:rsidRPr="00BA32CC">
              <w:rPr>
                <w:sz w:val="16"/>
                <w:szCs w:val="16"/>
              </w:rPr>
              <w:t xml:space="preserve">4.2.8 of Appendices </w:t>
            </w:r>
            <w:r w:rsidRPr="00CB287F">
              <w:rPr>
                <w:b/>
                <w:bCs/>
                <w:sz w:val="16"/>
                <w:szCs w:val="16"/>
              </w:rPr>
              <w:t>30</w:t>
            </w:r>
            <w:r w:rsidRPr="00BA32CC">
              <w:rPr>
                <w:sz w:val="16"/>
                <w:szCs w:val="16"/>
              </w:rPr>
              <w:t xml:space="preserve"> or </w:t>
            </w:r>
            <w:r w:rsidRPr="00CB287F">
              <w:rPr>
                <w:b/>
                <w:bCs/>
                <w:sz w:val="16"/>
                <w:szCs w:val="16"/>
              </w:rPr>
              <w:t>30A</w:t>
            </w:r>
            <w:r w:rsidRPr="00BA32CC">
              <w:rPr>
                <w:sz w:val="16"/>
                <w:szCs w:val="16"/>
              </w:rPr>
              <w:t xml:space="preserve">; or Part B Special Section for a proposed new or modified assignment in the Regions 1 and 3 List or feeder-link Lists of additional uses under § 4.1.15 (except Part B special section related to the application of Resolution </w:t>
            </w:r>
            <w:r w:rsidRPr="00CB287F">
              <w:rPr>
                <w:b/>
                <w:bCs/>
                <w:sz w:val="16"/>
                <w:szCs w:val="16"/>
              </w:rPr>
              <w:t>548 (Rev.WRC-12)</w:t>
            </w:r>
            <w:r w:rsidRPr="00BA32CC">
              <w:rPr>
                <w:sz w:val="16"/>
                <w:szCs w:val="16"/>
              </w:rPr>
              <w:t xml:space="preserve">) or proposed modification to the Region 2 Plans under § 4.2.19 of Appendices </w:t>
            </w:r>
            <w:r w:rsidRPr="00CB287F">
              <w:rPr>
                <w:b/>
                <w:bCs/>
                <w:sz w:val="16"/>
                <w:szCs w:val="16"/>
              </w:rPr>
              <w:t>30</w:t>
            </w:r>
            <w:r w:rsidRPr="00BA32CC">
              <w:rPr>
                <w:sz w:val="16"/>
                <w:szCs w:val="16"/>
              </w:rPr>
              <w:t xml:space="preserve"> or </w:t>
            </w:r>
            <w:r w:rsidRPr="00CB287F">
              <w:rPr>
                <w:b/>
                <w:bCs/>
                <w:sz w:val="16"/>
                <w:szCs w:val="16"/>
              </w:rPr>
              <w:t>30A</w:t>
            </w:r>
            <w:r w:rsidRPr="00CB287F">
              <w:rPr>
                <w:sz w:val="16"/>
                <w:szCs w:val="16"/>
                <w:vertAlign w:val="superscript"/>
              </w:rPr>
              <w:t>b)</w:t>
            </w:r>
            <w:r w:rsidRPr="00BA32CC">
              <w:rPr>
                <w:sz w:val="16"/>
                <w:szCs w:val="16"/>
              </w:rPr>
              <w:t>.</w:t>
            </w:r>
          </w:p>
          <w:p w14:paraId="08AE6F17" w14:textId="4B1884CD" w:rsidR="006E2D8C" w:rsidRPr="00F614E4" w:rsidRDefault="009C6203" w:rsidP="000A409E">
            <w:pPr>
              <w:pStyle w:val="Tabletext"/>
              <w:rPr>
                <w:sz w:val="16"/>
                <w:szCs w:val="16"/>
              </w:rPr>
            </w:pPr>
            <w:commentRangeStart w:id="17"/>
            <w:r>
              <w:rPr>
                <w:sz w:val="16"/>
                <w:szCs w:val="16"/>
              </w:rPr>
              <w:t>Note: for Part B Special Sections for which a further examination under Note 7</w:t>
            </w:r>
            <w:r w:rsidRPr="0037448D">
              <w:rPr>
                <w:i/>
                <w:iCs/>
                <w:sz w:val="16"/>
                <w:szCs w:val="16"/>
              </w:rPr>
              <w:t>bis</w:t>
            </w:r>
            <w:r>
              <w:rPr>
                <w:sz w:val="16"/>
                <w:szCs w:val="16"/>
              </w:rPr>
              <w:t xml:space="preserve"> of </w:t>
            </w:r>
            <w:r w:rsidRPr="00BA32CC">
              <w:rPr>
                <w:sz w:val="16"/>
                <w:szCs w:val="16"/>
              </w:rPr>
              <w:t>§</w:t>
            </w:r>
            <w:r>
              <w:rPr>
                <w:sz w:val="16"/>
                <w:szCs w:val="16"/>
              </w:rPr>
              <w:t xml:space="preserve"> 4.1.12 of Appendix </w:t>
            </w:r>
            <w:r>
              <w:rPr>
                <w:b/>
                <w:bCs/>
                <w:sz w:val="16"/>
                <w:szCs w:val="16"/>
              </w:rPr>
              <w:t>30</w:t>
            </w:r>
            <w:r w:rsidRPr="000B5AB0">
              <w:rPr>
                <w:sz w:val="16"/>
                <w:szCs w:val="16"/>
              </w:rPr>
              <w:t>, Note</w:t>
            </w:r>
            <w:r>
              <w:rPr>
                <w:sz w:val="16"/>
                <w:szCs w:val="16"/>
              </w:rPr>
              <w:t xml:space="preserve"> 16bis of </w:t>
            </w:r>
            <w:r w:rsidRPr="00BA32CC">
              <w:rPr>
                <w:sz w:val="16"/>
                <w:szCs w:val="16"/>
              </w:rPr>
              <w:t>§</w:t>
            </w:r>
            <w:r>
              <w:rPr>
                <w:sz w:val="16"/>
                <w:szCs w:val="16"/>
              </w:rPr>
              <w:t xml:space="preserve"> 4.2.16 of Appendix </w:t>
            </w:r>
            <w:r>
              <w:rPr>
                <w:b/>
                <w:bCs/>
                <w:sz w:val="16"/>
                <w:szCs w:val="16"/>
              </w:rPr>
              <w:t>30</w:t>
            </w:r>
            <w:r w:rsidRPr="005C3681">
              <w:rPr>
                <w:sz w:val="16"/>
                <w:szCs w:val="16"/>
              </w:rPr>
              <w:t>,</w:t>
            </w:r>
            <w:r>
              <w:rPr>
                <w:sz w:val="16"/>
                <w:szCs w:val="16"/>
              </w:rPr>
              <w:t xml:space="preserve"> Note 9</w:t>
            </w:r>
            <w:r w:rsidRPr="0037448D">
              <w:rPr>
                <w:i/>
                <w:iCs/>
                <w:sz w:val="16"/>
                <w:szCs w:val="16"/>
              </w:rPr>
              <w:t>bis</w:t>
            </w:r>
            <w:r>
              <w:rPr>
                <w:sz w:val="16"/>
                <w:szCs w:val="16"/>
              </w:rPr>
              <w:t xml:space="preserve"> of </w:t>
            </w:r>
            <w:r w:rsidRPr="00BA32CC">
              <w:rPr>
                <w:sz w:val="16"/>
                <w:szCs w:val="16"/>
              </w:rPr>
              <w:t>§</w:t>
            </w:r>
            <w:r>
              <w:rPr>
                <w:sz w:val="16"/>
                <w:szCs w:val="16"/>
              </w:rPr>
              <w:t xml:space="preserve"> 4.1.12 of Appendix </w:t>
            </w:r>
            <w:r>
              <w:rPr>
                <w:b/>
                <w:bCs/>
                <w:sz w:val="16"/>
                <w:szCs w:val="16"/>
              </w:rPr>
              <w:t>30A</w:t>
            </w:r>
            <w:r w:rsidRPr="005C3681">
              <w:rPr>
                <w:sz w:val="16"/>
                <w:szCs w:val="16"/>
              </w:rPr>
              <w:t xml:space="preserve">, </w:t>
            </w:r>
            <w:proofErr w:type="gramStart"/>
            <w:r w:rsidRPr="005C3681">
              <w:rPr>
                <w:sz w:val="16"/>
                <w:szCs w:val="16"/>
              </w:rPr>
              <w:t>Note</w:t>
            </w:r>
            <w:proofErr w:type="gramEnd"/>
            <w:r>
              <w:rPr>
                <w:sz w:val="16"/>
                <w:szCs w:val="16"/>
              </w:rPr>
              <w:t xml:space="preserve"> 19</w:t>
            </w:r>
            <w:r w:rsidRPr="0037448D">
              <w:rPr>
                <w:i/>
                <w:iCs/>
                <w:sz w:val="16"/>
                <w:szCs w:val="16"/>
              </w:rPr>
              <w:t>bis</w:t>
            </w:r>
            <w:r>
              <w:rPr>
                <w:sz w:val="16"/>
                <w:szCs w:val="16"/>
              </w:rPr>
              <w:t xml:space="preserve"> of </w:t>
            </w:r>
            <w:r w:rsidRPr="00BA32CC">
              <w:rPr>
                <w:sz w:val="16"/>
                <w:szCs w:val="16"/>
              </w:rPr>
              <w:t>§</w:t>
            </w:r>
            <w:r>
              <w:rPr>
                <w:sz w:val="16"/>
                <w:szCs w:val="16"/>
              </w:rPr>
              <w:t xml:space="preserve"> 4.2.16 of Appendix </w:t>
            </w:r>
            <w:r>
              <w:rPr>
                <w:b/>
                <w:bCs/>
                <w:sz w:val="16"/>
                <w:szCs w:val="16"/>
              </w:rPr>
              <w:t xml:space="preserve">30A </w:t>
            </w:r>
            <w:r>
              <w:rPr>
                <w:sz w:val="16"/>
                <w:szCs w:val="16"/>
              </w:rPr>
              <w:t xml:space="preserve">is required, an additional fee of </w:t>
            </w:r>
            <w:r w:rsidR="008F456F">
              <w:rPr>
                <w:sz w:val="16"/>
                <w:szCs w:val="16"/>
              </w:rPr>
              <w:t>7 217.50</w:t>
            </w:r>
            <w:r>
              <w:rPr>
                <w:sz w:val="16"/>
                <w:szCs w:val="16"/>
              </w:rPr>
              <w:t xml:space="preserve"> CHF is applicable.</w:t>
            </w:r>
            <w:commentRangeEnd w:id="17"/>
            <w:r>
              <w:rPr>
                <w:rStyle w:val="CommentReference"/>
              </w:rPr>
              <w:commentReference w:id="17"/>
            </w:r>
          </w:p>
        </w:tc>
        <w:tc>
          <w:tcPr>
            <w:tcW w:w="2072" w:type="dxa"/>
            <w:gridSpan w:val="2"/>
            <w:tcBorders>
              <w:top w:val="single" w:sz="4" w:space="0" w:color="000000"/>
              <w:left w:val="single" w:sz="4" w:space="0" w:color="000000"/>
              <w:bottom w:val="single" w:sz="4" w:space="0" w:color="000000"/>
            </w:tcBorders>
            <w:vAlign w:val="center"/>
          </w:tcPr>
          <w:p w14:paraId="26E879CF" w14:textId="77777777" w:rsidR="009C6203" w:rsidRPr="00BA32CC" w:rsidRDefault="009C6203" w:rsidP="009C6203">
            <w:pPr>
              <w:pStyle w:val="Tabletext"/>
              <w:jc w:val="center"/>
              <w:rPr>
                <w:sz w:val="16"/>
                <w:szCs w:val="16"/>
              </w:rPr>
            </w:pPr>
            <w:r w:rsidRPr="00BA32CC">
              <w:rPr>
                <w:sz w:val="16"/>
                <w:szCs w:val="16"/>
              </w:rPr>
              <w:t>28 870</w:t>
            </w:r>
          </w:p>
        </w:tc>
        <w:tc>
          <w:tcPr>
            <w:tcW w:w="239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F95B35F" w14:textId="77777777" w:rsidR="009C6203" w:rsidRPr="00BA32CC" w:rsidRDefault="009C6203" w:rsidP="009C6203">
            <w:pPr>
              <w:pStyle w:val="Tabletext"/>
              <w:jc w:val="center"/>
              <w:rPr>
                <w:sz w:val="16"/>
                <w:szCs w:val="16"/>
              </w:rPr>
            </w:pPr>
            <w:r w:rsidRPr="00BA32CC">
              <w:rPr>
                <w:sz w:val="16"/>
                <w:szCs w:val="16"/>
              </w:rPr>
              <w:t>Not applicable</w:t>
            </w:r>
          </w:p>
        </w:tc>
      </w:tr>
      <w:tr w:rsidR="009C6203" w:rsidRPr="007E04E8" w14:paraId="14774923" w14:textId="77777777" w:rsidTr="000B5AB0">
        <w:trPr>
          <w:cantSplit/>
          <w:jc w:val="center"/>
        </w:trPr>
        <w:tc>
          <w:tcPr>
            <w:tcW w:w="471" w:type="dxa"/>
            <w:vMerge/>
            <w:tcBorders>
              <w:top w:val="single" w:sz="4" w:space="0" w:color="000000"/>
              <w:left w:val="single" w:sz="4" w:space="0" w:color="000000"/>
              <w:bottom w:val="single" w:sz="4" w:space="0" w:color="000000"/>
            </w:tcBorders>
            <w:vAlign w:val="center"/>
          </w:tcPr>
          <w:p w14:paraId="758D1265" w14:textId="77777777" w:rsidR="009C6203" w:rsidRPr="00BA32CC" w:rsidRDefault="009C6203" w:rsidP="009C6203">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
          <w:p w14:paraId="40079777" w14:textId="77777777" w:rsidR="009C6203" w:rsidRPr="00BA32CC" w:rsidRDefault="009C6203" w:rsidP="009C6203">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7E4A83EC" w14:textId="77777777" w:rsidR="009C6203" w:rsidRPr="00BA32CC" w:rsidRDefault="009C6203" w:rsidP="009C6203">
            <w:pPr>
              <w:pStyle w:val="Tabletext"/>
              <w:rPr>
                <w:sz w:val="16"/>
                <w:szCs w:val="16"/>
                <w:vertAlign w:val="superscript"/>
              </w:rPr>
            </w:pPr>
            <w:r w:rsidRPr="00BA32CC">
              <w:rPr>
                <w:sz w:val="16"/>
                <w:szCs w:val="16"/>
              </w:rPr>
              <w:t>P2</w:t>
            </w:r>
            <w:r w:rsidRPr="00BA32CC">
              <w:rPr>
                <w:sz w:val="16"/>
                <w:szCs w:val="16"/>
                <w:vertAlign w:val="superscript"/>
              </w:rPr>
              <w:t>d)</w:t>
            </w:r>
          </w:p>
        </w:tc>
        <w:tc>
          <w:tcPr>
            <w:tcW w:w="8579" w:type="dxa"/>
            <w:tcBorders>
              <w:top w:val="single" w:sz="4" w:space="0" w:color="000000"/>
              <w:left w:val="single" w:sz="4" w:space="0" w:color="000000"/>
              <w:bottom w:val="single" w:sz="4" w:space="0" w:color="000000"/>
            </w:tcBorders>
          </w:tcPr>
          <w:p w14:paraId="0BB3F0D2" w14:textId="77777777" w:rsidR="009C6203" w:rsidRPr="00BA32CC" w:rsidRDefault="009C6203" w:rsidP="009C6203">
            <w:pPr>
              <w:pStyle w:val="Tabletext"/>
              <w:rPr>
                <w:rFonts w:ascii="Times New Roman Bold" w:hAnsi="Times New Roman Bold"/>
                <w:sz w:val="16"/>
                <w:szCs w:val="16"/>
                <w:vertAlign w:val="superscript"/>
              </w:rPr>
            </w:pPr>
            <w:r w:rsidRPr="00BA32CC">
              <w:rPr>
                <w:sz w:val="16"/>
                <w:szCs w:val="16"/>
              </w:rPr>
              <w:t xml:space="preserve">Notification for recording in the MIFR of frequency assignments to space stations in the broadcasting-satellite service and its associated feeder-link in Regions 1 and 3 or Region 2 under Article 5 of Appendices </w:t>
            </w:r>
            <w:r w:rsidRPr="00CB287F">
              <w:rPr>
                <w:b/>
                <w:bCs/>
                <w:sz w:val="16"/>
                <w:szCs w:val="16"/>
              </w:rPr>
              <w:t>30</w:t>
            </w:r>
            <w:r w:rsidRPr="00BA32CC">
              <w:rPr>
                <w:sz w:val="16"/>
                <w:szCs w:val="16"/>
              </w:rPr>
              <w:t xml:space="preserve"> or </w:t>
            </w:r>
            <w:r w:rsidRPr="00CB287F">
              <w:rPr>
                <w:b/>
                <w:bCs/>
                <w:sz w:val="16"/>
                <w:szCs w:val="16"/>
              </w:rPr>
              <w:t>30A</w:t>
            </w:r>
            <w:r w:rsidRPr="00BA32CC">
              <w:rPr>
                <w:sz w:val="16"/>
                <w:szCs w:val="16"/>
                <w:vertAlign w:val="superscript"/>
              </w:rPr>
              <w:t>b)</w:t>
            </w:r>
            <w:r w:rsidRPr="00BA32CC">
              <w:rPr>
                <w:sz w:val="16"/>
                <w:szCs w:val="16"/>
              </w:rPr>
              <w:t>.</w:t>
            </w:r>
          </w:p>
        </w:tc>
        <w:tc>
          <w:tcPr>
            <w:tcW w:w="2072" w:type="dxa"/>
            <w:gridSpan w:val="2"/>
            <w:tcBorders>
              <w:top w:val="single" w:sz="4" w:space="0" w:color="000000"/>
              <w:left w:val="single" w:sz="4" w:space="0" w:color="000000"/>
              <w:bottom w:val="single" w:sz="4" w:space="0" w:color="000000"/>
            </w:tcBorders>
            <w:vAlign w:val="center"/>
          </w:tcPr>
          <w:p w14:paraId="112A53FA" w14:textId="77777777" w:rsidR="009C6203" w:rsidRPr="00BA32CC" w:rsidRDefault="009C6203" w:rsidP="009C6203">
            <w:pPr>
              <w:pStyle w:val="Tabletext"/>
              <w:jc w:val="center"/>
              <w:rPr>
                <w:sz w:val="16"/>
                <w:szCs w:val="16"/>
              </w:rPr>
            </w:pPr>
            <w:r w:rsidRPr="00BA32CC">
              <w:rPr>
                <w:sz w:val="16"/>
                <w:szCs w:val="16"/>
              </w:rPr>
              <w:t>11 550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
          <w:p w14:paraId="1FE44D54" w14:textId="77777777" w:rsidR="009C6203" w:rsidRPr="00BA32CC" w:rsidRDefault="009C6203" w:rsidP="009C6203">
            <w:pPr>
              <w:pStyle w:val="Tabletext"/>
              <w:rPr>
                <w:sz w:val="16"/>
                <w:szCs w:val="16"/>
              </w:rPr>
            </w:pPr>
          </w:p>
        </w:tc>
      </w:tr>
      <w:tr w:rsidR="009C6203" w:rsidRPr="007E04E8" w14:paraId="0D6A71F1" w14:textId="77777777" w:rsidTr="000B5AB0">
        <w:trPr>
          <w:cantSplit/>
          <w:jc w:val="center"/>
        </w:trPr>
        <w:tc>
          <w:tcPr>
            <w:tcW w:w="471" w:type="dxa"/>
            <w:vMerge/>
            <w:tcBorders>
              <w:top w:val="single" w:sz="4" w:space="0" w:color="000000"/>
              <w:left w:val="single" w:sz="4" w:space="0" w:color="000000"/>
              <w:bottom w:val="single" w:sz="4" w:space="0" w:color="000000"/>
            </w:tcBorders>
            <w:vAlign w:val="center"/>
          </w:tcPr>
          <w:p w14:paraId="3F3D9157" w14:textId="77777777" w:rsidR="009C6203" w:rsidRPr="00BA32CC" w:rsidRDefault="009C6203" w:rsidP="009C6203">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
          <w:p w14:paraId="37FD9757" w14:textId="77777777" w:rsidR="009C6203" w:rsidRPr="00BA32CC" w:rsidRDefault="009C6203" w:rsidP="009C6203">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16A3AB31" w14:textId="77777777" w:rsidR="009C6203" w:rsidRPr="00BA32CC" w:rsidRDefault="009C6203" w:rsidP="009C6203">
            <w:pPr>
              <w:pStyle w:val="Tabletext"/>
              <w:rPr>
                <w:sz w:val="16"/>
                <w:szCs w:val="16"/>
              </w:rPr>
            </w:pPr>
            <w:r w:rsidRPr="00BA32CC">
              <w:rPr>
                <w:sz w:val="16"/>
                <w:szCs w:val="16"/>
              </w:rPr>
              <w:t>P3</w:t>
            </w:r>
          </w:p>
        </w:tc>
        <w:tc>
          <w:tcPr>
            <w:tcW w:w="8579" w:type="dxa"/>
            <w:tcBorders>
              <w:top w:val="single" w:sz="4" w:space="0" w:color="000000"/>
              <w:left w:val="single" w:sz="4" w:space="0" w:color="000000"/>
              <w:bottom w:val="single" w:sz="4" w:space="0" w:color="000000"/>
            </w:tcBorders>
            <w:vAlign w:val="center"/>
          </w:tcPr>
          <w:p w14:paraId="1FEB2E53" w14:textId="77777777" w:rsidR="009C6203" w:rsidRPr="00BA32CC" w:rsidRDefault="009C6203" w:rsidP="009C6203">
            <w:pPr>
              <w:pStyle w:val="Tabletext"/>
              <w:rPr>
                <w:sz w:val="16"/>
                <w:szCs w:val="16"/>
              </w:rPr>
            </w:pPr>
            <w:r w:rsidRPr="00BA32CC">
              <w:rPr>
                <w:sz w:val="16"/>
                <w:szCs w:val="16"/>
              </w:rPr>
              <w:t xml:space="preserve">Coordination request in accordance with Article 2A of Appendices </w:t>
            </w:r>
            <w:r w:rsidRPr="00447262">
              <w:rPr>
                <w:b/>
                <w:bCs/>
                <w:sz w:val="16"/>
                <w:szCs w:val="16"/>
              </w:rPr>
              <w:t>30</w:t>
            </w:r>
            <w:r w:rsidRPr="00BA32CC">
              <w:rPr>
                <w:sz w:val="16"/>
                <w:szCs w:val="16"/>
              </w:rPr>
              <w:t xml:space="preserve"> and </w:t>
            </w:r>
            <w:r w:rsidRPr="00CB287F">
              <w:rPr>
                <w:b/>
                <w:bCs/>
                <w:sz w:val="16"/>
                <w:szCs w:val="16"/>
              </w:rPr>
              <w:t>30A</w:t>
            </w:r>
            <w:r w:rsidRPr="00BA32CC">
              <w:rPr>
                <w:sz w:val="16"/>
                <w:szCs w:val="16"/>
              </w:rPr>
              <w:t>.</w:t>
            </w:r>
          </w:p>
        </w:tc>
        <w:tc>
          <w:tcPr>
            <w:tcW w:w="2072" w:type="dxa"/>
            <w:gridSpan w:val="2"/>
            <w:tcBorders>
              <w:top w:val="single" w:sz="4" w:space="0" w:color="000000"/>
              <w:left w:val="single" w:sz="4" w:space="0" w:color="000000"/>
              <w:bottom w:val="single" w:sz="4" w:space="0" w:color="000000"/>
            </w:tcBorders>
            <w:vAlign w:val="center"/>
          </w:tcPr>
          <w:p w14:paraId="1C5CF07C" w14:textId="77777777" w:rsidR="009C6203" w:rsidRPr="00BA32CC" w:rsidRDefault="009C6203" w:rsidP="009C6203">
            <w:pPr>
              <w:pStyle w:val="Tabletext"/>
              <w:jc w:val="center"/>
              <w:rPr>
                <w:sz w:val="16"/>
                <w:szCs w:val="16"/>
              </w:rPr>
            </w:pPr>
            <w:r w:rsidRPr="00BA32CC">
              <w:rPr>
                <w:sz w:val="16"/>
                <w:szCs w:val="16"/>
              </w:rPr>
              <w:t>12 000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
          <w:p w14:paraId="34827FB7" w14:textId="77777777" w:rsidR="009C6203" w:rsidRPr="00BA32CC" w:rsidRDefault="009C6203" w:rsidP="009C6203">
            <w:pPr>
              <w:pStyle w:val="Tabletext"/>
              <w:rPr>
                <w:sz w:val="16"/>
                <w:szCs w:val="16"/>
              </w:rPr>
            </w:pPr>
          </w:p>
        </w:tc>
      </w:tr>
      <w:tr w:rsidR="009C6203" w:rsidRPr="007E04E8" w14:paraId="4D35CD4A" w14:textId="77777777" w:rsidTr="000B5AB0">
        <w:trPr>
          <w:cantSplit/>
          <w:jc w:val="center"/>
        </w:trPr>
        <w:tc>
          <w:tcPr>
            <w:tcW w:w="471" w:type="dxa"/>
            <w:vMerge/>
            <w:tcBorders>
              <w:top w:val="single" w:sz="4" w:space="0" w:color="000000"/>
              <w:left w:val="single" w:sz="4" w:space="0" w:color="000000"/>
              <w:bottom w:val="single" w:sz="4" w:space="0" w:color="000000"/>
            </w:tcBorders>
            <w:vAlign w:val="center"/>
          </w:tcPr>
          <w:p w14:paraId="47A1D197" w14:textId="77777777" w:rsidR="009C6203" w:rsidRPr="00BA32CC" w:rsidRDefault="009C6203" w:rsidP="009C6203">
            <w:pPr>
              <w:pStyle w:val="Tabletext"/>
              <w:rPr>
                <w:sz w:val="16"/>
                <w:szCs w:val="16"/>
              </w:rPr>
            </w:pPr>
          </w:p>
        </w:tc>
        <w:tc>
          <w:tcPr>
            <w:tcW w:w="1088" w:type="dxa"/>
            <w:vMerge/>
            <w:tcBorders>
              <w:top w:val="single" w:sz="4" w:space="0" w:color="000000"/>
              <w:left w:val="single" w:sz="4" w:space="0" w:color="000000"/>
              <w:bottom w:val="single" w:sz="4" w:space="0" w:color="000000"/>
            </w:tcBorders>
            <w:vAlign w:val="center"/>
          </w:tcPr>
          <w:p w14:paraId="25F259AF" w14:textId="77777777" w:rsidR="009C6203" w:rsidRPr="00BA32CC" w:rsidRDefault="009C6203" w:rsidP="009C6203">
            <w:pPr>
              <w:pStyle w:val="Tabletext"/>
              <w:rPr>
                <w:sz w:val="16"/>
                <w:szCs w:val="16"/>
              </w:rPr>
            </w:pPr>
          </w:p>
        </w:tc>
        <w:tc>
          <w:tcPr>
            <w:tcW w:w="683" w:type="dxa"/>
            <w:tcBorders>
              <w:top w:val="single" w:sz="4" w:space="0" w:color="000000"/>
              <w:left w:val="single" w:sz="4" w:space="0" w:color="000000"/>
              <w:bottom w:val="single" w:sz="4" w:space="0" w:color="000000"/>
            </w:tcBorders>
            <w:vAlign w:val="center"/>
          </w:tcPr>
          <w:p w14:paraId="5D676185" w14:textId="77777777" w:rsidR="009C6203" w:rsidRPr="00BA32CC" w:rsidRDefault="009C6203" w:rsidP="009C6203">
            <w:pPr>
              <w:pStyle w:val="Tabletext"/>
              <w:rPr>
                <w:sz w:val="16"/>
                <w:szCs w:val="16"/>
              </w:rPr>
            </w:pPr>
            <w:r w:rsidRPr="00BA32CC">
              <w:rPr>
                <w:sz w:val="16"/>
                <w:szCs w:val="16"/>
              </w:rPr>
              <w:t>P4</w:t>
            </w:r>
          </w:p>
        </w:tc>
        <w:tc>
          <w:tcPr>
            <w:tcW w:w="8579" w:type="dxa"/>
            <w:tcBorders>
              <w:top w:val="single" w:sz="4" w:space="0" w:color="000000"/>
              <w:left w:val="single" w:sz="4" w:space="0" w:color="000000"/>
              <w:bottom w:val="single" w:sz="4" w:space="0" w:color="000000"/>
            </w:tcBorders>
          </w:tcPr>
          <w:p w14:paraId="1A936449" w14:textId="77777777" w:rsidR="009C6203" w:rsidRDefault="009C6203" w:rsidP="009C6203">
            <w:pPr>
              <w:pStyle w:val="Tabletext"/>
              <w:rPr>
                <w:sz w:val="16"/>
                <w:szCs w:val="16"/>
              </w:rPr>
            </w:pPr>
            <w:r w:rsidRPr="00BA32CC">
              <w:rPr>
                <w:sz w:val="16"/>
                <w:szCs w:val="16"/>
              </w:rPr>
              <w:t>Request for the conversion of an allotment into an assignment with modification which is beyond the envelop characteristics of the initial allotment, or for the introduction of an additional system, or for the modification of an assignment in the List in accordance with §</w:t>
            </w:r>
            <w:r>
              <w:rPr>
                <w:sz w:val="16"/>
                <w:szCs w:val="16"/>
              </w:rPr>
              <w:t> </w:t>
            </w:r>
            <w:r w:rsidRPr="00BA32CC">
              <w:rPr>
                <w:sz w:val="16"/>
                <w:szCs w:val="16"/>
              </w:rPr>
              <w:t xml:space="preserve">6.1 of Article 6 of Appendix </w:t>
            </w:r>
            <w:r w:rsidRPr="00CB287F">
              <w:rPr>
                <w:b/>
                <w:bCs/>
                <w:sz w:val="16"/>
                <w:szCs w:val="16"/>
              </w:rPr>
              <w:t>30B</w:t>
            </w:r>
            <w:r w:rsidRPr="00BA32CC">
              <w:rPr>
                <w:sz w:val="16"/>
                <w:szCs w:val="16"/>
              </w:rPr>
              <w:t>; or request for inclusion of assignments into the List for converted allotment with modification which is beyond the envelop characteristics of the initial allotment, or for an additional system or for modified assignments in the List in accordance with §</w:t>
            </w:r>
            <w:r>
              <w:rPr>
                <w:sz w:val="16"/>
                <w:szCs w:val="16"/>
              </w:rPr>
              <w:t> </w:t>
            </w:r>
            <w:r w:rsidRPr="00BA32CC">
              <w:rPr>
                <w:sz w:val="16"/>
                <w:szCs w:val="16"/>
              </w:rPr>
              <w:t xml:space="preserve">6.17 of Article 6 of Appendix </w:t>
            </w:r>
            <w:r w:rsidRPr="00CB287F">
              <w:rPr>
                <w:b/>
                <w:bCs/>
                <w:sz w:val="16"/>
                <w:szCs w:val="16"/>
              </w:rPr>
              <w:t>30B</w:t>
            </w:r>
            <w:r w:rsidRPr="00BA32CC">
              <w:rPr>
                <w:sz w:val="16"/>
                <w:szCs w:val="16"/>
                <w:vertAlign w:val="superscript"/>
              </w:rPr>
              <w:t>c)</w:t>
            </w:r>
            <w:r w:rsidRPr="00BA32CC">
              <w:rPr>
                <w:sz w:val="16"/>
                <w:szCs w:val="16"/>
              </w:rPr>
              <w:t xml:space="preserve">; or request for assignments to Appendix </w:t>
            </w:r>
            <w:r w:rsidRPr="00CB287F">
              <w:rPr>
                <w:b/>
                <w:bCs/>
                <w:sz w:val="16"/>
                <w:szCs w:val="16"/>
              </w:rPr>
              <w:t>30B</w:t>
            </w:r>
            <w:r w:rsidRPr="00BA32CC">
              <w:rPr>
                <w:sz w:val="16"/>
                <w:szCs w:val="16"/>
              </w:rPr>
              <w:t xml:space="preserve"> ESIM in accordance with § 1 of Section A of Part 1 in Annex 1 of Resolution </w:t>
            </w:r>
            <w:r w:rsidRPr="00CB287F">
              <w:rPr>
                <w:b/>
                <w:bCs/>
                <w:sz w:val="16"/>
                <w:szCs w:val="16"/>
              </w:rPr>
              <w:t>121 (WRC-23)</w:t>
            </w:r>
            <w:r w:rsidRPr="00BA32CC">
              <w:rPr>
                <w:sz w:val="16"/>
                <w:szCs w:val="16"/>
              </w:rPr>
              <w:t xml:space="preserve">; or request for inclusion of assignments to Appendix </w:t>
            </w:r>
            <w:r w:rsidRPr="00CB287F">
              <w:rPr>
                <w:b/>
                <w:bCs/>
                <w:sz w:val="16"/>
                <w:szCs w:val="16"/>
              </w:rPr>
              <w:t>30B</w:t>
            </w:r>
            <w:r w:rsidRPr="00BA32CC">
              <w:rPr>
                <w:sz w:val="16"/>
                <w:szCs w:val="16"/>
              </w:rPr>
              <w:t xml:space="preserve"> ESIM into the Appendix </w:t>
            </w:r>
            <w:r w:rsidRPr="00CB287F">
              <w:rPr>
                <w:b/>
                <w:bCs/>
                <w:sz w:val="16"/>
                <w:szCs w:val="16"/>
              </w:rPr>
              <w:t>30B</w:t>
            </w:r>
            <w:r w:rsidRPr="00BA32CC">
              <w:rPr>
                <w:sz w:val="16"/>
                <w:szCs w:val="16"/>
              </w:rPr>
              <w:t xml:space="preserve"> ESIM List in accordance with § 11 of Section A of Part 1 in Annex 1 of Resolution </w:t>
            </w:r>
            <w:r w:rsidRPr="00CB287F">
              <w:rPr>
                <w:b/>
                <w:bCs/>
                <w:sz w:val="16"/>
                <w:szCs w:val="16"/>
              </w:rPr>
              <w:t>121 (WRC-23)</w:t>
            </w:r>
            <w:r w:rsidRPr="00BA32CC">
              <w:rPr>
                <w:sz w:val="16"/>
                <w:szCs w:val="16"/>
              </w:rPr>
              <w:t>.</w:t>
            </w:r>
          </w:p>
          <w:p w14:paraId="62150813" w14:textId="659DA83D" w:rsidR="006E2D8C" w:rsidRPr="00BA32CC" w:rsidRDefault="009C6203" w:rsidP="009C6203">
            <w:pPr>
              <w:pStyle w:val="Tabletext"/>
              <w:rPr>
                <w:sz w:val="16"/>
                <w:szCs w:val="16"/>
              </w:rPr>
            </w:pPr>
            <w:commentRangeStart w:id="18"/>
            <w:r>
              <w:rPr>
                <w:sz w:val="16"/>
                <w:szCs w:val="16"/>
              </w:rPr>
              <w:t>Note: for Part B Special Sections for which a further examination under Note 7</w:t>
            </w:r>
            <w:r w:rsidRPr="00E242FB">
              <w:rPr>
                <w:i/>
                <w:iCs/>
                <w:sz w:val="16"/>
                <w:szCs w:val="16"/>
              </w:rPr>
              <w:t>bis</w:t>
            </w:r>
            <w:r>
              <w:rPr>
                <w:sz w:val="16"/>
                <w:szCs w:val="16"/>
              </w:rPr>
              <w:t xml:space="preserve"> of </w:t>
            </w:r>
            <w:r w:rsidRPr="00BA32CC">
              <w:rPr>
                <w:sz w:val="16"/>
                <w:szCs w:val="16"/>
              </w:rPr>
              <w:t>§</w:t>
            </w:r>
            <w:r>
              <w:rPr>
                <w:sz w:val="16"/>
                <w:szCs w:val="16"/>
              </w:rPr>
              <w:t xml:space="preserve"> 6.21 </w:t>
            </w:r>
            <w:r w:rsidRPr="005C3681">
              <w:rPr>
                <w:i/>
                <w:iCs/>
                <w:sz w:val="16"/>
                <w:szCs w:val="16"/>
              </w:rPr>
              <w:t>c)</w:t>
            </w:r>
            <w:r>
              <w:rPr>
                <w:sz w:val="16"/>
                <w:szCs w:val="16"/>
              </w:rPr>
              <w:t xml:space="preserve"> of Appendix </w:t>
            </w:r>
            <w:r>
              <w:rPr>
                <w:b/>
                <w:bCs/>
                <w:sz w:val="16"/>
                <w:szCs w:val="16"/>
              </w:rPr>
              <w:t>30</w:t>
            </w:r>
            <w:r w:rsidRPr="005C3681">
              <w:rPr>
                <w:b/>
                <w:bCs/>
                <w:sz w:val="16"/>
                <w:szCs w:val="16"/>
              </w:rPr>
              <w:t>B</w:t>
            </w:r>
            <w:r>
              <w:rPr>
                <w:sz w:val="16"/>
                <w:szCs w:val="16"/>
              </w:rPr>
              <w:t xml:space="preserve"> is required, an additional fee of </w:t>
            </w:r>
            <w:r w:rsidR="00076374">
              <w:rPr>
                <w:sz w:val="16"/>
                <w:szCs w:val="16"/>
              </w:rPr>
              <w:t>6 337.50</w:t>
            </w:r>
            <w:r>
              <w:rPr>
                <w:sz w:val="16"/>
                <w:szCs w:val="16"/>
              </w:rPr>
              <w:t xml:space="preserve"> CHF is applicable.</w:t>
            </w:r>
            <w:commentRangeEnd w:id="18"/>
            <w:r>
              <w:rPr>
                <w:rStyle w:val="CommentReference"/>
              </w:rPr>
              <w:commentReference w:id="18"/>
            </w:r>
          </w:p>
        </w:tc>
        <w:tc>
          <w:tcPr>
            <w:tcW w:w="2072" w:type="dxa"/>
            <w:gridSpan w:val="2"/>
            <w:tcBorders>
              <w:top w:val="single" w:sz="4" w:space="0" w:color="000000"/>
              <w:left w:val="single" w:sz="4" w:space="0" w:color="000000"/>
              <w:bottom w:val="single" w:sz="4" w:space="0" w:color="000000"/>
            </w:tcBorders>
            <w:vAlign w:val="center"/>
          </w:tcPr>
          <w:p w14:paraId="5BE3BC28" w14:textId="77777777" w:rsidR="009C6203" w:rsidRPr="00BA32CC" w:rsidRDefault="009C6203" w:rsidP="009C6203">
            <w:pPr>
              <w:pStyle w:val="Tabletext"/>
              <w:jc w:val="center"/>
              <w:rPr>
                <w:sz w:val="16"/>
                <w:szCs w:val="16"/>
              </w:rPr>
            </w:pPr>
            <w:r w:rsidRPr="00BA32CC">
              <w:rPr>
                <w:sz w:val="16"/>
                <w:szCs w:val="16"/>
              </w:rPr>
              <w:t>25 350</w:t>
            </w:r>
          </w:p>
        </w:tc>
        <w:tc>
          <w:tcPr>
            <w:tcW w:w="2394" w:type="dxa"/>
            <w:gridSpan w:val="2"/>
            <w:vMerge/>
            <w:tcBorders>
              <w:top w:val="single" w:sz="4" w:space="0" w:color="000000"/>
              <w:left w:val="single" w:sz="4" w:space="0" w:color="000000"/>
              <w:bottom w:val="single" w:sz="4" w:space="0" w:color="000000"/>
              <w:right w:val="single" w:sz="4" w:space="0" w:color="000000"/>
            </w:tcBorders>
            <w:vAlign w:val="center"/>
          </w:tcPr>
          <w:p w14:paraId="4AB64304" w14:textId="77777777" w:rsidR="009C6203" w:rsidRPr="00BA32CC" w:rsidRDefault="009C6203" w:rsidP="009C6203">
            <w:pPr>
              <w:pStyle w:val="Tabletext"/>
              <w:rPr>
                <w:sz w:val="16"/>
                <w:szCs w:val="16"/>
              </w:rPr>
            </w:pPr>
          </w:p>
        </w:tc>
      </w:tr>
      <w:tr w:rsidR="009C6203" w:rsidRPr="007E04E8" w14:paraId="2BB9EF7C" w14:textId="77777777" w:rsidTr="000B5AB0">
        <w:trPr>
          <w:cantSplit/>
          <w:jc w:val="center"/>
        </w:trPr>
        <w:tc>
          <w:tcPr>
            <w:tcW w:w="471" w:type="dxa"/>
            <w:vMerge/>
            <w:tcBorders>
              <w:top w:val="single" w:sz="4" w:space="0" w:color="000000"/>
              <w:left w:val="single" w:sz="4" w:space="0" w:color="000000"/>
              <w:bottom w:val="single" w:sz="4" w:space="0" w:color="auto"/>
            </w:tcBorders>
            <w:vAlign w:val="center"/>
          </w:tcPr>
          <w:p w14:paraId="24116BBF" w14:textId="77777777" w:rsidR="009C6203" w:rsidRPr="00BA32CC" w:rsidRDefault="009C6203" w:rsidP="009C6203">
            <w:pPr>
              <w:pStyle w:val="Tabletext"/>
              <w:rPr>
                <w:sz w:val="16"/>
                <w:szCs w:val="16"/>
              </w:rPr>
            </w:pPr>
          </w:p>
        </w:tc>
        <w:tc>
          <w:tcPr>
            <w:tcW w:w="1088" w:type="dxa"/>
            <w:vMerge/>
            <w:tcBorders>
              <w:top w:val="single" w:sz="4" w:space="0" w:color="000000"/>
              <w:left w:val="single" w:sz="4" w:space="0" w:color="000000"/>
              <w:bottom w:val="single" w:sz="4" w:space="0" w:color="auto"/>
            </w:tcBorders>
            <w:vAlign w:val="center"/>
          </w:tcPr>
          <w:p w14:paraId="4B5F4C63" w14:textId="77777777" w:rsidR="009C6203" w:rsidRPr="00BA32CC" w:rsidRDefault="009C6203" w:rsidP="009C6203">
            <w:pPr>
              <w:pStyle w:val="Tabletext"/>
              <w:rPr>
                <w:sz w:val="16"/>
                <w:szCs w:val="16"/>
              </w:rPr>
            </w:pPr>
          </w:p>
        </w:tc>
        <w:tc>
          <w:tcPr>
            <w:tcW w:w="683" w:type="dxa"/>
            <w:tcBorders>
              <w:top w:val="single" w:sz="4" w:space="0" w:color="000000"/>
              <w:left w:val="single" w:sz="4" w:space="0" w:color="000000"/>
              <w:bottom w:val="single" w:sz="4" w:space="0" w:color="auto"/>
            </w:tcBorders>
            <w:vAlign w:val="center"/>
          </w:tcPr>
          <w:p w14:paraId="22024F2E" w14:textId="77777777" w:rsidR="009C6203" w:rsidRPr="00BA32CC" w:rsidRDefault="009C6203" w:rsidP="009C6203">
            <w:pPr>
              <w:pStyle w:val="Tabletext"/>
              <w:rPr>
                <w:sz w:val="16"/>
                <w:szCs w:val="16"/>
              </w:rPr>
            </w:pPr>
            <w:r w:rsidRPr="00BA32CC">
              <w:rPr>
                <w:sz w:val="16"/>
                <w:szCs w:val="16"/>
              </w:rPr>
              <w:t>P5</w:t>
            </w:r>
            <w:r w:rsidRPr="00BA32CC">
              <w:rPr>
                <w:sz w:val="16"/>
                <w:szCs w:val="16"/>
                <w:vertAlign w:val="superscript"/>
              </w:rPr>
              <w:t>d)</w:t>
            </w:r>
          </w:p>
        </w:tc>
        <w:tc>
          <w:tcPr>
            <w:tcW w:w="8579" w:type="dxa"/>
            <w:tcBorders>
              <w:top w:val="single" w:sz="4" w:space="0" w:color="000000"/>
              <w:left w:val="single" w:sz="4" w:space="0" w:color="000000"/>
              <w:bottom w:val="single" w:sz="4" w:space="0" w:color="auto"/>
            </w:tcBorders>
          </w:tcPr>
          <w:p w14:paraId="4DA449B0" w14:textId="77777777" w:rsidR="009C6203" w:rsidRPr="00BA32CC" w:rsidRDefault="009C6203" w:rsidP="009C6203">
            <w:pPr>
              <w:pStyle w:val="Tabletext"/>
              <w:rPr>
                <w:sz w:val="16"/>
                <w:szCs w:val="16"/>
              </w:rPr>
            </w:pPr>
            <w:r w:rsidRPr="00BA32CC">
              <w:rPr>
                <w:sz w:val="16"/>
                <w:szCs w:val="16"/>
              </w:rPr>
              <w:t xml:space="preserve">Notification for recording in the MIFR of frequency assignments to space stations in the fixed satellite service under Article 8 of Appendix </w:t>
            </w:r>
            <w:r w:rsidRPr="00CB287F">
              <w:rPr>
                <w:b/>
                <w:bCs/>
                <w:sz w:val="16"/>
                <w:szCs w:val="16"/>
              </w:rPr>
              <w:t>30B</w:t>
            </w:r>
            <w:r w:rsidRPr="00BA32CC">
              <w:rPr>
                <w:sz w:val="16"/>
                <w:szCs w:val="16"/>
              </w:rPr>
              <w:t xml:space="preserve"> or of frequency assignments to Appendix </w:t>
            </w:r>
            <w:r w:rsidRPr="00CB287F">
              <w:rPr>
                <w:b/>
                <w:bCs/>
                <w:sz w:val="16"/>
                <w:szCs w:val="16"/>
              </w:rPr>
              <w:t>30B</w:t>
            </w:r>
            <w:r w:rsidRPr="00BA32CC">
              <w:rPr>
                <w:sz w:val="16"/>
                <w:szCs w:val="16"/>
              </w:rPr>
              <w:t xml:space="preserve"> ESIM under Section B of Part 1 in Annex 1 of Resolution </w:t>
            </w:r>
            <w:r w:rsidRPr="00CB287F">
              <w:rPr>
                <w:b/>
                <w:bCs/>
                <w:sz w:val="16"/>
                <w:szCs w:val="16"/>
              </w:rPr>
              <w:t>121 (WRC</w:t>
            </w:r>
            <w:r w:rsidRPr="00CB287F">
              <w:rPr>
                <w:b/>
                <w:bCs/>
                <w:sz w:val="16"/>
                <w:szCs w:val="16"/>
              </w:rPr>
              <w:noBreakHyphen/>
              <w:t>23)</w:t>
            </w:r>
            <w:r w:rsidRPr="00BA32CC">
              <w:rPr>
                <w:sz w:val="16"/>
                <w:szCs w:val="16"/>
              </w:rPr>
              <w:t>.</w:t>
            </w:r>
          </w:p>
        </w:tc>
        <w:tc>
          <w:tcPr>
            <w:tcW w:w="2072" w:type="dxa"/>
            <w:gridSpan w:val="2"/>
            <w:tcBorders>
              <w:top w:val="single" w:sz="4" w:space="0" w:color="000000"/>
              <w:left w:val="single" w:sz="4" w:space="0" w:color="000000"/>
              <w:bottom w:val="single" w:sz="4" w:space="0" w:color="auto"/>
            </w:tcBorders>
            <w:vAlign w:val="center"/>
          </w:tcPr>
          <w:p w14:paraId="32ABC4B2" w14:textId="77777777" w:rsidR="009C6203" w:rsidRPr="00BA32CC" w:rsidRDefault="009C6203" w:rsidP="009C6203">
            <w:pPr>
              <w:pStyle w:val="Tabletext"/>
              <w:jc w:val="center"/>
              <w:rPr>
                <w:sz w:val="16"/>
                <w:szCs w:val="16"/>
              </w:rPr>
            </w:pPr>
            <w:r w:rsidRPr="00BA32CC">
              <w:rPr>
                <w:sz w:val="16"/>
                <w:szCs w:val="16"/>
              </w:rPr>
              <w:t>20 280</w:t>
            </w:r>
          </w:p>
        </w:tc>
        <w:tc>
          <w:tcPr>
            <w:tcW w:w="2394" w:type="dxa"/>
            <w:gridSpan w:val="2"/>
            <w:vMerge/>
            <w:tcBorders>
              <w:top w:val="single" w:sz="4" w:space="0" w:color="000000"/>
              <w:left w:val="single" w:sz="4" w:space="0" w:color="000000"/>
              <w:bottom w:val="single" w:sz="4" w:space="0" w:color="auto"/>
              <w:right w:val="single" w:sz="4" w:space="0" w:color="000000"/>
            </w:tcBorders>
            <w:vAlign w:val="center"/>
          </w:tcPr>
          <w:p w14:paraId="02A5BFC1" w14:textId="77777777" w:rsidR="009C6203" w:rsidRPr="00BA32CC" w:rsidRDefault="009C6203" w:rsidP="009C6203">
            <w:pPr>
              <w:pStyle w:val="Tabletext"/>
              <w:rPr>
                <w:sz w:val="16"/>
                <w:szCs w:val="16"/>
              </w:rPr>
            </w:pPr>
          </w:p>
        </w:tc>
      </w:tr>
    </w:tbl>
    <w:p w14:paraId="17252D83" w14:textId="77777777" w:rsidR="00853B16" w:rsidRPr="00BA32CC" w:rsidRDefault="00853B16" w:rsidP="00853B16">
      <w:pPr>
        <w:pStyle w:val="Tablelegend"/>
        <w:ind w:left="284" w:hanging="284"/>
        <w:rPr>
          <w:sz w:val="16"/>
          <w:szCs w:val="16"/>
        </w:rPr>
      </w:pPr>
      <w:r w:rsidRPr="007E04E8">
        <w:rPr>
          <w:sz w:val="18"/>
          <w:szCs w:val="18"/>
          <w:vertAlign w:val="superscript"/>
        </w:rPr>
        <w:t>a)</w:t>
      </w:r>
      <w:r w:rsidRPr="007E04E8">
        <w:tab/>
      </w:r>
      <w:r w:rsidRPr="00BA32CC">
        <w:rPr>
          <w:sz w:val="16"/>
          <w:szCs w:val="16"/>
        </w:rPr>
        <w:t>Fees for Categories N1, N2 and N3 are applicable to the first notification of assignments that also contains a request to apply No.</w:t>
      </w:r>
      <w:r w:rsidRPr="00BA32CC">
        <w:rPr>
          <w:b/>
          <w:sz w:val="16"/>
          <w:szCs w:val="16"/>
        </w:rPr>
        <w:t xml:space="preserve"> 11.32A</w:t>
      </w:r>
      <w:r w:rsidRPr="00BA32CC">
        <w:rPr>
          <w:sz w:val="16"/>
          <w:szCs w:val="16"/>
        </w:rPr>
        <w:t xml:space="preserve">. If the application of No. </w:t>
      </w:r>
      <w:r w:rsidRPr="00BA32CC">
        <w:rPr>
          <w:b/>
          <w:sz w:val="16"/>
          <w:szCs w:val="16"/>
        </w:rPr>
        <w:t>11.32A</w:t>
      </w:r>
      <w:r w:rsidRPr="00BA32CC">
        <w:rPr>
          <w:sz w:val="16"/>
          <w:szCs w:val="16"/>
        </w:rPr>
        <w:t xml:space="preserve"> is not requested, 70% of the indicated fees will apply, with the remaining 30% to be charged to a subsequent request, if any, for application of No.</w:t>
      </w:r>
      <w:r w:rsidRPr="00BA32CC">
        <w:rPr>
          <w:b/>
          <w:sz w:val="16"/>
          <w:szCs w:val="16"/>
        </w:rPr>
        <w:t xml:space="preserve"> 11.32A</w:t>
      </w:r>
      <w:r w:rsidRPr="00BA32CC">
        <w:rPr>
          <w:sz w:val="16"/>
          <w:szCs w:val="16"/>
        </w:rPr>
        <w:t xml:space="preserve">. </w:t>
      </w:r>
    </w:p>
    <w:p w14:paraId="084FAD52" w14:textId="77777777" w:rsidR="00853B16" w:rsidRPr="00BA32CC" w:rsidRDefault="00853B16" w:rsidP="00853B16">
      <w:pPr>
        <w:pStyle w:val="Tablelegend"/>
        <w:ind w:left="284" w:hanging="284"/>
        <w:rPr>
          <w:sz w:val="16"/>
          <w:szCs w:val="16"/>
        </w:rPr>
      </w:pPr>
      <w:r w:rsidRPr="007E04E8">
        <w:rPr>
          <w:sz w:val="18"/>
          <w:szCs w:val="18"/>
          <w:vertAlign w:val="superscript"/>
        </w:rPr>
        <w:t>b)</w:t>
      </w:r>
      <w:r w:rsidRPr="007E04E8">
        <w:tab/>
      </w:r>
      <w:r w:rsidRPr="00BA32CC">
        <w:rPr>
          <w:sz w:val="16"/>
          <w:szCs w:val="16"/>
        </w:rPr>
        <w:t xml:space="preserve">Under this category, taking account that a filing for the broadcasting-satellite service and its associated feeder link in </w:t>
      </w:r>
      <w:proofErr w:type="gramStart"/>
      <w:r w:rsidRPr="00BA32CC">
        <w:rPr>
          <w:sz w:val="16"/>
          <w:szCs w:val="16"/>
        </w:rPr>
        <w:t>Region</w:t>
      </w:r>
      <w:proofErr w:type="gramEnd"/>
      <w:r w:rsidRPr="00BA32CC">
        <w:rPr>
          <w:sz w:val="16"/>
          <w:szCs w:val="16"/>
        </w:rPr>
        <w:t xml:space="preserve"> 2 includes both the downlink (A</w:t>
      </w:r>
      <w:r>
        <w:rPr>
          <w:sz w:val="16"/>
          <w:szCs w:val="16"/>
        </w:rPr>
        <w:t xml:space="preserve">ppendix </w:t>
      </w:r>
      <w:r w:rsidRPr="00CB287F">
        <w:rPr>
          <w:b/>
          <w:bCs/>
          <w:sz w:val="16"/>
          <w:szCs w:val="16"/>
        </w:rPr>
        <w:t>30</w:t>
      </w:r>
      <w:r w:rsidRPr="00BA32CC">
        <w:rPr>
          <w:sz w:val="16"/>
          <w:szCs w:val="16"/>
        </w:rPr>
        <w:t>) and the feeder link (A</w:t>
      </w:r>
      <w:r>
        <w:rPr>
          <w:sz w:val="16"/>
          <w:szCs w:val="16"/>
        </w:rPr>
        <w:t xml:space="preserve">ppendix </w:t>
      </w:r>
      <w:r w:rsidRPr="00CB287F">
        <w:rPr>
          <w:b/>
          <w:bCs/>
          <w:sz w:val="16"/>
          <w:szCs w:val="16"/>
        </w:rPr>
        <w:t>30A</w:t>
      </w:r>
      <w:r w:rsidRPr="00BA32CC">
        <w:rPr>
          <w:sz w:val="16"/>
          <w:szCs w:val="16"/>
        </w:rPr>
        <w:t>), which are examined and published together, the total fee application to such filing shall be twice the fee indicated in the column “Flat fee per filing”.</w:t>
      </w:r>
    </w:p>
    <w:p w14:paraId="73B8D523" w14:textId="77777777" w:rsidR="00853B16" w:rsidRPr="00BA32CC" w:rsidRDefault="00853B16" w:rsidP="00853B16">
      <w:pPr>
        <w:pStyle w:val="Tablelegend"/>
        <w:ind w:left="284" w:hanging="284"/>
        <w:rPr>
          <w:sz w:val="16"/>
          <w:szCs w:val="16"/>
        </w:rPr>
      </w:pPr>
      <w:r w:rsidRPr="007E04E8">
        <w:rPr>
          <w:sz w:val="18"/>
          <w:szCs w:val="18"/>
          <w:vertAlign w:val="superscript"/>
        </w:rPr>
        <w:t>c)</w:t>
      </w:r>
      <w:r w:rsidRPr="007E04E8">
        <w:tab/>
      </w:r>
      <w:r w:rsidRPr="00BA32CC">
        <w:rPr>
          <w:sz w:val="16"/>
          <w:szCs w:val="16"/>
        </w:rPr>
        <w:t>Fees for a request in accordance with §</w:t>
      </w:r>
      <w:r>
        <w:rPr>
          <w:sz w:val="16"/>
          <w:szCs w:val="16"/>
        </w:rPr>
        <w:t> </w:t>
      </w:r>
      <w:r w:rsidRPr="00BA32CC">
        <w:rPr>
          <w:sz w:val="16"/>
          <w:szCs w:val="16"/>
        </w:rPr>
        <w:t xml:space="preserve">6.17 of Article 6 of Appendix </w:t>
      </w:r>
      <w:r w:rsidRPr="00BA32CC">
        <w:rPr>
          <w:b/>
          <w:bCs/>
          <w:sz w:val="16"/>
          <w:szCs w:val="16"/>
        </w:rPr>
        <w:t>30B</w:t>
      </w:r>
      <w:r w:rsidRPr="00BA32CC">
        <w:rPr>
          <w:sz w:val="16"/>
          <w:szCs w:val="16"/>
          <w:vertAlign w:val="superscript"/>
        </w:rPr>
        <w:t xml:space="preserve"> </w:t>
      </w:r>
      <w:r w:rsidRPr="00BA32CC">
        <w:rPr>
          <w:sz w:val="16"/>
          <w:szCs w:val="16"/>
        </w:rPr>
        <w:t>also contains a possible subsequent request (resubmission) in accordance with §</w:t>
      </w:r>
      <w:r>
        <w:rPr>
          <w:sz w:val="16"/>
          <w:szCs w:val="16"/>
        </w:rPr>
        <w:t> </w:t>
      </w:r>
      <w:r w:rsidRPr="00BA32CC">
        <w:rPr>
          <w:sz w:val="16"/>
          <w:szCs w:val="16"/>
        </w:rPr>
        <w:t>6.25. A request in accordance with §</w:t>
      </w:r>
      <w:r>
        <w:rPr>
          <w:sz w:val="16"/>
          <w:szCs w:val="16"/>
        </w:rPr>
        <w:t> </w:t>
      </w:r>
      <w:r w:rsidRPr="00BA32CC">
        <w:rPr>
          <w:sz w:val="16"/>
          <w:szCs w:val="16"/>
        </w:rPr>
        <w:t xml:space="preserve">6.17 of Article 6 of Appendix </w:t>
      </w:r>
      <w:r w:rsidRPr="00BA32CC">
        <w:rPr>
          <w:b/>
          <w:bCs/>
          <w:sz w:val="16"/>
          <w:szCs w:val="16"/>
        </w:rPr>
        <w:t>30B</w:t>
      </w:r>
      <w:r w:rsidRPr="00BA32CC">
        <w:rPr>
          <w:sz w:val="16"/>
          <w:szCs w:val="16"/>
          <w:vertAlign w:val="superscript"/>
        </w:rPr>
        <w:t xml:space="preserve"> </w:t>
      </w:r>
      <w:r w:rsidRPr="00BA32CC">
        <w:rPr>
          <w:sz w:val="16"/>
          <w:szCs w:val="16"/>
        </w:rPr>
        <w:t>for a submission treated as that under §</w:t>
      </w:r>
      <w:r>
        <w:rPr>
          <w:sz w:val="16"/>
          <w:szCs w:val="16"/>
        </w:rPr>
        <w:t> </w:t>
      </w:r>
      <w:r w:rsidRPr="00BA32CC">
        <w:rPr>
          <w:sz w:val="16"/>
          <w:szCs w:val="16"/>
        </w:rPr>
        <w:t>6.1 in accordance with §</w:t>
      </w:r>
      <w:r>
        <w:rPr>
          <w:sz w:val="16"/>
          <w:szCs w:val="16"/>
        </w:rPr>
        <w:t> </w:t>
      </w:r>
      <w:r w:rsidRPr="00BA32CC">
        <w:rPr>
          <w:sz w:val="16"/>
          <w:szCs w:val="16"/>
        </w:rPr>
        <w:t xml:space="preserve">7.7 of Article 7 shall not be charged. </w:t>
      </w:r>
    </w:p>
    <w:p w14:paraId="14D5A251" w14:textId="77777777" w:rsidR="00853B16" w:rsidRPr="00BA32CC" w:rsidRDefault="00853B16" w:rsidP="00853B16">
      <w:pPr>
        <w:pStyle w:val="Tablelegend"/>
        <w:ind w:left="284" w:hanging="284"/>
        <w:rPr>
          <w:sz w:val="16"/>
          <w:szCs w:val="16"/>
        </w:rPr>
      </w:pPr>
      <w:r w:rsidRPr="007E04E8">
        <w:rPr>
          <w:sz w:val="18"/>
          <w:szCs w:val="18"/>
          <w:vertAlign w:val="superscript"/>
        </w:rPr>
        <w:t>d)</w:t>
      </w:r>
      <w:r w:rsidRPr="007E04E8">
        <w:tab/>
      </w:r>
      <w:r w:rsidRPr="00BA32CC">
        <w:rPr>
          <w:sz w:val="16"/>
          <w:szCs w:val="16"/>
        </w:rPr>
        <w:t xml:space="preserve">For cases of consolidation of frequency assignments in the MIFR of different GSO networks submitted by an administration (or an administration acting on behalf of a group of named administrations) under Article </w:t>
      </w:r>
      <w:r w:rsidRPr="00DA6C7D">
        <w:rPr>
          <w:b/>
          <w:bCs/>
          <w:sz w:val="16"/>
          <w:szCs w:val="16"/>
        </w:rPr>
        <w:t>11</w:t>
      </w:r>
      <w:r w:rsidRPr="00BA32CC">
        <w:rPr>
          <w:sz w:val="16"/>
          <w:szCs w:val="16"/>
        </w:rPr>
        <w:t xml:space="preserve"> of the Radio Regulations, category N1 shall apply, for cases submitted under Appendices </w:t>
      </w:r>
      <w:r w:rsidRPr="00DA6C7D">
        <w:rPr>
          <w:b/>
          <w:bCs/>
          <w:sz w:val="16"/>
          <w:szCs w:val="16"/>
        </w:rPr>
        <w:t>30</w:t>
      </w:r>
      <w:r w:rsidRPr="00BA32CC">
        <w:rPr>
          <w:sz w:val="16"/>
          <w:szCs w:val="16"/>
        </w:rPr>
        <w:t xml:space="preserve"> or </w:t>
      </w:r>
      <w:r w:rsidRPr="00DA6C7D">
        <w:rPr>
          <w:b/>
          <w:bCs/>
          <w:sz w:val="16"/>
          <w:szCs w:val="16"/>
        </w:rPr>
        <w:t>30A</w:t>
      </w:r>
      <w:r w:rsidRPr="00BA32CC">
        <w:rPr>
          <w:sz w:val="16"/>
          <w:szCs w:val="16"/>
        </w:rPr>
        <w:t xml:space="preserve">, category P2 shall apply, and for cases submitted under Appendix </w:t>
      </w:r>
      <w:r w:rsidRPr="00DA6C7D">
        <w:rPr>
          <w:b/>
          <w:bCs/>
          <w:sz w:val="16"/>
          <w:szCs w:val="16"/>
        </w:rPr>
        <w:t>30B</w:t>
      </w:r>
      <w:r w:rsidRPr="00BA32CC">
        <w:rPr>
          <w:sz w:val="16"/>
          <w:szCs w:val="16"/>
        </w:rPr>
        <w:t>, category P5 shall apply.</w:t>
      </w:r>
    </w:p>
    <w:p w14:paraId="62C0C7FA" w14:textId="36E22F0D" w:rsidR="00853B16" w:rsidRPr="00661629" w:rsidRDefault="00853B16" w:rsidP="00853B16">
      <w:pPr>
        <w:pStyle w:val="Tablelegend"/>
        <w:ind w:left="284" w:hanging="284"/>
        <w:rPr>
          <w:rFonts w:eastAsia="SimSun"/>
          <w:sz w:val="16"/>
          <w:szCs w:val="16"/>
        </w:rPr>
      </w:pPr>
      <w:commentRangeStart w:id="19"/>
      <w:r w:rsidRPr="00661629">
        <w:rPr>
          <w:sz w:val="18"/>
          <w:szCs w:val="18"/>
          <w:vertAlign w:val="superscript"/>
        </w:rPr>
        <w:t>e)</w:t>
      </w:r>
      <w:r w:rsidRPr="00661629">
        <w:rPr>
          <w:sz w:val="18"/>
          <w:szCs w:val="18"/>
          <w:vertAlign w:val="superscript"/>
        </w:rPr>
        <w:tab/>
      </w:r>
      <w:r w:rsidRPr="00661629">
        <w:rPr>
          <w:rFonts w:eastAsia="SimSun"/>
          <w:sz w:val="16"/>
          <w:szCs w:val="16"/>
        </w:rPr>
        <w:t xml:space="preserve">For non-geostationary satellite networks, the flat fee for categories C1, C2, C3, N1, N2 and N3 is applicable from 100 units to 25 000 units. From 25 000 units to 75 </w:t>
      </w:r>
      <w:r w:rsidRPr="000B5AB0">
        <w:rPr>
          <w:rFonts w:eastAsia="SimSun"/>
          <w:sz w:val="16"/>
          <w:szCs w:val="16"/>
        </w:rPr>
        <w:t xml:space="preserve">000 </w:t>
      </w:r>
      <w:r w:rsidRPr="00661629">
        <w:rPr>
          <w:rFonts w:eastAsia="SimSun"/>
          <w:sz w:val="16"/>
          <w:szCs w:val="16"/>
        </w:rPr>
        <w:t>units, there is an additional fee per additional unit, equal to the flat fee divided by 50 000. Above 75</w:t>
      </w:r>
      <w:r w:rsidR="00EA2021" w:rsidRPr="00661629">
        <w:rPr>
          <w:rFonts w:eastAsia="SimSun"/>
          <w:sz w:val="16"/>
          <w:szCs w:val="16"/>
        </w:rPr>
        <w:t xml:space="preserve"> </w:t>
      </w:r>
      <w:r w:rsidRPr="00661629">
        <w:rPr>
          <w:rFonts w:eastAsia="SimSun"/>
          <w:sz w:val="16"/>
          <w:szCs w:val="16"/>
        </w:rPr>
        <w:t>000 units, there is no additional fee per additional unit.</w:t>
      </w:r>
      <w:commentRangeEnd w:id="19"/>
      <w:r w:rsidR="00920899" w:rsidRPr="00661629">
        <w:rPr>
          <w:rStyle w:val="CommentReference"/>
        </w:rPr>
        <w:commentReference w:id="19"/>
      </w:r>
    </w:p>
    <w:p w14:paraId="35278639" w14:textId="7C23DAEB" w:rsidR="00920899" w:rsidRDefault="00307F94" w:rsidP="00C517E1">
      <w:pPr>
        <w:pStyle w:val="Tablelegend"/>
        <w:ind w:left="284" w:hanging="284"/>
        <w:rPr>
          <w:sz w:val="16"/>
          <w:szCs w:val="16"/>
        </w:rPr>
      </w:pPr>
      <w:commentRangeStart w:id="20"/>
      <w:r w:rsidRPr="00661629">
        <w:rPr>
          <w:sz w:val="18"/>
          <w:szCs w:val="18"/>
          <w:vertAlign w:val="superscript"/>
        </w:rPr>
        <w:t>f)</w:t>
      </w:r>
      <w:r w:rsidR="00E242FB" w:rsidRPr="00661629">
        <w:rPr>
          <w:sz w:val="18"/>
          <w:szCs w:val="18"/>
          <w:vertAlign w:val="superscript"/>
        </w:rPr>
        <w:tab/>
      </w:r>
      <w:r w:rsidRPr="000B5AB0">
        <w:rPr>
          <w:sz w:val="16"/>
          <w:szCs w:val="16"/>
        </w:rPr>
        <w:t>For categories</w:t>
      </w:r>
      <w:r w:rsidRPr="00661629">
        <w:rPr>
          <w:sz w:val="16"/>
          <w:szCs w:val="16"/>
        </w:rPr>
        <w:t xml:space="preserve"> C1 to C3 and N1 to N</w:t>
      </w:r>
      <w:r w:rsidR="00FA08DD" w:rsidRPr="00661629">
        <w:rPr>
          <w:sz w:val="16"/>
          <w:szCs w:val="16"/>
        </w:rPr>
        <w:t>4</w:t>
      </w:r>
      <w:r w:rsidRPr="00661629">
        <w:rPr>
          <w:sz w:val="16"/>
          <w:szCs w:val="16"/>
        </w:rPr>
        <w:t xml:space="preserve">, each filing subject to </w:t>
      </w:r>
      <w:r w:rsidR="00A45B55" w:rsidRPr="000B5AB0">
        <w:rPr>
          <w:bCs/>
          <w:sz w:val="16"/>
        </w:rPr>
        <w:t xml:space="preserve">Nos. </w:t>
      </w:r>
      <w:r w:rsidR="00A45B55" w:rsidRPr="000B5AB0">
        <w:rPr>
          <w:b/>
          <w:sz w:val="16"/>
        </w:rPr>
        <w:t>22.5C</w:t>
      </w:r>
      <w:r w:rsidR="00A45B55" w:rsidRPr="000B5AB0">
        <w:rPr>
          <w:bCs/>
          <w:sz w:val="16"/>
        </w:rPr>
        <w:t xml:space="preserve">, </w:t>
      </w:r>
      <w:r w:rsidR="00A45B55" w:rsidRPr="000B5AB0">
        <w:rPr>
          <w:b/>
          <w:sz w:val="16"/>
        </w:rPr>
        <w:t>22.5D</w:t>
      </w:r>
      <w:r w:rsidR="00A45B55" w:rsidRPr="000B5AB0">
        <w:rPr>
          <w:bCs/>
          <w:sz w:val="16"/>
        </w:rPr>
        <w:t xml:space="preserve">, </w:t>
      </w:r>
      <w:r w:rsidR="00A45B55" w:rsidRPr="000B5AB0">
        <w:rPr>
          <w:b/>
          <w:sz w:val="16"/>
        </w:rPr>
        <w:t>22.5F</w:t>
      </w:r>
      <w:r w:rsidR="00A45B55" w:rsidRPr="000B5AB0">
        <w:rPr>
          <w:bCs/>
          <w:sz w:val="16"/>
        </w:rPr>
        <w:t xml:space="preserve"> and </w:t>
      </w:r>
      <w:r w:rsidR="00A45B55" w:rsidRPr="000B5AB0">
        <w:rPr>
          <w:b/>
          <w:sz w:val="16"/>
        </w:rPr>
        <w:t>22.5L</w:t>
      </w:r>
      <w:r w:rsidR="00A45B55" w:rsidRPr="00661629">
        <w:rPr>
          <w:sz w:val="16"/>
          <w:szCs w:val="16"/>
        </w:rPr>
        <w:t xml:space="preserve"> </w:t>
      </w:r>
      <w:r w:rsidRPr="000B5AB0">
        <w:rPr>
          <w:sz w:val="16"/>
          <w:szCs w:val="16"/>
        </w:rPr>
        <w:t>is subject to an additional fee</w:t>
      </w:r>
      <w:r w:rsidR="00E77E7A" w:rsidRPr="00E77E7A">
        <w:rPr>
          <w:sz w:val="16"/>
          <w:szCs w:val="16"/>
        </w:rPr>
        <w:t xml:space="preserve"> </w:t>
      </w:r>
      <w:r w:rsidR="00E77E7A">
        <w:rPr>
          <w:sz w:val="16"/>
          <w:szCs w:val="16"/>
        </w:rPr>
        <w:t xml:space="preserve">of 3 200 CHF </w:t>
      </w:r>
      <w:r w:rsidR="00E77E7A" w:rsidRPr="00BA32CC">
        <w:rPr>
          <w:sz w:val="16"/>
          <w:szCs w:val="16"/>
        </w:rPr>
        <w:t xml:space="preserve">per </w:t>
      </w:r>
      <w:r w:rsidR="00E77E7A">
        <w:rPr>
          <w:sz w:val="16"/>
          <w:szCs w:val="16"/>
        </w:rPr>
        <w:t>examination scenario</w:t>
      </w:r>
      <w:r w:rsidRPr="000B5AB0">
        <w:rPr>
          <w:sz w:val="16"/>
          <w:szCs w:val="16"/>
        </w:rPr>
        <w:t>.</w:t>
      </w:r>
      <w:r w:rsidR="00837F34">
        <w:rPr>
          <w:sz w:val="16"/>
          <w:szCs w:val="16"/>
        </w:rPr>
        <w:t xml:space="preserve"> </w:t>
      </w:r>
      <w:r w:rsidR="00837F34" w:rsidRPr="00837F34">
        <w:rPr>
          <w:sz w:val="16"/>
          <w:szCs w:val="16"/>
        </w:rPr>
        <w:t xml:space="preserve">The number of examination scenarios corresponds to those submitted by the notifying administration in accordance with Appendix </w:t>
      </w:r>
      <w:r w:rsidR="00837F34" w:rsidRPr="000B5AB0">
        <w:rPr>
          <w:b/>
          <w:bCs/>
          <w:sz w:val="16"/>
          <w:szCs w:val="16"/>
        </w:rPr>
        <w:t>4</w:t>
      </w:r>
      <w:r w:rsidR="00837F34" w:rsidRPr="00837F34">
        <w:rPr>
          <w:sz w:val="16"/>
          <w:szCs w:val="16"/>
        </w:rPr>
        <w:t xml:space="preserve"> of the Radio Regulations and using the latest version of the BR </w:t>
      </w:r>
      <w:proofErr w:type="spellStart"/>
      <w:r w:rsidR="00837F34" w:rsidRPr="00837F34">
        <w:rPr>
          <w:sz w:val="16"/>
          <w:szCs w:val="16"/>
        </w:rPr>
        <w:t>SpaceCap</w:t>
      </w:r>
      <w:proofErr w:type="spellEnd"/>
      <w:r w:rsidR="00837F34" w:rsidRPr="00837F34">
        <w:rPr>
          <w:sz w:val="16"/>
          <w:szCs w:val="16"/>
        </w:rPr>
        <w:t xml:space="preserve"> software.</w:t>
      </w:r>
      <w:r>
        <w:rPr>
          <w:sz w:val="16"/>
          <w:szCs w:val="16"/>
        </w:rPr>
        <w:t xml:space="preserve"> </w:t>
      </w:r>
      <w:commentRangeEnd w:id="20"/>
      <w:r w:rsidR="00920899">
        <w:rPr>
          <w:rStyle w:val="CommentReference"/>
        </w:rPr>
        <w:commentReference w:id="20"/>
      </w:r>
    </w:p>
    <w:p w14:paraId="00A01F28" w14:textId="77777777" w:rsidR="001A4696" w:rsidRDefault="001A4696" w:rsidP="00C517E1">
      <w:pPr>
        <w:pStyle w:val="Tablelegend"/>
        <w:ind w:left="284" w:hanging="284"/>
        <w:rPr>
          <w:sz w:val="16"/>
          <w:szCs w:val="16"/>
        </w:rPr>
        <w:sectPr w:rsidR="001A4696" w:rsidSect="000B5AB0">
          <w:headerReference w:type="default" r:id="rId31"/>
          <w:footerReference w:type="default" r:id="rId32"/>
          <w:headerReference w:type="first" r:id="rId33"/>
          <w:footerReference w:type="first" r:id="rId34"/>
          <w:type w:val="continuous"/>
          <w:pgSz w:w="16834" w:h="11907" w:orient="landscape"/>
          <w:pgMar w:top="1418" w:right="1418" w:bottom="1418" w:left="1418" w:header="720" w:footer="720" w:gutter="0"/>
          <w:paperSrc w:first="286" w:other="286"/>
          <w:cols w:space="720"/>
          <w:titlePg/>
          <w:docGrid w:linePitch="326"/>
        </w:sectPr>
      </w:pPr>
    </w:p>
    <w:p w14:paraId="50E7A003" w14:textId="77777777" w:rsidR="00853B16" w:rsidRPr="007E04E8" w:rsidRDefault="00853B16" w:rsidP="00853B16">
      <w:pPr>
        <w:keepNext/>
        <w:keepLines/>
        <w:tabs>
          <w:tab w:val="left" w:pos="2127"/>
          <w:tab w:val="left" w:pos="2410"/>
          <w:tab w:val="left" w:pos="2921"/>
          <w:tab w:val="left" w:pos="3261"/>
        </w:tabs>
        <w:spacing w:after="120"/>
        <w:rPr>
          <w:b/>
        </w:rPr>
      </w:pPr>
      <w:r w:rsidRPr="007E04E8">
        <w:rPr>
          <w:b/>
        </w:rPr>
        <w:lastRenderedPageBreak/>
        <w:t>* Definition of category for coordination (C) and notification (N)</w:t>
      </w:r>
    </w:p>
    <w:p w14:paraId="60F265CF" w14:textId="77777777" w:rsidR="00853B16" w:rsidRPr="007E04E8" w:rsidRDefault="00853B16" w:rsidP="00853B16">
      <w:pPr>
        <w:spacing w:after="120"/>
      </w:pPr>
      <w:r w:rsidRPr="007E04E8">
        <w:t>The category for coordination (C1, C2, C3) and for notification (N1, N2, N3) is related to the number of forms of coordination applicable to a particular satellite network coordination request or notification submission, as follows:</w:t>
      </w:r>
    </w:p>
    <w:p w14:paraId="4E38A46B" w14:textId="77777777" w:rsidR="00853B16" w:rsidRPr="007E04E8" w:rsidRDefault="00853B16" w:rsidP="00853B16">
      <w:pPr>
        <w:spacing w:after="120"/>
        <w:ind w:left="567" w:hanging="567"/>
      </w:pPr>
      <w:r w:rsidRPr="007E04E8">
        <w:t>•</w:t>
      </w:r>
      <w:r w:rsidRPr="007E04E8">
        <w:tab/>
        <w:t xml:space="preserve">C1 and N1 correspond to a satellite network filing referring to only one cost-recovery form of coordination (A, B, C, D, E or F). Both categories also include cases for which no form of coordination applies </w:t>
      </w:r>
      <w:proofErr w:type="gramStart"/>
      <w:r w:rsidRPr="007E04E8">
        <w:t>as a result of</w:t>
      </w:r>
      <w:proofErr w:type="gramEnd"/>
      <w:r w:rsidRPr="007E04E8">
        <w:t xml:space="preserve"> unfavourable finding under No. </w:t>
      </w:r>
      <w:r w:rsidRPr="00905152">
        <w:rPr>
          <w:b/>
          <w:bCs/>
        </w:rPr>
        <w:t>11.31</w:t>
      </w:r>
      <w:r w:rsidRPr="007E04E8">
        <w:t xml:space="preserve"> of the Radio Regulations for all frequency assignments of the submitted filing, or cases including frequency assignments published for information only.</w:t>
      </w:r>
    </w:p>
    <w:p w14:paraId="6E087E20" w14:textId="77777777" w:rsidR="00853B16" w:rsidRPr="007E04E8" w:rsidRDefault="00853B16" w:rsidP="00853B16">
      <w:pPr>
        <w:spacing w:after="120"/>
        <w:ind w:left="567" w:hanging="567"/>
      </w:pPr>
      <w:r w:rsidRPr="007E04E8">
        <w:t>•</w:t>
      </w:r>
      <w:r w:rsidRPr="007E04E8">
        <w:tab/>
        <w:t>C2 and N2 correspond to a satellite network filing referring to any two or three cost</w:t>
      </w:r>
      <w:r w:rsidRPr="007E04E8">
        <w:noBreakHyphen/>
        <w:t>recovery forms of coordination amongst A, B, C, D, E or F.</w:t>
      </w:r>
    </w:p>
    <w:p w14:paraId="56DB88FC" w14:textId="77777777" w:rsidR="00853B16" w:rsidRDefault="00853B16" w:rsidP="00853B16">
      <w:pPr>
        <w:spacing w:after="120"/>
        <w:ind w:left="567" w:hanging="567"/>
      </w:pPr>
      <w:r w:rsidRPr="007E04E8">
        <w:t>•</w:t>
      </w:r>
      <w:r w:rsidRPr="007E04E8">
        <w:tab/>
        <w:t>C3 and N3 correspond to a satellite network filing referring to any four or more cost</w:t>
      </w:r>
      <w:r w:rsidRPr="007E04E8">
        <w:noBreakHyphen/>
        <w:t>recovery forms of coordination amongst A, B, C, D, E or F.</w:t>
      </w:r>
    </w:p>
    <w:p w14:paraId="3F231306" w14:textId="77777777" w:rsidR="00853B16" w:rsidRPr="007E04E8" w:rsidRDefault="00853B16" w:rsidP="00853B16">
      <w:pPr>
        <w:spacing w:before="0" w:after="120"/>
        <w:ind w:left="567" w:hanging="567"/>
      </w:pPr>
    </w:p>
    <w:tbl>
      <w:tblPr>
        <w:tblW w:w="9508" w:type="dxa"/>
        <w:tblInd w:w="108" w:type="dxa"/>
        <w:tblLayout w:type="fixed"/>
        <w:tblLook w:val="0000" w:firstRow="0" w:lastRow="0" w:firstColumn="0" w:lastColumn="0" w:noHBand="0" w:noVBand="0"/>
      </w:tblPr>
      <w:tblGrid>
        <w:gridCol w:w="3969"/>
        <w:gridCol w:w="5539"/>
      </w:tblGrid>
      <w:tr w:rsidR="00853B16" w:rsidRPr="007E04E8" w14:paraId="5AEBB370" w14:textId="77777777" w:rsidTr="004B4F82">
        <w:tc>
          <w:tcPr>
            <w:tcW w:w="3969" w:type="dxa"/>
            <w:tcBorders>
              <w:top w:val="single" w:sz="4" w:space="0" w:color="000000"/>
              <w:left w:val="single" w:sz="4" w:space="0" w:color="000000"/>
              <w:bottom w:val="single" w:sz="4" w:space="0" w:color="000000"/>
            </w:tcBorders>
          </w:tcPr>
          <w:p w14:paraId="3F9DA11A" w14:textId="77777777" w:rsidR="00853B16" w:rsidRPr="007E04E8" w:rsidRDefault="00853B16" w:rsidP="004B4F82">
            <w:pPr>
              <w:pStyle w:val="Tablehead"/>
            </w:pPr>
            <w:r w:rsidRPr="007E04E8">
              <w:t>Cost-recovery form of coordination</w:t>
            </w:r>
          </w:p>
        </w:tc>
        <w:tc>
          <w:tcPr>
            <w:tcW w:w="5539" w:type="dxa"/>
            <w:tcBorders>
              <w:top w:val="single" w:sz="4" w:space="0" w:color="000000"/>
              <w:left w:val="single" w:sz="4" w:space="0" w:color="000000"/>
              <w:bottom w:val="single" w:sz="4" w:space="0" w:color="000000"/>
              <w:right w:val="single" w:sz="4" w:space="0" w:color="000000"/>
            </w:tcBorders>
          </w:tcPr>
          <w:p w14:paraId="1D3A26B5" w14:textId="77777777" w:rsidR="00853B16" w:rsidRPr="007E04E8" w:rsidRDefault="00853B16" w:rsidP="004B4F82">
            <w:pPr>
              <w:pStyle w:val="Tablehead"/>
            </w:pPr>
            <w:r w:rsidRPr="007E04E8">
              <w:t>Individual Radio Regulations forms of coordination</w:t>
            </w:r>
          </w:p>
        </w:tc>
      </w:tr>
      <w:tr w:rsidR="00853B16" w:rsidRPr="007E04E8" w14:paraId="7BCE9B05" w14:textId="77777777" w:rsidTr="004B4F82">
        <w:tc>
          <w:tcPr>
            <w:tcW w:w="3969" w:type="dxa"/>
            <w:tcBorders>
              <w:top w:val="single" w:sz="4" w:space="0" w:color="000000"/>
              <w:left w:val="single" w:sz="4" w:space="0" w:color="000000"/>
              <w:bottom w:val="single" w:sz="4" w:space="0" w:color="000000"/>
            </w:tcBorders>
          </w:tcPr>
          <w:p w14:paraId="1F4FA6AE" w14:textId="77777777" w:rsidR="00853B16" w:rsidRPr="007E04E8" w:rsidRDefault="00853B16" w:rsidP="004B4F82">
            <w:pPr>
              <w:pStyle w:val="Tabletext"/>
              <w:jc w:val="center"/>
            </w:pPr>
            <w:r w:rsidRPr="007E04E8">
              <w:t>A</w:t>
            </w:r>
          </w:p>
        </w:tc>
        <w:tc>
          <w:tcPr>
            <w:tcW w:w="5539" w:type="dxa"/>
            <w:tcBorders>
              <w:top w:val="single" w:sz="4" w:space="0" w:color="000000"/>
              <w:left w:val="single" w:sz="4" w:space="0" w:color="000000"/>
              <w:bottom w:val="single" w:sz="4" w:space="0" w:color="000000"/>
              <w:right w:val="single" w:sz="4" w:space="0" w:color="000000"/>
            </w:tcBorders>
          </w:tcPr>
          <w:p w14:paraId="4DBA36A1" w14:textId="77777777" w:rsidR="00853B16" w:rsidRPr="007E04E8" w:rsidRDefault="00853B16" w:rsidP="004B4F82">
            <w:pPr>
              <w:pStyle w:val="Tabletext"/>
            </w:pPr>
            <w:r w:rsidRPr="007E04E8">
              <w:t xml:space="preserve">No. </w:t>
            </w:r>
            <w:r w:rsidRPr="00DA6C7D">
              <w:rPr>
                <w:b/>
                <w:bCs/>
              </w:rPr>
              <w:t>9.7</w:t>
            </w:r>
          </w:p>
        </w:tc>
      </w:tr>
      <w:tr w:rsidR="00853B16" w:rsidRPr="007E04E8" w14:paraId="1C34DC49" w14:textId="77777777" w:rsidTr="004B4F82">
        <w:tc>
          <w:tcPr>
            <w:tcW w:w="3969" w:type="dxa"/>
            <w:tcBorders>
              <w:top w:val="single" w:sz="4" w:space="0" w:color="000000"/>
              <w:left w:val="single" w:sz="4" w:space="0" w:color="000000"/>
              <w:bottom w:val="single" w:sz="4" w:space="0" w:color="000000"/>
            </w:tcBorders>
          </w:tcPr>
          <w:p w14:paraId="401E1B88" w14:textId="77777777" w:rsidR="00853B16" w:rsidRPr="007E04E8" w:rsidRDefault="00853B16" w:rsidP="004B4F82">
            <w:pPr>
              <w:pStyle w:val="Tabletext"/>
              <w:jc w:val="center"/>
            </w:pPr>
            <w:r w:rsidRPr="007E04E8">
              <w:t>B</w:t>
            </w:r>
          </w:p>
        </w:tc>
        <w:tc>
          <w:tcPr>
            <w:tcW w:w="5539" w:type="dxa"/>
            <w:tcBorders>
              <w:top w:val="single" w:sz="4" w:space="0" w:color="000000"/>
              <w:left w:val="single" w:sz="4" w:space="0" w:color="000000"/>
              <w:bottom w:val="single" w:sz="4" w:space="0" w:color="000000"/>
              <w:right w:val="single" w:sz="4" w:space="0" w:color="000000"/>
            </w:tcBorders>
          </w:tcPr>
          <w:p w14:paraId="5E130F0A" w14:textId="77777777" w:rsidR="00853B16" w:rsidRPr="007E04E8" w:rsidRDefault="00853B16" w:rsidP="004B4F82">
            <w:pPr>
              <w:pStyle w:val="Tabletext"/>
            </w:pPr>
            <w:r w:rsidRPr="007E04E8">
              <w:t>A</w:t>
            </w:r>
            <w:r>
              <w:t xml:space="preserve">ppendix </w:t>
            </w:r>
            <w:r w:rsidRPr="00DA6C7D">
              <w:rPr>
                <w:b/>
                <w:bCs/>
              </w:rPr>
              <w:t>30</w:t>
            </w:r>
            <w:r w:rsidRPr="007E04E8">
              <w:t xml:space="preserve"> 7.1, A</w:t>
            </w:r>
            <w:r>
              <w:t xml:space="preserve">ppendix </w:t>
            </w:r>
            <w:r w:rsidRPr="00DA6C7D">
              <w:rPr>
                <w:b/>
                <w:bCs/>
              </w:rPr>
              <w:t xml:space="preserve">30A </w:t>
            </w:r>
            <w:r w:rsidRPr="007E04E8">
              <w:t>7.1</w:t>
            </w:r>
          </w:p>
        </w:tc>
      </w:tr>
      <w:tr w:rsidR="00853B16" w:rsidRPr="007E04E8" w14:paraId="0E94DCC0" w14:textId="77777777" w:rsidTr="004B4F82">
        <w:tc>
          <w:tcPr>
            <w:tcW w:w="3969" w:type="dxa"/>
            <w:tcBorders>
              <w:top w:val="single" w:sz="4" w:space="0" w:color="000000"/>
              <w:left w:val="single" w:sz="4" w:space="0" w:color="000000"/>
              <w:bottom w:val="single" w:sz="4" w:space="0" w:color="000000"/>
            </w:tcBorders>
          </w:tcPr>
          <w:p w14:paraId="32F39458" w14:textId="77777777" w:rsidR="00853B16" w:rsidRPr="007E04E8" w:rsidRDefault="00853B16" w:rsidP="004B4F82">
            <w:pPr>
              <w:pStyle w:val="Tabletext"/>
              <w:jc w:val="center"/>
            </w:pPr>
            <w:r w:rsidRPr="007E04E8">
              <w:t>C</w:t>
            </w:r>
          </w:p>
        </w:tc>
        <w:tc>
          <w:tcPr>
            <w:tcW w:w="5539" w:type="dxa"/>
            <w:tcBorders>
              <w:top w:val="single" w:sz="4" w:space="0" w:color="000000"/>
              <w:left w:val="single" w:sz="4" w:space="0" w:color="000000"/>
              <w:bottom w:val="single" w:sz="4" w:space="0" w:color="000000"/>
              <w:right w:val="single" w:sz="4" w:space="0" w:color="000000"/>
            </w:tcBorders>
          </w:tcPr>
          <w:p w14:paraId="458EB3CF" w14:textId="77777777" w:rsidR="00853B16" w:rsidRPr="007E04E8" w:rsidRDefault="00853B16" w:rsidP="004B4F82">
            <w:pPr>
              <w:pStyle w:val="Tabletext"/>
            </w:pPr>
            <w:r w:rsidRPr="007E04E8">
              <w:t xml:space="preserve">No. </w:t>
            </w:r>
            <w:r w:rsidRPr="00DA6C7D">
              <w:rPr>
                <w:b/>
                <w:bCs/>
              </w:rPr>
              <w:t>9.11</w:t>
            </w:r>
            <w:r w:rsidRPr="007E04E8">
              <w:t>, R</w:t>
            </w:r>
            <w:r>
              <w:t xml:space="preserve">esolution </w:t>
            </w:r>
            <w:r w:rsidRPr="00DA6C7D">
              <w:rPr>
                <w:b/>
                <w:bCs/>
              </w:rPr>
              <w:t>539</w:t>
            </w:r>
          </w:p>
        </w:tc>
      </w:tr>
      <w:tr w:rsidR="00853B16" w:rsidRPr="007E04E8" w14:paraId="6C14B0BA" w14:textId="77777777" w:rsidTr="004B4F82">
        <w:tc>
          <w:tcPr>
            <w:tcW w:w="3969" w:type="dxa"/>
            <w:tcBorders>
              <w:top w:val="single" w:sz="4" w:space="0" w:color="000000"/>
              <w:left w:val="single" w:sz="4" w:space="0" w:color="000000"/>
              <w:bottom w:val="single" w:sz="4" w:space="0" w:color="000000"/>
            </w:tcBorders>
          </w:tcPr>
          <w:p w14:paraId="7FE56F56" w14:textId="77777777" w:rsidR="00853B16" w:rsidRPr="007E04E8" w:rsidRDefault="00853B16" w:rsidP="004B4F82">
            <w:pPr>
              <w:pStyle w:val="Tabletext"/>
              <w:jc w:val="center"/>
            </w:pPr>
            <w:r w:rsidRPr="007E04E8">
              <w:t>D</w:t>
            </w:r>
          </w:p>
        </w:tc>
        <w:tc>
          <w:tcPr>
            <w:tcW w:w="5539" w:type="dxa"/>
            <w:tcBorders>
              <w:top w:val="single" w:sz="4" w:space="0" w:color="000000"/>
              <w:left w:val="single" w:sz="4" w:space="0" w:color="000000"/>
              <w:bottom w:val="single" w:sz="4" w:space="0" w:color="000000"/>
              <w:right w:val="single" w:sz="4" w:space="0" w:color="000000"/>
            </w:tcBorders>
          </w:tcPr>
          <w:p w14:paraId="1FED4249" w14:textId="77777777" w:rsidR="00853B16" w:rsidRPr="007E04E8" w:rsidRDefault="00853B16" w:rsidP="004B4F82">
            <w:pPr>
              <w:pStyle w:val="Tabletext"/>
            </w:pPr>
            <w:r w:rsidRPr="007E04E8">
              <w:t xml:space="preserve">Nos. </w:t>
            </w:r>
            <w:r w:rsidRPr="00DA6C7D">
              <w:rPr>
                <w:b/>
                <w:bCs/>
              </w:rPr>
              <w:t>9.7B, 9.11A</w:t>
            </w:r>
            <w:r w:rsidRPr="007E04E8">
              <w:t xml:space="preserve">, </w:t>
            </w:r>
            <w:r w:rsidRPr="00DA6C7D">
              <w:rPr>
                <w:b/>
                <w:bCs/>
              </w:rPr>
              <w:t>9.12, 9.12A</w:t>
            </w:r>
            <w:r w:rsidRPr="007E04E8">
              <w:t xml:space="preserve">, </w:t>
            </w:r>
            <w:r w:rsidRPr="00DA6C7D">
              <w:rPr>
                <w:b/>
                <w:bCs/>
              </w:rPr>
              <w:t>9.13</w:t>
            </w:r>
            <w:r w:rsidRPr="007E04E8">
              <w:t xml:space="preserve">, </w:t>
            </w:r>
            <w:r w:rsidRPr="00DA6C7D">
              <w:rPr>
                <w:b/>
                <w:bCs/>
              </w:rPr>
              <w:t>9.14</w:t>
            </w:r>
          </w:p>
        </w:tc>
      </w:tr>
      <w:tr w:rsidR="00853B16" w:rsidRPr="007E04E8" w14:paraId="73B6DC58" w14:textId="77777777" w:rsidTr="004B4F82">
        <w:tc>
          <w:tcPr>
            <w:tcW w:w="3969" w:type="dxa"/>
            <w:tcBorders>
              <w:top w:val="single" w:sz="4" w:space="0" w:color="000000"/>
              <w:left w:val="single" w:sz="4" w:space="0" w:color="000000"/>
              <w:bottom w:val="single" w:sz="4" w:space="0" w:color="000000"/>
            </w:tcBorders>
          </w:tcPr>
          <w:p w14:paraId="70CCB0F9" w14:textId="77777777" w:rsidR="00853B16" w:rsidRPr="007E04E8" w:rsidRDefault="00853B16" w:rsidP="004B4F82">
            <w:pPr>
              <w:pStyle w:val="Tabletext"/>
              <w:jc w:val="center"/>
            </w:pPr>
            <w:r w:rsidRPr="007E04E8">
              <w:t>E</w:t>
            </w:r>
          </w:p>
        </w:tc>
        <w:tc>
          <w:tcPr>
            <w:tcW w:w="5539" w:type="dxa"/>
            <w:tcBorders>
              <w:top w:val="single" w:sz="4" w:space="0" w:color="000000"/>
              <w:left w:val="single" w:sz="4" w:space="0" w:color="000000"/>
              <w:bottom w:val="single" w:sz="4" w:space="0" w:color="000000"/>
              <w:right w:val="single" w:sz="4" w:space="0" w:color="000000"/>
            </w:tcBorders>
          </w:tcPr>
          <w:p w14:paraId="77AE45C0" w14:textId="77777777" w:rsidR="00853B16" w:rsidRPr="007E04E8" w:rsidRDefault="00853B16" w:rsidP="004B4F82">
            <w:pPr>
              <w:pStyle w:val="Tabletext"/>
            </w:pPr>
            <w:r w:rsidRPr="007E04E8">
              <w:t xml:space="preserve">No. </w:t>
            </w:r>
            <w:r w:rsidRPr="00DA6C7D">
              <w:rPr>
                <w:b/>
                <w:bCs/>
              </w:rPr>
              <w:t>9.7A</w:t>
            </w:r>
            <w:r w:rsidRPr="007E04E8">
              <w:rPr>
                <w:position w:val="6"/>
                <w:sz w:val="18"/>
                <w:szCs w:val="18"/>
              </w:rPr>
              <w:footnoteReference w:id="5"/>
            </w:r>
          </w:p>
        </w:tc>
      </w:tr>
      <w:tr w:rsidR="00853B16" w:rsidRPr="007E04E8" w14:paraId="6789E6B9" w14:textId="77777777" w:rsidTr="004B4F82">
        <w:tc>
          <w:tcPr>
            <w:tcW w:w="3969" w:type="dxa"/>
            <w:tcBorders>
              <w:top w:val="single" w:sz="4" w:space="0" w:color="000000"/>
              <w:left w:val="single" w:sz="4" w:space="0" w:color="000000"/>
              <w:bottom w:val="single" w:sz="4" w:space="0" w:color="000000"/>
            </w:tcBorders>
          </w:tcPr>
          <w:p w14:paraId="49301713" w14:textId="77777777" w:rsidR="00853B16" w:rsidRPr="007E04E8" w:rsidRDefault="00853B16" w:rsidP="004B4F82">
            <w:pPr>
              <w:pStyle w:val="Tabletext"/>
              <w:jc w:val="center"/>
            </w:pPr>
            <w:r w:rsidRPr="007E04E8">
              <w:t>F</w:t>
            </w:r>
          </w:p>
        </w:tc>
        <w:tc>
          <w:tcPr>
            <w:tcW w:w="5539" w:type="dxa"/>
            <w:tcBorders>
              <w:top w:val="single" w:sz="4" w:space="0" w:color="000000"/>
              <w:left w:val="single" w:sz="4" w:space="0" w:color="000000"/>
              <w:bottom w:val="single" w:sz="4" w:space="0" w:color="000000"/>
              <w:right w:val="single" w:sz="4" w:space="0" w:color="000000"/>
            </w:tcBorders>
          </w:tcPr>
          <w:p w14:paraId="54F21E86" w14:textId="77777777" w:rsidR="00853B16" w:rsidRPr="007E04E8" w:rsidRDefault="00853B16" w:rsidP="004B4F82">
            <w:pPr>
              <w:pStyle w:val="Tabletext"/>
            </w:pPr>
            <w:r w:rsidRPr="007E04E8">
              <w:t>No</w:t>
            </w:r>
            <w:r w:rsidRPr="00DA6C7D">
              <w:t>.</w:t>
            </w:r>
            <w:r w:rsidRPr="00DA6C7D">
              <w:rPr>
                <w:b/>
                <w:bCs/>
              </w:rPr>
              <w:t xml:space="preserve"> 9.21</w:t>
            </w:r>
          </w:p>
        </w:tc>
      </w:tr>
    </w:tbl>
    <w:p w14:paraId="30654490" w14:textId="77777777" w:rsidR="00853B16" w:rsidRPr="00BB46E5" w:rsidRDefault="00853B16" w:rsidP="00853B16">
      <w:pPr>
        <w:pStyle w:val="Tablefin"/>
      </w:pPr>
    </w:p>
    <w:p w14:paraId="63EF5C81" w14:textId="69721154" w:rsidR="00853B16" w:rsidRPr="00853B16" w:rsidRDefault="00853B16" w:rsidP="00DE5D83">
      <w:pPr>
        <w:spacing w:before="720"/>
        <w:jc w:val="center"/>
        <w:rPr>
          <w:lang w:eastAsia="zh-CN"/>
        </w:rPr>
      </w:pPr>
      <w:r w:rsidRPr="00BB46E5">
        <w:t>______________</w:t>
      </w:r>
      <w:bookmarkEnd w:id="12"/>
      <w:r w:rsidR="00DE5D83">
        <w:t>___</w:t>
      </w:r>
      <w:bookmarkEnd w:id="11"/>
    </w:p>
    <w:sectPr w:rsidR="00853B16" w:rsidRPr="00853B16" w:rsidSect="00AD3606">
      <w:headerReference w:type="even" r:id="rId35"/>
      <w:headerReference w:type="default" r:id="rId36"/>
      <w:footerReference w:type="even" r:id="rId37"/>
      <w:footerReference w:type="default" r:id="rId38"/>
      <w:headerReference w:type="first" r:id="rId39"/>
      <w:footerReference w:type="first" r:id="rId40"/>
      <w:pgSz w:w="11907" w:h="16834"/>
      <w:pgMar w:top="1418" w:right="1418" w:bottom="1418" w:left="1418" w:header="720" w:footer="720" w:gutter="0"/>
      <w:paperSrc w:first="286" w:other="286"/>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Vallet, Alexandre" w:date="2024-11-05T08:39:00Z" w:initials="AV">
    <w:p w14:paraId="10F56B79" w14:textId="06A6B09B" w:rsidR="00823594" w:rsidRDefault="00823594" w:rsidP="00853B16">
      <w:pPr>
        <w:pStyle w:val="CommentText"/>
      </w:pPr>
      <w:r>
        <w:rPr>
          <w:rStyle w:val="CommentReference"/>
        </w:rPr>
        <w:annotationRef/>
      </w:r>
      <w:r>
        <w:rPr>
          <w:lang w:val="en-US"/>
        </w:rPr>
        <w:t>Item a</w:t>
      </w:r>
    </w:p>
  </w:comment>
  <w:comment w:id="14" w:author="Vallet, Alexandre" w:date="2024-12-18T02:44:00Z" w:initials="AV">
    <w:p w14:paraId="259FC1A2" w14:textId="77777777" w:rsidR="00823594" w:rsidRDefault="00823594" w:rsidP="00C31A36">
      <w:pPr>
        <w:pStyle w:val="CommentText"/>
      </w:pPr>
      <w:r>
        <w:rPr>
          <w:rStyle w:val="CommentReference"/>
        </w:rPr>
        <w:annotationRef/>
      </w:r>
      <w:r>
        <w:rPr>
          <w:lang w:val="en-US"/>
        </w:rPr>
        <w:t>Item b)</w:t>
      </w:r>
    </w:p>
  </w:comment>
  <w:comment w:id="16" w:author="Vallet, Alexandre" w:date="2025-01-07T15:58:00Z" w:initials="AV">
    <w:p w14:paraId="797C491D" w14:textId="77777777" w:rsidR="00137F85" w:rsidRDefault="00137F85" w:rsidP="00F24CFB">
      <w:pPr>
        <w:pStyle w:val="CommentText"/>
      </w:pPr>
      <w:r>
        <w:rPr>
          <w:rStyle w:val="CommentReference"/>
        </w:rPr>
        <w:annotationRef/>
      </w:r>
      <w:r>
        <w:t>Item e) based on 20% increase since 2005</w:t>
      </w:r>
    </w:p>
  </w:comment>
  <w:comment w:id="17" w:author="Vallet, Alexandre" w:date="2024-12-18T03:54:00Z" w:initials="AV">
    <w:p w14:paraId="1DBCE107" w14:textId="4DEBD3B3" w:rsidR="00823594" w:rsidRDefault="00823594" w:rsidP="003C4EA7">
      <w:pPr>
        <w:pStyle w:val="CommentText"/>
      </w:pPr>
      <w:r>
        <w:rPr>
          <w:rStyle w:val="CommentReference"/>
        </w:rPr>
        <w:annotationRef/>
      </w:r>
      <w:r>
        <w:rPr>
          <w:lang w:val="en-US"/>
        </w:rPr>
        <w:t>Item i)</w:t>
      </w:r>
    </w:p>
  </w:comment>
  <w:comment w:id="18" w:author="Vallet, Alexandre" w:date="2024-12-18T03:54:00Z" w:initials="AV">
    <w:p w14:paraId="638F34EA" w14:textId="77777777" w:rsidR="00823594" w:rsidRDefault="00823594" w:rsidP="003C4EA7">
      <w:pPr>
        <w:pStyle w:val="CommentText"/>
      </w:pPr>
      <w:r>
        <w:rPr>
          <w:rStyle w:val="CommentReference"/>
        </w:rPr>
        <w:annotationRef/>
      </w:r>
      <w:r>
        <w:rPr>
          <w:lang w:val="en-US"/>
        </w:rPr>
        <w:t>Item i)</w:t>
      </w:r>
    </w:p>
  </w:comment>
  <w:comment w:id="19" w:author="Vallet, Alexandre" w:date="2025-01-07T12:31:00Z" w:initials="AV">
    <w:p w14:paraId="298AE8B9" w14:textId="77777777" w:rsidR="00823594" w:rsidRDefault="00823594" w:rsidP="00920899">
      <w:pPr>
        <w:pStyle w:val="CommentText"/>
      </w:pPr>
      <w:r>
        <w:rPr>
          <w:rStyle w:val="CommentReference"/>
        </w:rPr>
        <w:annotationRef/>
      </w:r>
      <w:r>
        <w:t>Item f), changing the ceiling from 75 000 units to 500 000 units (value never exceeded in a filing until now) so that additional units create an increase in price.</w:t>
      </w:r>
    </w:p>
  </w:comment>
  <w:comment w:id="20" w:author="Vallet, Alexandre" w:date="2025-01-07T12:32:00Z" w:initials="AV">
    <w:p w14:paraId="0ED178CC" w14:textId="77777777" w:rsidR="00823594" w:rsidRDefault="00823594" w:rsidP="00920899">
      <w:pPr>
        <w:pStyle w:val="CommentText"/>
      </w:pPr>
      <w:r>
        <w:rPr>
          <w:rStyle w:val="CommentReference"/>
        </w:rPr>
        <w:annotationRef/>
      </w:r>
      <w:r>
        <w:rPr>
          <w:lang w:val="en-US"/>
        </w:rPr>
        <w:t>Item h) related to epfd examination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F56B79" w15:done="0"/>
  <w15:commentEx w15:paraId="259FC1A2" w15:done="0"/>
  <w15:commentEx w15:paraId="797C491D" w15:done="0"/>
  <w15:commentEx w15:paraId="1DBCE107" w15:done="0"/>
  <w15:commentEx w15:paraId="638F34EA" w15:done="0"/>
  <w15:commentEx w15:paraId="298AE8B9" w15:done="0"/>
  <w15:commentEx w15:paraId="0ED178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FA9D5" w16cex:dateUtc="2024-11-05T07:39:00Z"/>
  <w16cex:commentExtensible w16cex:durableId="19AE844B" w16cex:dateUtc="2024-12-18T01:44:00Z"/>
  <w16cex:commentExtensible w16cex:durableId="0E7EBFBB" w16cex:dateUtc="2025-01-07T14:58:00Z"/>
  <w16cex:commentExtensible w16cex:durableId="1EA7AC63" w16cex:dateUtc="2024-12-18T02:54:00Z"/>
  <w16cex:commentExtensible w16cex:durableId="1B4F6508" w16cex:dateUtc="2024-12-18T02:54:00Z"/>
  <w16cex:commentExtensible w16cex:durableId="39E88D64" w16cex:dateUtc="2025-01-07T11:31:00Z"/>
  <w16cex:commentExtensible w16cex:durableId="04A8A282" w16cex:dateUtc="2025-01-07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56B79" w16cid:durableId="1D2FA9D5"/>
  <w16cid:commentId w16cid:paraId="259FC1A2" w16cid:durableId="19AE844B"/>
  <w16cid:commentId w16cid:paraId="797C491D" w16cid:durableId="0E7EBFBB"/>
  <w16cid:commentId w16cid:paraId="1DBCE107" w16cid:durableId="1EA7AC63"/>
  <w16cid:commentId w16cid:paraId="638F34EA" w16cid:durableId="1B4F6508"/>
  <w16cid:commentId w16cid:paraId="298AE8B9" w16cid:durableId="39E88D64"/>
  <w16cid:commentId w16cid:paraId="0ED178CC" w16cid:durableId="04A8A2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A69BF" w14:textId="77777777" w:rsidR="00046B15" w:rsidRDefault="00046B15">
      <w:r>
        <w:separator/>
      </w:r>
    </w:p>
  </w:endnote>
  <w:endnote w:type="continuationSeparator" w:id="0">
    <w:p w14:paraId="16AEB5FE" w14:textId="77777777" w:rsidR="00046B15" w:rsidRDefault="00046B15">
      <w:r>
        <w:continuationSeparator/>
      </w:r>
    </w:p>
  </w:endnote>
  <w:endnote w:type="continuationNotice" w:id="1">
    <w:p w14:paraId="5DB81022" w14:textId="77777777" w:rsidR="00046B15" w:rsidRDefault="00046B1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0B5AB0" w:rsidRPr="000F6AB8" w14:paraId="0DE651FE" w14:textId="77777777" w:rsidTr="004B4F82">
      <w:trPr>
        <w:jc w:val="center"/>
      </w:trPr>
      <w:tc>
        <w:tcPr>
          <w:tcW w:w="3107" w:type="dxa"/>
          <w:vAlign w:val="center"/>
        </w:tcPr>
        <w:p w14:paraId="7C1CE47D" w14:textId="57E43D56" w:rsidR="000B5AB0" w:rsidRPr="0025570E" w:rsidRDefault="000B5AB0" w:rsidP="000B5AB0">
          <w:pPr>
            <w:pStyle w:val="Header"/>
            <w:jc w:val="left"/>
            <w:rPr>
              <w:noProof/>
              <w:u w:val="single"/>
            </w:rPr>
          </w:pPr>
        </w:p>
      </w:tc>
      <w:tc>
        <w:tcPr>
          <w:tcW w:w="6957" w:type="dxa"/>
        </w:tcPr>
        <w:p w14:paraId="7B768C03" w14:textId="19AE8C18" w:rsidR="000B5AB0" w:rsidRPr="000F6AB8" w:rsidRDefault="000B5AB0" w:rsidP="000B5AB0">
          <w:pPr>
            <w:pStyle w:val="Header"/>
            <w:tabs>
              <w:tab w:val="left" w:pos="4299"/>
              <w:tab w:val="right" w:pos="8505"/>
              <w:tab w:val="right" w:pos="9639"/>
            </w:tabs>
            <w:jc w:val="left"/>
            <w:rPr>
              <w:rFonts w:ascii="Arial" w:hAnsi="Arial" w:cs="Arial"/>
              <w:b/>
              <w:bCs/>
              <w:szCs w:val="18"/>
              <w:lang w:val="es-ES"/>
            </w:rPr>
          </w:pPr>
          <w:r w:rsidRPr="005C13D4">
            <w:rPr>
              <w:bCs/>
              <w:lang w:val="fr-CH"/>
            </w:rPr>
            <w:tab/>
          </w:r>
          <w:r>
            <w:rPr>
              <w:bCs/>
            </w:rPr>
            <w:t>EG-DEC482-4</w:t>
          </w:r>
          <w:r>
            <w:rPr>
              <w:bCs/>
              <w:lang w:val="es-ES"/>
            </w:rPr>
            <w:t>/</w:t>
          </w:r>
          <w:r w:rsidR="006D3E01">
            <w:rPr>
              <w:bCs/>
              <w:lang w:val="es-ES"/>
            </w:rPr>
            <w:t>4</w:t>
          </w:r>
          <w:r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B21FB30" w14:textId="77777777" w:rsidR="00823594" w:rsidRPr="00DB1936" w:rsidRDefault="00823594"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0B5AB0" w:rsidRPr="00374585" w14:paraId="0D087BCD" w14:textId="77777777" w:rsidTr="004B4F82">
      <w:trPr>
        <w:jc w:val="center"/>
      </w:trPr>
      <w:tc>
        <w:tcPr>
          <w:tcW w:w="3107" w:type="dxa"/>
          <w:vAlign w:val="center"/>
        </w:tcPr>
        <w:p w14:paraId="050C9F51" w14:textId="0AB99E9F" w:rsidR="000B5AB0" w:rsidRPr="0025570E" w:rsidRDefault="000B5AB0" w:rsidP="000B5AB0">
          <w:pPr>
            <w:pStyle w:val="Header"/>
            <w:jc w:val="left"/>
            <w:rPr>
              <w:noProof/>
              <w:u w:val="single"/>
            </w:rPr>
          </w:pPr>
          <w:hyperlink r:id="rId1" w:history="1">
            <w:r w:rsidRPr="001A0875">
              <w:rPr>
                <w:rStyle w:val="Hyperlink"/>
                <w:u w:val="none"/>
              </w:rPr>
              <w:t>council.itu.int/working-groups</w:t>
            </w:r>
          </w:hyperlink>
        </w:p>
      </w:tc>
      <w:tc>
        <w:tcPr>
          <w:tcW w:w="6957" w:type="dxa"/>
        </w:tcPr>
        <w:p w14:paraId="50489EFF" w14:textId="7C2D7C49" w:rsidR="000B5AB0" w:rsidRPr="00374585" w:rsidRDefault="000B5AB0" w:rsidP="000B5AB0">
          <w:pPr>
            <w:pStyle w:val="Header"/>
            <w:tabs>
              <w:tab w:val="left" w:pos="4299"/>
              <w:tab w:val="right" w:pos="8505"/>
              <w:tab w:val="right" w:pos="9639"/>
            </w:tabs>
            <w:jc w:val="left"/>
            <w:rPr>
              <w:rFonts w:ascii="Arial" w:hAnsi="Arial" w:cs="Arial"/>
              <w:b/>
              <w:bCs/>
              <w:szCs w:val="18"/>
              <w:highlight w:val="yellow"/>
              <w:lang w:val="es-ES"/>
            </w:rPr>
          </w:pPr>
          <w:r>
            <w:rPr>
              <w:bCs/>
            </w:rPr>
            <w:tab/>
            <w:t>EG-DEC482-4</w:t>
          </w:r>
          <w:r>
            <w:rPr>
              <w:bCs/>
              <w:lang w:val="es-ES"/>
            </w:rPr>
            <w:t>/</w:t>
          </w:r>
          <w:r w:rsidR="006D3E01">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67027736" w14:textId="77777777" w:rsidR="00823594" w:rsidRPr="00623AE3" w:rsidRDefault="00823594" w:rsidP="00EE49E8">
    <w:pPr>
      <w:pStyle w:val="Header"/>
      <w:tabs>
        <w:tab w:val="left" w:pos="8080"/>
        <w:tab w:val="right" w:pos="9072"/>
      </w:tabs>
      <w:jc w:val="righ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9084"/>
    </w:tblGrid>
    <w:tr w:rsidR="00823594" w:rsidRPr="00FB76C4" w14:paraId="1C256F8D" w14:textId="77777777" w:rsidTr="004B4F82">
      <w:trPr>
        <w:jc w:val="center"/>
      </w:trPr>
      <w:tc>
        <w:tcPr>
          <w:tcW w:w="3107" w:type="dxa"/>
          <w:vAlign w:val="center"/>
        </w:tcPr>
        <w:p w14:paraId="28EF6387" w14:textId="77777777" w:rsidR="00823594" w:rsidRPr="0025570E" w:rsidRDefault="00823594" w:rsidP="00A3248C">
          <w:pPr>
            <w:pStyle w:val="Header"/>
            <w:jc w:val="left"/>
            <w:rPr>
              <w:noProof/>
              <w:u w:val="single"/>
            </w:rPr>
          </w:pPr>
        </w:p>
      </w:tc>
      <w:tc>
        <w:tcPr>
          <w:tcW w:w="9084" w:type="dxa"/>
        </w:tcPr>
        <w:p w14:paraId="02CA0B70" w14:textId="0EC77A36" w:rsidR="00823594" w:rsidRPr="000F6AB8" w:rsidRDefault="00823594" w:rsidP="00E9589F">
          <w:pPr>
            <w:pStyle w:val="Header"/>
            <w:tabs>
              <w:tab w:val="right" w:pos="8505"/>
              <w:tab w:val="right" w:pos="9639"/>
            </w:tabs>
            <w:jc w:val="left"/>
            <w:rPr>
              <w:rFonts w:ascii="Arial" w:hAnsi="Arial" w:cs="Arial"/>
              <w:b/>
              <w:bCs/>
              <w:szCs w:val="18"/>
              <w:lang w:val="es-ES"/>
            </w:rPr>
          </w:pPr>
          <w:r>
            <w:rPr>
              <w:bCs/>
            </w:rPr>
            <w:tab/>
          </w:r>
          <w:r w:rsidR="002B2D45" w:rsidRPr="00FB76C4">
            <w:rPr>
              <w:bCs/>
              <w:lang w:val="de-DE"/>
            </w:rPr>
            <w:t>EG-DEC482-</w:t>
          </w:r>
          <w:r w:rsidR="002B2D45">
            <w:rPr>
              <w:bCs/>
              <w:lang w:val="de-DE"/>
            </w:rPr>
            <w:t>4</w:t>
          </w:r>
          <w:r w:rsidR="002B2D45">
            <w:rPr>
              <w:bCs/>
              <w:lang w:val="es-ES"/>
            </w:rPr>
            <w:t>/4-</w:t>
          </w:r>
          <w:r w:rsidR="002B2D45" w:rsidRPr="000F6AB8">
            <w:rPr>
              <w:bCs/>
              <w:lang w:val="es-ES"/>
            </w:rPr>
            <w:t>E</w:t>
          </w:r>
          <w:r w:rsidRPr="000F6AB8">
            <w:rPr>
              <w:bCs/>
              <w:lang w:val="es-ES"/>
            </w:rPr>
            <w:tab/>
          </w:r>
          <w:r>
            <w:fldChar w:fldCharType="begin"/>
          </w:r>
          <w:r w:rsidRPr="000F6AB8">
            <w:rPr>
              <w:lang w:val="es-ES"/>
            </w:rPr>
            <w:instrText>PAGE</w:instrText>
          </w:r>
          <w:r>
            <w:fldChar w:fldCharType="separate"/>
          </w:r>
          <w:r w:rsidR="001A4696">
            <w:rPr>
              <w:noProof/>
              <w:lang w:val="es-ES"/>
            </w:rPr>
            <w:t>10</w:t>
          </w:r>
          <w:r>
            <w:rPr>
              <w:noProof/>
            </w:rPr>
            <w:fldChar w:fldCharType="end"/>
          </w:r>
        </w:p>
      </w:tc>
    </w:tr>
  </w:tbl>
  <w:p w14:paraId="107C66A4" w14:textId="77777777" w:rsidR="00823594" w:rsidRPr="00FB76C4" w:rsidRDefault="00823594" w:rsidP="004B4F82">
    <w:pPr>
      <w:pStyle w:val="Footer"/>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19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9084"/>
    </w:tblGrid>
    <w:tr w:rsidR="00823594" w:rsidRPr="00FB76C4" w14:paraId="2C0CD16B" w14:textId="77777777" w:rsidTr="00A3248C">
      <w:trPr>
        <w:jc w:val="center"/>
      </w:trPr>
      <w:tc>
        <w:tcPr>
          <w:tcW w:w="3107" w:type="dxa"/>
          <w:vAlign w:val="center"/>
        </w:tcPr>
        <w:p w14:paraId="6A11F1B1" w14:textId="02CAB171" w:rsidR="00823594" w:rsidRPr="0025570E" w:rsidRDefault="00823594" w:rsidP="00A3248C">
          <w:pPr>
            <w:pStyle w:val="Header"/>
            <w:jc w:val="left"/>
            <w:rPr>
              <w:noProof/>
              <w:u w:val="single"/>
            </w:rPr>
          </w:pPr>
        </w:p>
      </w:tc>
      <w:tc>
        <w:tcPr>
          <w:tcW w:w="9084" w:type="dxa"/>
        </w:tcPr>
        <w:p w14:paraId="4D721141" w14:textId="2A8A8CF2" w:rsidR="00823594" w:rsidRPr="000F6AB8" w:rsidRDefault="00823594" w:rsidP="00A3248C">
          <w:pPr>
            <w:pStyle w:val="Header"/>
            <w:tabs>
              <w:tab w:val="right" w:pos="8505"/>
              <w:tab w:val="right" w:pos="9639"/>
            </w:tabs>
            <w:jc w:val="left"/>
            <w:rPr>
              <w:rFonts w:ascii="Arial" w:hAnsi="Arial" w:cs="Arial"/>
              <w:b/>
              <w:bCs/>
              <w:szCs w:val="18"/>
              <w:lang w:val="es-ES"/>
            </w:rPr>
          </w:pPr>
          <w:r>
            <w:rPr>
              <w:bCs/>
            </w:rPr>
            <w:tab/>
          </w:r>
          <w:r w:rsidRPr="00FB76C4">
            <w:rPr>
              <w:bCs/>
              <w:lang w:val="de-DE"/>
            </w:rPr>
            <w:t>EG-DEC482-</w:t>
          </w:r>
          <w:r w:rsidR="002B2D45">
            <w:rPr>
              <w:bCs/>
              <w:lang w:val="de-DE"/>
            </w:rPr>
            <w:t>4</w:t>
          </w:r>
          <w:r>
            <w:rPr>
              <w:bCs/>
              <w:lang w:val="es-ES"/>
            </w:rPr>
            <w:t>/</w:t>
          </w:r>
          <w:r w:rsidR="002B2D45">
            <w:rPr>
              <w:bCs/>
              <w:lang w:val="es-ES"/>
            </w:rPr>
            <w:t>4-</w:t>
          </w:r>
          <w:r w:rsidRPr="000F6AB8">
            <w:rPr>
              <w:bCs/>
              <w:lang w:val="es-ES"/>
            </w:rPr>
            <w:t>E</w:t>
          </w:r>
          <w:r w:rsidRPr="000F6AB8">
            <w:rPr>
              <w:bCs/>
              <w:lang w:val="es-ES"/>
            </w:rPr>
            <w:tab/>
          </w:r>
          <w:r>
            <w:fldChar w:fldCharType="begin"/>
          </w:r>
          <w:r w:rsidRPr="000F6AB8">
            <w:rPr>
              <w:lang w:val="es-ES"/>
            </w:rPr>
            <w:instrText>PAGE</w:instrText>
          </w:r>
          <w:r>
            <w:fldChar w:fldCharType="separate"/>
          </w:r>
          <w:r w:rsidR="001A4696">
            <w:rPr>
              <w:noProof/>
              <w:lang w:val="es-ES"/>
            </w:rPr>
            <w:t>6</w:t>
          </w:r>
          <w:r>
            <w:rPr>
              <w:noProof/>
            </w:rPr>
            <w:fldChar w:fldCharType="end"/>
          </w:r>
        </w:p>
      </w:tc>
    </w:tr>
  </w:tbl>
  <w:p w14:paraId="046C69CC" w14:textId="77777777" w:rsidR="00823594" w:rsidRPr="00FB76C4" w:rsidRDefault="00823594">
    <w:pPr>
      <w:pStyle w:val="Footer"/>
      <w:rPr>
        <w:color w:val="BFBFBF" w:themeColor="background1" w:themeShade="BF"/>
        <w:lang w:val="de-D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07BB6" w14:textId="77777777" w:rsidR="00823594" w:rsidRDefault="00823594">
    <w:pPr>
      <w:pStyle w:val="Footer"/>
    </w:pPr>
  </w:p>
  <w:p w14:paraId="5EA36209" w14:textId="77777777" w:rsidR="00823594" w:rsidRDefault="0082359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823594" w:rsidRPr="00877BF2" w14:paraId="0A9B915B" w14:textId="77777777" w:rsidTr="004B4F82">
      <w:trPr>
        <w:jc w:val="center"/>
      </w:trPr>
      <w:tc>
        <w:tcPr>
          <w:tcW w:w="1803" w:type="dxa"/>
          <w:vAlign w:val="center"/>
        </w:tcPr>
        <w:p w14:paraId="74F91AF7" w14:textId="77777777" w:rsidR="00823594" w:rsidRDefault="00823594" w:rsidP="00EE49E8">
          <w:pPr>
            <w:pStyle w:val="Header"/>
            <w:jc w:val="left"/>
            <w:rPr>
              <w:noProof/>
            </w:rPr>
          </w:pPr>
        </w:p>
      </w:tc>
      <w:tc>
        <w:tcPr>
          <w:tcW w:w="8261" w:type="dxa"/>
        </w:tcPr>
        <w:p w14:paraId="138C5B69" w14:textId="77777777" w:rsidR="00823594" w:rsidRPr="00877BF2" w:rsidRDefault="00823594" w:rsidP="00524E9C">
          <w:pPr>
            <w:pStyle w:val="Header"/>
            <w:tabs>
              <w:tab w:val="left" w:pos="6309"/>
              <w:tab w:val="right" w:pos="8505"/>
              <w:tab w:val="right" w:pos="9639"/>
            </w:tabs>
            <w:jc w:val="left"/>
            <w:rPr>
              <w:rFonts w:ascii="Arial" w:hAnsi="Arial" w:cs="Arial"/>
              <w:b/>
              <w:bCs/>
              <w:szCs w:val="18"/>
              <w:lang w:val="es-ES"/>
            </w:rPr>
          </w:pPr>
          <w:r w:rsidRPr="005C13D4">
            <w:rPr>
              <w:bCs/>
              <w:lang w:val="fr-CH"/>
            </w:rPr>
            <w:tab/>
          </w:r>
          <w:r>
            <w:rPr>
              <w:bCs/>
            </w:rPr>
            <w:t>EG-DEC482-3</w:t>
          </w:r>
          <w:r>
            <w:rPr>
              <w:bCs/>
              <w:lang w:val="es-ES"/>
            </w:rPr>
            <w:t>/</w:t>
          </w:r>
          <w:proofErr w:type="spellStart"/>
          <w:r w:rsidRPr="00877BF2">
            <w:rPr>
              <w:bCs/>
              <w:lang w:val="es-ES"/>
            </w:rPr>
            <w:t>xx</w:t>
          </w:r>
          <w:proofErr w:type="spellEnd"/>
          <w:r w:rsidRPr="00877BF2">
            <w:rPr>
              <w:bCs/>
              <w:lang w:val="es-ES"/>
            </w:rPr>
            <w:t>-E</w:t>
          </w:r>
          <w:r w:rsidRPr="00877BF2">
            <w:rPr>
              <w:bCs/>
              <w:lang w:val="es-ES"/>
            </w:rPr>
            <w:tab/>
          </w:r>
          <w:r>
            <w:fldChar w:fldCharType="begin"/>
          </w:r>
          <w:r w:rsidRPr="00877BF2">
            <w:rPr>
              <w:lang w:val="es-ES"/>
            </w:rPr>
            <w:instrText>PAGE</w:instrText>
          </w:r>
          <w:r>
            <w:fldChar w:fldCharType="separate"/>
          </w:r>
          <w:r w:rsidR="001A4696">
            <w:rPr>
              <w:noProof/>
              <w:lang w:val="es-ES"/>
            </w:rPr>
            <w:t>8</w:t>
          </w:r>
          <w:r>
            <w:rPr>
              <w:noProof/>
            </w:rPr>
            <w:fldChar w:fldCharType="end"/>
          </w:r>
        </w:p>
      </w:tc>
    </w:tr>
  </w:tbl>
  <w:p w14:paraId="0D240B1B" w14:textId="77777777" w:rsidR="00823594" w:rsidRPr="00877BF2" w:rsidRDefault="00823594" w:rsidP="00EE49E8">
    <w:pPr>
      <w:pStyle w:val="Header"/>
      <w:tabs>
        <w:tab w:val="left" w:pos="8080"/>
        <w:tab w:val="right" w:pos="9072"/>
      </w:tabs>
      <w:jc w:val="left"/>
      <w:rPr>
        <w:bCs/>
        <w:lang w:val="es-ES"/>
      </w:rPr>
    </w:pPr>
  </w:p>
  <w:p w14:paraId="04D7D428" w14:textId="77777777" w:rsidR="00823594" w:rsidRDefault="0082359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823594" w:rsidRPr="00784011" w14:paraId="17BE3DF0" w14:textId="77777777" w:rsidTr="004B4F82">
      <w:trPr>
        <w:trHeight w:val="1304"/>
        <w:jc w:val="center"/>
      </w:trPr>
      <w:tc>
        <w:tcPr>
          <w:tcW w:w="6546" w:type="dxa"/>
        </w:tcPr>
        <w:p w14:paraId="66F2AB5D" w14:textId="77777777" w:rsidR="00823594" w:rsidRPr="009621F8" w:rsidRDefault="00823594" w:rsidP="008E2061">
          <w:pPr>
            <w:pStyle w:val="Header"/>
            <w:jc w:val="left"/>
            <w:rPr>
              <w:rFonts w:ascii="Arial" w:hAnsi="Arial" w:cs="Arial"/>
              <w:b/>
              <w:bCs/>
              <w:color w:val="009CD6"/>
              <w:sz w:val="36"/>
              <w:szCs w:val="36"/>
            </w:rPr>
          </w:pPr>
          <w:r>
            <w:rPr>
              <w:rFonts w:ascii="Arial" w:hAnsi="Arial" w:cs="Arial"/>
              <w:b/>
              <w:bCs/>
              <w:noProof/>
              <w:color w:val="009CD6"/>
              <w:sz w:val="36"/>
              <w:szCs w:val="36"/>
              <w:lang w:val="en-US" w:eastAsia="zh-CN"/>
            </w:rPr>
            <w:drawing>
              <wp:inline distT="0" distB="0" distL="0" distR="0" wp14:anchorId="13548466" wp14:editId="2C6806C9">
                <wp:extent cx="3671597" cy="612000"/>
                <wp:effectExtent l="0" t="0" r="0" b="0"/>
                <wp:docPr id="203961179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A50EC4" w14:textId="77777777" w:rsidR="00823594" w:rsidRDefault="00823594" w:rsidP="008E2061">
          <w:pPr>
            <w:pStyle w:val="Header"/>
            <w:jc w:val="right"/>
            <w:rPr>
              <w:rFonts w:ascii="Arial" w:hAnsi="Arial" w:cs="Arial"/>
              <w:b/>
              <w:bCs/>
              <w:color w:val="009CD6"/>
              <w:szCs w:val="18"/>
            </w:rPr>
          </w:pPr>
        </w:p>
        <w:p w14:paraId="053431F9" w14:textId="77777777" w:rsidR="00823594" w:rsidRDefault="00823594" w:rsidP="008E2061">
          <w:pPr>
            <w:pStyle w:val="Header"/>
            <w:jc w:val="right"/>
            <w:rPr>
              <w:rFonts w:ascii="Arial" w:hAnsi="Arial" w:cs="Arial"/>
              <w:b/>
              <w:bCs/>
              <w:color w:val="009CD6"/>
              <w:szCs w:val="18"/>
            </w:rPr>
          </w:pPr>
        </w:p>
        <w:p w14:paraId="3E6DDCD9" w14:textId="77777777" w:rsidR="00823594" w:rsidRPr="00784011" w:rsidRDefault="00823594" w:rsidP="008E206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04C1" w14:textId="77777777" w:rsidR="00823594" w:rsidRPr="000F6AB8" w:rsidRDefault="00823594" w:rsidP="00EE49E8">
    <w:pPr>
      <w:pStyle w:val="Header"/>
      <w:tabs>
        <w:tab w:val="left" w:pos="8080"/>
        <w:tab w:val="right" w:pos="9072"/>
      </w:tabs>
      <w:jc w:val="right"/>
      <w:rPr>
        <w:bCs/>
        <w:lang w:val="es-ES"/>
      </w:rPr>
    </w:pPr>
  </w:p>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823594" w:rsidRPr="00FB76C4" w14:paraId="16DD1931" w14:textId="77777777" w:rsidTr="004B4F82">
      <w:trPr>
        <w:jc w:val="center"/>
      </w:trPr>
      <w:tc>
        <w:tcPr>
          <w:tcW w:w="3107" w:type="dxa"/>
          <w:vAlign w:val="center"/>
        </w:tcPr>
        <w:p w14:paraId="3CE63B6D" w14:textId="3B1C37CE" w:rsidR="00823594" w:rsidRPr="00A3248C" w:rsidRDefault="00823594" w:rsidP="00A3248C">
          <w:pPr>
            <w:pStyle w:val="Header"/>
            <w:jc w:val="left"/>
            <w:rPr>
              <w:noProof/>
              <w:u w:val="single"/>
              <w:lang w:val="es-ES"/>
            </w:rPr>
          </w:pPr>
        </w:p>
      </w:tc>
      <w:tc>
        <w:tcPr>
          <w:tcW w:w="6957" w:type="dxa"/>
        </w:tcPr>
        <w:p w14:paraId="6782900C" w14:textId="4D1B952D" w:rsidR="00823594" w:rsidRPr="000F6AB8" w:rsidRDefault="00823594" w:rsidP="00127DCE">
          <w:pPr>
            <w:pStyle w:val="Header"/>
            <w:tabs>
              <w:tab w:val="left" w:pos="4299"/>
              <w:tab w:val="right" w:pos="8505"/>
              <w:tab w:val="right" w:pos="9639"/>
            </w:tabs>
            <w:jc w:val="left"/>
            <w:rPr>
              <w:rFonts w:ascii="Arial" w:hAnsi="Arial" w:cs="Arial"/>
              <w:b/>
              <w:bCs/>
              <w:szCs w:val="18"/>
              <w:lang w:val="es-ES"/>
            </w:rPr>
          </w:pPr>
          <w:r w:rsidRPr="00A3248C">
            <w:rPr>
              <w:bCs/>
              <w:lang w:val="es-ES"/>
            </w:rPr>
            <w:tab/>
          </w:r>
          <w:r w:rsidR="002B2D45" w:rsidRPr="00FB76C4">
            <w:rPr>
              <w:bCs/>
              <w:lang w:val="de-DE"/>
            </w:rPr>
            <w:t>EG-DEC482-</w:t>
          </w:r>
          <w:r w:rsidR="002B2D45">
            <w:rPr>
              <w:bCs/>
              <w:lang w:val="de-DE"/>
            </w:rPr>
            <w:t>4</w:t>
          </w:r>
          <w:r w:rsidR="002B2D45">
            <w:rPr>
              <w:bCs/>
              <w:lang w:val="es-ES"/>
            </w:rPr>
            <w:t>/4-</w:t>
          </w:r>
          <w:r w:rsidR="002B2D45" w:rsidRPr="000F6AB8">
            <w:rPr>
              <w:bCs/>
              <w:lang w:val="es-ES"/>
            </w:rPr>
            <w:t>E</w:t>
          </w:r>
          <w:r w:rsidRPr="000F6AB8">
            <w:rPr>
              <w:bCs/>
              <w:lang w:val="es-ES"/>
            </w:rPr>
            <w:tab/>
          </w:r>
          <w:r>
            <w:fldChar w:fldCharType="begin"/>
          </w:r>
          <w:r w:rsidRPr="000F6AB8">
            <w:rPr>
              <w:lang w:val="es-ES"/>
            </w:rPr>
            <w:instrText>PAGE</w:instrText>
          </w:r>
          <w:r>
            <w:fldChar w:fldCharType="separate"/>
          </w:r>
          <w:r w:rsidR="001A4696">
            <w:rPr>
              <w:noProof/>
              <w:lang w:val="es-ES"/>
            </w:rPr>
            <w:t>11</w:t>
          </w:r>
          <w:r>
            <w:rPr>
              <w:noProof/>
            </w:rPr>
            <w:fldChar w:fldCharType="end"/>
          </w:r>
        </w:p>
      </w:tc>
    </w:tr>
  </w:tbl>
  <w:p w14:paraId="0F05250D" w14:textId="77777777" w:rsidR="00823594" w:rsidRPr="00FB76C4" w:rsidRDefault="00823594">
    <w:pPr>
      <w:rPr>
        <w:sz w:val="18"/>
        <w:szCs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DC334" w14:textId="77777777" w:rsidR="00046B15" w:rsidRDefault="00046B15">
      <w:r>
        <w:t>____________________</w:t>
      </w:r>
    </w:p>
  </w:footnote>
  <w:footnote w:type="continuationSeparator" w:id="0">
    <w:p w14:paraId="6486FBBD" w14:textId="77777777" w:rsidR="00046B15" w:rsidRDefault="00046B15">
      <w:r>
        <w:continuationSeparator/>
      </w:r>
    </w:p>
  </w:footnote>
  <w:footnote w:type="continuationNotice" w:id="1">
    <w:p w14:paraId="7578CF06" w14:textId="77777777" w:rsidR="00046B15" w:rsidRDefault="00046B15">
      <w:pPr>
        <w:spacing w:before="0"/>
      </w:pPr>
    </w:p>
  </w:footnote>
  <w:footnote w:id="2">
    <w:p w14:paraId="3034CBA2" w14:textId="77777777" w:rsidR="00823594" w:rsidRPr="006A60CB" w:rsidRDefault="00823594" w:rsidP="00F053D5">
      <w:pPr>
        <w:pStyle w:val="FootnoteText"/>
        <w:rPr>
          <w:szCs w:val="18"/>
        </w:rPr>
      </w:pPr>
      <w:r w:rsidRPr="00BA2BED">
        <w:rPr>
          <w:rStyle w:val="FootnoteReference"/>
          <w:szCs w:val="18"/>
        </w:rPr>
        <w:footnoteRef/>
      </w:r>
      <w:r w:rsidRPr="006A60CB">
        <w:rPr>
          <w:szCs w:val="18"/>
        </w:rPr>
        <w:tab/>
      </w:r>
      <w:r w:rsidRPr="00AB7167">
        <w:t>In this decision, the term “satellite network” refers to any space system in accordance with No. </w:t>
      </w:r>
      <w:r w:rsidRPr="00872AE0">
        <w:rPr>
          <w:b/>
          <w:bCs/>
        </w:rPr>
        <w:t>1.110</w:t>
      </w:r>
      <w:r w:rsidRPr="00AB7167">
        <w:t xml:space="preserve"> of the Radio Regulations.</w:t>
      </w:r>
    </w:p>
  </w:footnote>
  <w:footnote w:id="3">
    <w:p w14:paraId="7474C503" w14:textId="77777777" w:rsidR="00823594" w:rsidRPr="006A60CB" w:rsidRDefault="00823594" w:rsidP="00F053D5">
      <w:pPr>
        <w:pStyle w:val="FootnoteText"/>
      </w:pPr>
      <w:r w:rsidRPr="00BA2BED">
        <w:rPr>
          <w:rStyle w:val="FootnoteReference"/>
          <w:szCs w:val="18"/>
        </w:rPr>
        <w:footnoteRef/>
      </w:r>
      <w:r w:rsidRPr="006A60CB">
        <w:tab/>
      </w:r>
      <w:r w:rsidRPr="00AB7167">
        <w:t>The fee per “unit” (see Annex) shall not be understood as a tax imposed on spectrum users. It is used here as a driver for the calculation of cost recovery relating to publication of satellite systems.</w:t>
      </w:r>
    </w:p>
  </w:footnote>
  <w:footnote w:id="4">
    <w:p w14:paraId="0EE19AEC" w14:textId="77777777" w:rsidR="00823594" w:rsidRPr="002E4665" w:rsidRDefault="00823594" w:rsidP="00F053D5">
      <w:pPr>
        <w:pStyle w:val="FootnoteText"/>
      </w:pPr>
      <w:r w:rsidRPr="00F04F41">
        <w:rPr>
          <w:rStyle w:val="FootnoteReference"/>
        </w:rPr>
        <w:footnoteRef/>
      </w:r>
      <w:r w:rsidRPr="00F04F41">
        <w:t xml:space="preserve"> </w:t>
      </w:r>
      <w:r w:rsidRPr="00F04F41">
        <w:tab/>
      </w:r>
      <w:r w:rsidRPr="002E4665">
        <w:t xml:space="preserve">A submission of filings under Article 4 of Appendix </w:t>
      </w:r>
      <w:r w:rsidRPr="002E4665">
        <w:rPr>
          <w:b/>
          <w:bCs/>
        </w:rPr>
        <w:t>30</w:t>
      </w:r>
      <w:r w:rsidRPr="002E4665">
        <w:t xml:space="preserve"> and Appendix </w:t>
      </w:r>
      <w:r w:rsidRPr="002E4665">
        <w:rPr>
          <w:b/>
          <w:bCs/>
        </w:rPr>
        <w:t>30A</w:t>
      </w:r>
      <w:r w:rsidRPr="002E4665">
        <w:t xml:space="preserve"> in the Regions 1 and 3 Plans, referring to a single orbital position with the same satellite name and received on the same date shall be considered as one “satellite network” filing for the purpose of free entitlement.</w:t>
      </w:r>
    </w:p>
  </w:footnote>
  <w:footnote w:id="5">
    <w:p w14:paraId="0001199E" w14:textId="77777777" w:rsidR="00823594" w:rsidRPr="006E0F08" w:rsidRDefault="00823594" w:rsidP="00F053D5">
      <w:pPr>
        <w:pStyle w:val="FootnoteText"/>
      </w:pPr>
      <w:r w:rsidRPr="00BF2163">
        <w:rPr>
          <w:rStyle w:val="FootnoteReference"/>
          <w:szCs w:val="18"/>
        </w:rPr>
        <w:footnoteRef/>
      </w:r>
      <w:r>
        <w:tab/>
      </w:r>
      <w:r w:rsidRPr="002E4665">
        <w:t xml:space="preserve">Cost recovery for category C1 only. See also </w:t>
      </w:r>
      <w:r w:rsidRPr="002E4665">
        <w:rPr>
          <w:i/>
          <w:iCs/>
        </w:rPr>
        <w:t xml:space="preserve">decides </w:t>
      </w:r>
      <w:r w:rsidRPr="002E4665">
        <w:rPr>
          <w:iCs/>
        </w:rPr>
        <w:t>11</w:t>
      </w:r>
      <w:r w:rsidRPr="002E466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9E3801" w:rsidRPr="00784011" w14:paraId="56837902" w14:textId="77777777" w:rsidTr="009623D1">
      <w:trPr>
        <w:trHeight w:val="1304"/>
        <w:jc w:val="center"/>
      </w:trPr>
      <w:tc>
        <w:tcPr>
          <w:tcW w:w="6546" w:type="dxa"/>
        </w:tcPr>
        <w:p w14:paraId="3D9BF9B0" w14:textId="069CF64A" w:rsidR="009E3801" w:rsidRPr="009621F8" w:rsidRDefault="009E3801" w:rsidP="009E3801">
          <w:pPr>
            <w:pStyle w:val="Header"/>
            <w:jc w:val="left"/>
            <w:rPr>
              <w:rFonts w:ascii="Arial" w:hAnsi="Arial" w:cs="Arial"/>
              <w:b/>
              <w:bCs/>
              <w:color w:val="009CD6"/>
              <w:sz w:val="36"/>
              <w:szCs w:val="36"/>
            </w:rPr>
          </w:pPr>
          <w:bookmarkStart w:id="15" w:name="_Hlk133422111"/>
          <w:r>
            <w:rPr>
              <w:rFonts w:ascii="Arial" w:hAnsi="Arial" w:cs="Arial"/>
              <w:b/>
              <w:bCs/>
              <w:noProof/>
              <w:color w:val="009CD6"/>
              <w:sz w:val="36"/>
              <w:szCs w:val="36"/>
            </w:rPr>
            <w:drawing>
              <wp:inline distT="0" distB="0" distL="0" distR="0" wp14:anchorId="0CC617E6" wp14:editId="15EF961C">
                <wp:extent cx="1485900" cy="611505"/>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r="59497"/>
                        <a:stretch/>
                      </pic:blipFill>
                      <pic:spPr bwMode="auto">
                        <a:xfrm>
                          <a:off x="0" y="0"/>
                          <a:ext cx="1487103"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3474" w:type="dxa"/>
        </w:tcPr>
        <w:p w14:paraId="23C6A736" w14:textId="77777777" w:rsidR="009E3801" w:rsidRDefault="009E3801" w:rsidP="009E3801">
          <w:pPr>
            <w:pStyle w:val="Header"/>
            <w:jc w:val="right"/>
            <w:rPr>
              <w:rFonts w:ascii="Arial" w:hAnsi="Arial" w:cs="Arial"/>
              <w:b/>
              <w:bCs/>
              <w:color w:val="009CD6"/>
              <w:szCs w:val="18"/>
            </w:rPr>
          </w:pPr>
        </w:p>
        <w:p w14:paraId="17098708" w14:textId="77777777" w:rsidR="009E3801" w:rsidRDefault="009E3801" w:rsidP="009E3801">
          <w:pPr>
            <w:pStyle w:val="Header"/>
            <w:jc w:val="right"/>
            <w:rPr>
              <w:rFonts w:ascii="Arial" w:hAnsi="Arial" w:cs="Arial"/>
              <w:b/>
              <w:bCs/>
              <w:color w:val="009CD6"/>
              <w:szCs w:val="18"/>
            </w:rPr>
          </w:pPr>
        </w:p>
        <w:p w14:paraId="638DEB29" w14:textId="77777777" w:rsidR="009E3801" w:rsidRPr="00784011" w:rsidRDefault="009E3801" w:rsidP="009E3801">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5420B69E" w14:textId="4EA11D58" w:rsidR="00823594" w:rsidRPr="00311E11" w:rsidRDefault="009E3801" w:rsidP="00311E11">
    <w:pPr>
      <w:pStyle w:val="Header"/>
    </w:pPr>
    <w:r w:rsidRPr="00130599">
      <w:rPr>
        <w:rFonts w:ascii="Arial" w:eastAsiaTheme="minorHAnsi" w:hAnsi="Arial" w:cs="Arial"/>
        <w:b/>
        <w:bCs/>
        <w:noProof/>
        <w:color w:val="009CD6"/>
        <w:szCs w:val="18"/>
      </w:rPr>
      <mc:AlternateContent>
        <mc:Choice Requires="wps">
          <w:drawing>
            <wp:anchor distT="0" distB="0" distL="114300" distR="114300" simplePos="0" relativeHeight="251661312" behindDoc="0" locked="0" layoutInCell="1" allowOverlap="1" wp14:anchorId="0273F423" wp14:editId="4E3010AB">
              <wp:simplePos x="0" y="0"/>
              <wp:positionH relativeFrom="column">
                <wp:posOffset>1248410</wp:posOffset>
              </wp:positionH>
              <wp:positionV relativeFrom="paragraph">
                <wp:posOffset>-828319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63C4663" w14:textId="77777777" w:rsidR="009E3801" w:rsidRDefault="009E3801" w:rsidP="009E380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Fourth </w:t>
                          </w:r>
                          <w:r w:rsidRPr="00130599">
                            <w:rPr>
                              <w:sz w:val="20"/>
                            </w:rPr>
                            <w:t xml:space="preserve">meeting </w:t>
                          </w:r>
                          <w:r>
                            <w:rPr>
                              <w:sz w:val="20"/>
                            </w:rPr>
                            <w:t>– From 10 to 11 April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273F423" id="_x0000_t202" coordsize="21600,21600" o:spt="202" path="m,l,21600r21600,l21600,xe">
              <v:stroke joinstyle="miter"/>
              <v:path gradientshapeok="t" o:connecttype="rect"/>
            </v:shapetype>
            <v:shape id="Text Box 2" o:spid="_x0000_s1026" type="#_x0000_t202" style="position:absolute;left:0;text-align:left;margin-left:98.3pt;margin-top:-65.2pt;width:314.9pt;height:3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" fillcolor="white [3212]" stroked="f">
              <v:textbox style="mso-fit-shape-to-text:t" inset="1mm">
                <w:txbxContent>
                  <w:p w14:paraId="563C4663" w14:textId="77777777" w:rsidR="009E3801" w:rsidRDefault="009E3801" w:rsidP="009E3801">
                    <w:pPr>
                      <w:spacing w:before="0"/>
                      <w:ind w:left="-57"/>
                    </w:pPr>
                    <w:r>
                      <w:rPr>
                        <w:b/>
                        <w:bCs/>
                        <w:szCs w:val="24"/>
                      </w:rPr>
                      <w:t>Expert</w:t>
                    </w:r>
                    <w:r w:rsidRPr="00F74694">
                      <w:rPr>
                        <w:b/>
                        <w:bCs/>
                        <w:szCs w:val="24"/>
                      </w:rPr>
                      <w:t xml:space="preserve"> Group </w:t>
                    </w:r>
                    <w:r w:rsidRPr="00F74694">
                      <w:rPr>
                        <w:b/>
                        <w:bCs/>
                        <w:szCs w:val="24"/>
                      </w:rPr>
                      <w:br/>
                      <w:t xml:space="preserve">on </w:t>
                    </w:r>
                    <w:r>
                      <w:rPr>
                        <w:b/>
                        <w:bCs/>
                        <w:szCs w:val="24"/>
                      </w:rPr>
                      <w:t>Decision 482</w:t>
                    </w:r>
                    <w:r>
                      <w:br/>
                    </w:r>
                    <w:r>
                      <w:rPr>
                        <w:sz w:val="20"/>
                      </w:rPr>
                      <w:t xml:space="preserve">Fourth </w:t>
                    </w:r>
                    <w:r w:rsidRPr="00130599">
                      <w:rPr>
                        <w:sz w:val="20"/>
                      </w:rPr>
                      <w:t xml:space="preserve">meeting </w:t>
                    </w:r>
                    <w:r>
                      <w:rPr>
                        <w:sz w:val="20"/>
                      </w:rPr>
                      <w:t>– From 10 to 11 April 2025</w:t>
                    </w:r>
                  </w:p>
                </w:txbxContent>
              </v:textbox>
            </v:shape>
          </w:pict>
        </mc:Fallback>
      </mc:AlternateContent>
    </w:r>
    <w:r w:rsidR="00823594" w:rsidRPr="00802C2C">
      <w:rPr>
        <w:rFonts w:ascii="Avenir Nxt2 W1G Medium" w:eastAsia="Avenir Nxt2 W1G Medium" w:hAnsi="Avenir Nxt2 W1G Medium" w:cs="Avenir Nxt2 W1G Medium"/>
        <w:noProof/>
        <w:lang w:val="en-US" w:eastAsia="zh-CN"/>
      </w:rPr>
      <mc:AlternateContent>
        <mc:Choice Requires="wps">
          <w:drawing>
            <wp:anchor distT="0" distB="0" distL="114300" distR="114300" simplePos="0" relativeHeight="251659264" behindDoc="0" locked="0" layoutInCell="1" allowOverlap="1" wp14:anchorId="2DFCB732" wp14:editId="2499082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0EF0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B5A5" w14:textId="77777777" w:rsidR="00823594" w:rsidRPr="00876FD2" w:rsidRDefault="00823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367D" w14:textId="77777777" w:rsidR="00823594" w:rsidRPr="00593C30" w:rsidRDefault="00823594">
    <w:pPr>
      <w:pStyle w:val="Header"/>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D686" w14:textId="77777777" w:rsidR="00823594" w:rsidRDefault="00823594">
    <w:pPr>
      <w:pStyle w:val="Header"/>
    </w:pPr>
  </w:p>
  <w:p w14:paraId="22E9B0EB" w14:textId="77777777" w:rsidR="00823594" w:rsidRDefault="008235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4021" w14:textId="77777777" w:rsidR="00823594" w:rsidRDefault="00823594">
    <w:pPr>
      <w:pStyle w:val="Header"/>
    </w:pPr>
  </w:p>
  <w:p w14:paraId="4E4898A2" w14:textId="77777777" w:rsidR="00823594" w:rsidRDefault="0082359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0EE1" w14:textId="3FE546DD" w:rsidR="00823594" w:rsidRPr="008E2061" w:rsidRDefault="00823594" w:rsidP="008E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5472FC"/>
    <w:multiLevelType w:val="hybridMultilevel"/>
    <w:tmpl w:val="F6E4316C"/>
    <w:lvl w:ilvl="0" w:tplc="4F6C6E76">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92E7276"/>
    <w:multiLevelType w:val="hybridMultilevel"/>
    <w:tmpl w:val="F12CB8D8"/>
    <w:lvl w:ilvl="0" w:tplc="693693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55A286C"/>
    <w:multiLevelType w:val="hybridMultilevel"/>
    <w:tmpl w:val="D136C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D40988"/>
    <w:multiLevelType w:val="hybridMultilevel"/>
    <w:tmpl w:val="8BB8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5322FE"/>
    <w:multiLevelType w:val="hybridMultilevel"/>
    <w:tmpl w:val="54ACB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F71AB8"/>
    <w:multiLevelType w:val="hybridMultilevel"/>
    <w:tmpl w:val="2E085BAE"/>
    <w:lvl w:ilvl="0" w:tplc="9474A39C">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282965"/>
    <w:multiLevelType w:val="hybridMultilevel"/>
    <w:tmpl w:val="A8E4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088485">
    <w:abstractNumId w:val="0"/>
  </w:num>
  <w:num w:numId="2" w16cid:durableId="161315856">
    <w:abstractNumId w:val="7"/>
  </w:num>
  <w:num w:numId="3" w16cid:durableId="2076933149">
    <w:abstractNumId w:val="5"/>
  </w:num>
  <w:num w:numId="4" w16cid:durableId="1194928837">
    <w:abstractNumId w:val="3"/>
  </w:num>
  <w:num w:numId="5" w16cid:durableId="1413431335">
    <w:abstractNumId w:val="6"/>
  </w:num>
  <w:num w:numId="6" w16cid:durableId="388461521">
    <w:abstractNumId w:val="2"/>
  </w:num>
  <w:num w:numId="7" w16cid:durableId="1691488024">
    <w:abstractNumId w:val="1"/>
  </w:num>
  <w:num w:numId="8" w16cid:durableId="139037625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let, Alexandre">
    <w15:presenceInfo w15:providerId="AD" w15:userId="S::alexandre.vallet@itu.int::4e010b1b-1373-454e-8b53-ebffb81529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6E"/>
    <w:rsid w:val="00003A6D"/>
    <w:rsid w:val="000041A9"/>
    <w:rsid w:val="00004C8C"/>
    <w:rsid w:val="00005EA0"/>
    <w:rsid w:val="0001141C"/>
    <w:rsid w:val="000120E4"/>
    <w:rsid w:val="000156EB"/>
    <w:rsid w:val="000210D4"/>
    <w:rsid w:val="00042A2D"/>
    <w:rsid w:val="00046B15"/>
    <w:rsid w:val="000525A1"/>
    <w:rsid w:val="00063016"/>
    <w:rsid w:val="00065CBD"/>
    <w:rsid w:val="00066795"/>
    <w:rsid w:val="00076374"/>
    <w:rsid w:val="00076856"/>
    <w:rsid w:val="00076AF6"/>
    <w:rsid w:val="00085CF2"/>
    <w:rsid w:val="0008627B"/>
    <w:rsid w:val="000878FB"/>
    <w:rsid w:val="000A1525"/>
    <w:rsid w:val="000A409E"/>
    <w:rsid w:val="000B1705"/>
    <w:rsid w:val="000B5AB0"/>
    <w:rsid w:val="000C0856"/>
    <w:rsid w:val="000D5C0D"/>
    <w:rsid w:val="000D75B2"/>
    <w:rsid w:val="000F34F4"/>
    <w:rsid w:val="000F53C4"/>
    <w:rsid w:val="000F6AB8"/>
    <w:rsid w:val="00110308"/>
    <w:rsid w:val="001121F5"/>
    <w:rsid w:val="0012257E"/>
    <w:rsid w:val="001277EE"/>
    <w:rsid w:val="00127DCE"/>
    <w:rsid w:val="001301EB"/>
    <w:rsid w:val="00130599"/>
    <w:rsid w:val="00131E18"/>
    <w:rsid w:val="00137F85"/>
    <w:rsid w:val="001400DC"/>
    <w:rsid w:val="00140CE1"/>
    <w:rsid w:val="00147C54"/>
    <w:rsid w:val="00157C7D"/>
    <w:rsid w:val="0017539C"/>
    <w:rsid w:val="00175547"/>
    <w:rsid w:val="00175AC2"/>
    <w:rsid w:val="0017609F"/>
    <w:rsid w:val="00195E66"/>
    <w:rsid w:val="001A071B"/>
    <w:rsid w:val="001A4696"/>
    <w:rsid w:val="001A5B07"/>
    <w:rsid w:val="001A6DBF"/>
    <w:rsid w:val="001A7D1D"/>
    <w:rsid w:val="001B0595"/>
    <w:rsid w:val="001B11AD"/>
    <w:rsid w:val="001B51DD"/>
    <w:rsid w:val="001C628E"/>
    <w:rsid w:val="001C6FB4"/>
    <w:rsid w:val="001D62DF"/>
    <w:rsid w:val="001E0F7B"/>
    <w:rsid w:val="001E0FBE"/>
    <w:rsid w:val="001E1C1E"/>
    <w:rsid w:val="001E5FE7"/>
    <w:rsid w:val="001E74E4"/>
    <w:rsid w:val="001F26B6"/>
    <w:rsid w:val="001F3C28"/>
    <w:rsid w:val="001F3FB0"/>
    <w:rsid w:val="002008D3"/>
    <w:rsid w:val="00201741"/>
    <w:rsid w:val="00205D4E"/>
    <w:rsid w:val="002119FD"/>
    <w:rsid w:val="002130E0"/>
    <w:rsid w:val="00213F77"/>
    <w:rsid w:val="002160D8"/>
    <w:rsid w:val="00227AAB"/>
    <w:rsid w:val="00233B79"/>
    <w:rsid w:val="00244F7F"/>
    <w:rsid w:val="002554CF"/>
    <w:rsid w:val="0025570E"/>
    <w:rsid w:val="002567DB"/>
    <w:rsid w:val="002608B7"/>
    <w:rsid w:val="00264425"/>
    <w:rsid w:val="00265875"/>
    <w:rsid w:val="00271C4A"/>
    <w:rsid w:val="0027303B"/>
    <w:rsid w:val="00275B39"/>
    <w:rsid w:val="002778E1"/>
    <w:rsid w:val="0028109B"/>
    <w:rsid w:val="00290AF7"/>
    <w:rsid w:val="00293581"/>
    <w:rsid w:val="00293650"/>
    <w:rsid w:val="002A2188"/>
    <w:rsid w:val="002B1F58"/>
    <w:rsid w:val="002B2D45"/>
    <w:rsid w:val="002B5D7F"/>
    <w:rsid w:val="002B5DEA"/>
    <w:rsid w:val="002C0C67"/>
    <w:rsid w:val="002C1C7A"/>
    <w:rsid w:val="002C54E2"/>
    <w:rsid w:val="002D3A82"/>
    <w:rsid w:val="002E0AC3"/>
    <w:rsid w:val="002F12E5"/>
    <w:rsid w:val="002F2D06"/>
    <w:rsid w:val="002F6D57"/>
    <w:rsid w:val="0030160F"/>
    <w:rsid w:val="00301AEE"/>
    <w:rsid w:val="00301B0F"/>
    <w:rsid w:val="00302716"/>
    <w:rsid w:val="00307F94"/>
    <w:rsid w:val="00311E11"/>
    <w:rsid w:val="00312E51"/>
    <w:rsid w:val="003145DF"/>
    <w:rsid w:val="00315855"/>
    <w:rsid w:val="00320223"/>
    <w:rsid w:val="00321BAB"/>
    <w:rsid w:val="00322D0D"/>
    <w:rsid w:val="00330BD5"/>
    <w:rsid w:val="00341C12"/>
    <w:rsid w:val="00343167"/>
    <w:rsid w:val="003456D3"/>
    <w:rsid w:val="003543D6"/>
    <w:rsid w:val="00354B60"/>
    <w:rsid w:val="00360237"/>
    <w:rsid w:val="003602F9"/>
    <w:rsid w:val="00361465"/>
    <w:rsid w:val="00363256"/>
    <w:rsid w:val="0037448D"/>
    <w:rsid w:val="00374546"/>
    <w:rsid w:val="00374585"/>
    <w:rsid w:val="00374936"/>
    <w:rsid w:val="00381B68"/>
    <w:rsid w:val="003877F5"/>
    <w:rsid w:val="00387915"/>
    <w:rsid w:val="00390A62"/>
    <w:rsid w:val="003942D4"/>
    <w:rsid w:val="0039514F"/>
    <w:rsid w:val="003958A8"/>
    <w:rsid w:val="003B29C2"/>
    <w:rsid w:val="003B3A84"/>
    <w:rsid w:val="003B51CB"/>
    <w:rsid w:val="003C20CA"/>
    <w:rsid w:val="003C2533"/>
    <w:rsid w:val="003C356C"/>
    <w:rsid w:val="003C4EA7"/>
    <w:rsid w:val="003C7B43"/>
    <w:rsid w:val="003D2E43"/>
    <w:rsid w:val="003D5A7F"/>
    <w:rsid w:val="003D635C"/>
    <w:rsid w:val="003D71D8"/>
    <w:rsid w:val="003F3B66"/>
    <w:rsid w:val="0040051E"/>
    <w:rsid w:val="004016E2"/>
    <w:rsid w:val="00402783"/>
    <w:rsid w:val="0040435A"/>
    <w:rsid w:val="00404512"/>
    <w:rsid w:val="0040660F"/>
    <w:rsid w:val="00414519"/>
    <w:rsid w:val="00416088"/>
    <w:rsid w:val="00416A24"/>
    <w:rsid w:val="0042059E"/>
    <w:rsid w:val="00431D9E"/>
    <w:rsid w:val="00433CE8"/>
    <w:rsid w:val="00434A5C"/>
    <w:rsid w:val="00440F0A"/>
    <w:rsid w:val="00446322"/>
    <w:rsid w:val="004544D9"/>
    <w:rsid w:val="00455727"/>
    <w:rsid w:val="00457218"/>
    <w:rsid w:val="00457B19"/>
    <w:rsid w:val="00472BAD"/>
    <w:rsid w:val="00484009"/>
    <w:rsid w:val="00487912"/>
    <w:rsid w:val="00490E72"/>
    <w:rsid w:val="00491157"/>
    <w:rsid w:val="004921C8"/>
    <w:rsid w:val="00494D32"/>
    <w:rsid w:val="004955A8"/>
    <w:rsid w:val="00495B0B"/>
    <w:rsid w:val="004A1B8B"/>
    <w:rsid w:val="004A1C09"/>
    <w:rsid w:val="004B4F82"/>
    <w:rsid w:val="004B51C8"/>
    <w:rsid w:val="004B6E0E"/>
    <w:rsid w:val="004C158D"/>
    <w:rsid w:val="004C7AF3"/>
    <w:rsid w:val="004D1851"/>
    <w:rsid w:val="004D599D"/>
    <w:rsid w:val="004D7F3E"/>
    <w:rsid w:val="004E06D1"/>
    <w:rsid w:val="004E2EA5"/>
    <w:rsid w:val="004E3AEB"/>
    <w:rsid w:val="00500CA4"/>
    <w:rsid w:val="0050223C"/>
    <w:rsid w:val="005170FD"/>
    <w:rsid w:val="005243FF"/>
    <w:rsid w:val="00524E9C"/>
    <w:rsid w:val="005274E6"/>
    <w:rsid w:val="005311D6"/>
    <w:rsid w:val="00536422"/>
    <w:rsid w:val="00541730"/>
    <w:rsid w:val="0054526E"/>
    <w:rsid w:val="00551F02"/>
    <w:rsid w:val="005536C2"/>
    <w:rsid w:val="0055373C"/>
    <w:rsid w:val="00564FBC"/>
    <w:rsid w:val="00565A40"/>
    <w:rsid w:val="005800BC"/>
    <w:rsid w:val="00582442"/>
    <w:rsid w:val="0059665D"/>
    <w:rsid w:val="005A335D"/>
    <w:rsid w:val="005A33D4"/>
    <w:rsid w:val="005B0869"/>
    <w:rsid w:val="005C13D4"/>
    <w:rsid w:val="005D00C2"/>
    <w:rsid w:val="005E1FB8"/>
    <w:rsid w:val="005E2BD5"/>
    <w:rsid w:val="005E4F47"/>
    <w:rsid w:val="005F0DFD"/>
    <w:rsid w:val="005F3269"/>
    <w:rsid w:val="005F3947"/>
    <w:rsid w:val="00601F14"/>
    <w:rsid w:val="00602392"/>
    <w:rsid w:val="00611E95"/>
    <w:rsid w:val="00615961"/>
    <w:rsid w:val="00616DC5"/>
    <w:rsid w:val="00623AE3"/>
    <w:rsid w:val="006261F4"/>
    <w:rsid w:val="00632F57"/>
    <w:rsid w:val="00642573"/>
    <w:rsid w:val="0064737F"/>
    <w:rsid w:val="006535F1"/>
    <w:rsid w:val="0065557D"/>
    <w:rsid w:val="00660D50"/>
    <w:rsid w:val="00661629"/>
    <w:rsid w:val="00662984"/>
    <w:rsid w:val="00663050"/>
    <w:rsid w:val="006716BB"/>
    <w:rsid w:val="00685240"/>
    <w:rsid w:val="00685300"/>
    <w:rsid w:val="0069436B"/>
    <w:rsid w:val="006973C8"/>
    <w:rsid w:val="006A4862"/>
    <w:rsid w:val="006B1859"/>
    <w:rsid w:val="006B6680"/>
    <w:rsid w:val="006B6DCC"/>
    <w:rsid w:val="006D1E2C"/>
    <w:rsid w:val="006D310C"/>
    <w:rsid w:val="006D3E01"/>
    <w:rsid w:val="006D5CDF"/>
    <w:rsid w:val="006E2D8C"/>
    <w:rsid w:val="006E567B"/>
    <w:rsid w:val="006F5D90"/>
    <w:rsid w:val="006F6C53"/>
    <w:rsid w:val="00701C70"/>
    <w:rsid w:val="00702856"/>
    <w:rsid w:val="00702DEF"/>
    <w:rsid w:val="00706861"/>
    <w:rsid w:val="007247CF"/>
    <w:rsid w:val="00726A19"/>
    <w:rsid w:val="00726B8C"/>
    <w:rsid w:val="00727C44"/>
    <w:rsid w:val="00750492"/>
    <w:rsid w:val="0075051B"/>
    <w:rsid w:val="00751072"/>
    <w:rsid w:val="0075566D"/>
    <w:rsid w:val="0077110E"/>
    <w:rsid w:val="00775655"/>
    <w:rsid w:val="007849D5"/>
    <w:rsid w:val="00784CAC"/>
    <w:rsid w:val="00791FB6"/>
    <w:rsid w:val="00793188"/>
    <w:rsid w:val="00794D34"/>
    <w:rsid w:val="007B53CD"/>
    <w:rsid w:val="007D6720"/>
    <w:rsid w:val="007E6B7F"/>
    <w:rsid w:val="007E718E"/>
    <w:rsid w:val="007F06F8"/>
    <w:rsid w:val="007F43CC"/>
    <w:rsid w:val="0080541A"/>
    <w:rsid w:val="00806E3C"/>
    <w:rsid w:val="00813E5E"/>
    <w:rsid w:val="00816C2C"/>
    <w:rsid w:val="00823594"/>
    <w:rsid w:val="0083581B"/>
    <w:rsid w:val="00837F34"/>
    <w:rsid w:val="008442CC"/>
    <w:rsid w:val="00853B16"/>
    <w:rsid w:val="00860EED"/>
    <w:rsid w:val="008632B4"/>
    <w:rsid w:val="00863874"/>
    <w:rsid w:val="00864AFF"/>
    <w:rsid w:val="00865925"/>
    <w:rsid w:val="00877BF2"/>
    <w:rsid w:val="00884F3A"/>
    <w:rsid w:val="00891503"/>
    <w:rsid w:val="008A1F21"/>
    <w:rsid w:val="008A2F06"/>
    <w:rsid w:val="008A6347"/>
    <w:rsid w:val="008B4A6A"/>
    <w:rsid w:val="008B4D76"/>
    <w:rsid w:val="008B4EA4"/>
    <w:rsid w:val="008C7E27"/>
    <w:rsid w:val="008E2061"/>
    <w:rsid w:val="008F3822"/>
    <w:rsid w:val="008F456F"/>
    <w:rsid w:val="008F7448"/>
    <w:rsid w:val="009004C8"/>
    <w:rsid w:val="0090147A"/>
    <w:rsid w:val="0090389B"/>
    <w:rsid w:val="00913C03"/>
    <w:rsid w:val="009173EF"/>
    <w:rsid w:val="00917CBB"/>
    <w:rsid w:val="00920899"/>
    <w:rsid w:val="009247E1"/>
    <w:rsid w:val="00932906"/>
    <w:rsid w:val="00941EBA"/>
    <w:rsid w:val="00942AD2"/>
    <w:rsid w:val="00961860"/>
    <w:rsid w:val="00961B0B"/>
    <w:rsid w:val="00962D33"/>
    <w:rsid w:val="00967887"/>
    <w:rsid w:val="00977E76"/>
    <w:rsid w:val="00990CDE"/>
    <w:rsid w:val="009A6FB4"/>
    <w:rsid w:val="009A78EF"/>
    <w:rsid w:val="009B2234"/>
    <w:rsid w:val="009B38C3"/>
    <w:rsid w:val="009C02E1"/>
    <w:rsid w:val="009C5A35"/>
    <w:rsid w:val="009C6203"/>
    <w:rsid w:val="009D04CA"/>
    <w:rsid w:val="009D24AE"/>
    <w:rsid w:val="009E051D"/>
    <w:rsid w:val="009E17BD"/>
    <w:rsid w:val="009E3801"/>
    <w:rsid w:val="009E485A"/>
    <w:rsid w:val="009F58C1"/>
    <w:rsid w:val="00A04CEC"/>
    <w:rsid w:val="00A13A06"/>
    <w:rsid w:val="00A16C9B"/>
    <w:rsid w:val="00A17EB3"/>
    <w:rsid w:val="00A24E1D"/>
    <w:rsid w:val="00A274EA"/>
    <w:rsid w:val="00A27F92"/>
    <w:rsid w:val="00A32257"/>
    <w:rsid w:val="00A3248C"/>
    <w:rsid w:val="00A36D20"/>
    <w:rsid w:val="00A40DBB"/>
    <w:rsid w:val="00A43AD0"/>
    <w:rsid w:val="00A43C03"/>
    <w:rsid w:val="00A45B55"/>
    <w:rsid w:val="00A46CD0"/>
    <w:rsid w:val="00A514A4"/>
    <w:rsid w:val="00A528DD"/>
    <w:rsid w:val="00A52C84"/>
    <w:rsid w:val="00A55622"/>
    <w:rsid w:val="00A6227C"/>
    <w:rsid w:val="00A65FF9"/>
    <w:rsid w:val="00A67265"/>
    <w:rsid w:val="00A67BAB"/>
    <w:rsid w:val="00A82C76"/>
    <w:rsid w:val="00A8313E"/>
    <w:rsid w:val="00A83502"/>
    <w:rsid w:val="00A84B73"/>
    <w:rsid w:val="00A8760B"/>
    <w:rsid w:val="00A96B1D"/>
    <w:rsid w:val="00AA041F"/>
    <w:rsid w:val="00AA11DE"/>
    <w:rsid w:val="00AA13F4"/>
    <w:rsid w:val="00AA3224"/>
    <w:rsid w:val="00AA7396"/>
    <w:rsid w:val="00AB05AE"/>
    <w:rsid w:val="00AB5F1C"/>
    <w:rsid w:val="00AB66D8"/>
    <w:rsid w:val="00AD15B3"/>
    <w:rsid w:val="00AD3606"/>
    <w:rsid w:val="00AD4A3D"/>
    <w:rsid w:val="00AE15A3"/>
    <w:rsid w:val="00AF2BBE"/>
    <w:rsid w:val="00AF6E49"/>
    <w:rsid w:val="00B04A67"/>
    <w:rsid w:val="00B0583C"/>
    <w:rsid w:val="00B05A13"/>
    <w:rsid w:val="00B12E70"/>
    <w:rsid w:val="00B2220A"/>
    <w:rsid w:val="00B22C0C"/>
    <w:rsid w:val="00B248BC"/>
    <w:rsid w:val="00B31BB2"/>
    <w:rsid w:val="00B358B2"/>
    <w:rsid w:val="00B40A81"/>
    <w:rsid w:val="00B44910"/>
    <w:rsid w:val="00B44F52"/>
    <w:rsid w:val="00B5589B"/>
    <w:rsid w:val="00B57275"/>
    <w:rsid w:val="00B72267"/>
    <w:rsid w:val="00B73DD1"/>
    <w:rsid w:val="00B76EB6"/>
    <w:rsid w:val="00B7737B"/>
    <w:rsid w:val="00B80F62"/>
    <w:rsid w:val="00B824C8"/>
    <w:rsid w:val="00B849D3"/>
    <w:rsid w:val="00B84B9D"/>
    <w:rsid w:val="00BA3A51"/>
    <w:rsid w:val="00BB5898"/>
    <w:rsid w:val="00BC1746"/>
    <w:rsid w:val="00BC251A"/>
    <w:rsid w:val="00BC7743"/>
    <w:rsid w:val="00BD032B"/>
    <w:rsid w:val="00BD0614"/>
    <w:rsid w:val="00BD094B"/>
    <w:rsid w:val="00BD661C"/>
    <w:rsid w:val="00BE2640"/>
    <w:rsid w:val="00BE2DCC"/>
    <w:rsid w:val="00BE44DF"/>
    <w:rsid w:val="00C01189"/>
    <w:rsid w:val="00C0140E"/>
    <w:rsid w:val="00C0687E"/>
    <w:rsid w:val="00C06DA0"/>
    <w:rsid w:val="00C26BC8"/>
    <w:rsid w:val="00C31A36"/>
    <w:rsid w:val="00C374DE"/>
    <w:rsid w:val="00C47AD4"/>
    <w:rsid w:val="00C517E1"/>
    <w:rsid w:val="00C52D81"/>
    <w:rsid w:val="00C55198"/>
    <w:rsid w:val="00C725C6"/>
    <w:rsid w:val="00C8750B"/>
    <w:rsid w:val="00C922C7"/>
    <w:rsid w:val="00CA6393"/>
    <w:rsid w:val="00CB185D"/>
    <w:rsid w:val="00CB18FF"/>
    <w:rsid w:val="00CB24AA"/>
    <w:rsid w:val="00CC66FD"/>
    <w:rsid w:val="00CD0C08"/>
    <w:rsid w:val="00CD3C91"/>
    <w:rsid w:val="00CD41E6"/>
    <w:rsid w:val="00CE03FB"/>
    <w:rsid w:val="00CE433C"/>
    <w:rsid w:val="00CF0161"/>
    <w:rsid w:val="00CF33F3"/>
    <w:rsid w:val="00D06183"/>
    <w:rsid w:val="00D143DF"/>
    <w:rsid w:val="00D22C42"/>
    <w:rsid w:val="00D275AD"/>
    <w:rsid w:val="00D31526"/>
    <w:rsid w:val="00D410A8"/>
    <w:rsid w:val="00D45669"/>
    <w:rsid w:val="00D464CC"/>
    <w:rsid w:val="00D522F6"/>
    <w:rsid w:val="00D566D6"/>
    <w:rsid w:val="00D65041"/>
    <w:rsid w:val="00D65B3E"/>
    <w:rsid w:val="00D67039"/>
    <w:rsid w:val="00D86E6C"/>
    <w:rsid w:val="00DA2306"/>
    <w:rsid w:val="00DA6DD8"/>
    <w:rsid w:val="00DB00D5"/>
    <w:rsid w:val="00DB1936"/>
    <w:rsid w:val="00DB384B"/>
    <w:rsid w:val="00DB5713"/>
    <w:rsid w:val="00DC2079"/>
    <w:rsid w:val="00DE5D83"/>
    <w:rsid w:val="00DF0189"/>
    <w:rsid w:val="00DF0C2D"/>
    <w:rsid w:val="00DF0DBA"/>
    <w:rsid w:val="00E03FA7"/>
    <w:rsid w:val="00E06FD5"/>
    <w:rsid w:val="00E10E80"/>
    <w:rsid w:val="00E124F0"/>
    <w:rsid w:val="00E173D4"/>
    <w:rsid w:val="00E227F3"/>
    <w:rsid w:val="00E242FB"/>
    <w:rsid w:val="00E4728B"/>
    <w:rsid w:val="00E545C6"/>
    <w:rsid w:val="00E60F04"/>
    <w:rsid w:val="00E63EFF"/>
    <w:rsid w:val="00E65B24"/>
    <w:rsid w:val="00E744C2"/>
    <w:rsid w:val="00E7494F"/>
    <w:rsid w:val="00E77E7A"/>
    <w:rsid w:val="00E854E4"/>
    <w:rsid w:val="00E85B67"/>
    <w:rsid w:val="00E86DBF"/>
    <w:rsid w:val="00E87589"/>
    <w:rsid w:val="00E90944"/>
    <w:rsid w:val="00E925BF"/>
    <w:rsid w:val="00E9589F"/>
    <w:rsid w:val="00EA2021"/>
    <w:rsid w:val="00EA2C89"/>
    <w:rsid w:val="00EA5DE5"/>
    <w:rsid w:val="00EA7E0E"/>
    <w:rsid w:val="00EB0D6F"/>
    <w:rsid w:val="00EB0FAA"/>
    <w:rsid w:val="00EB2232"/>
    <w:rsid w:val="00EB721F"/>
    <w:rsid w:val="00EC5337"/>
    <w:rsid w:val="00EC7C07"/>
    <w:rsid w:val="00EE0B04"/>
    <w:rsid w:val="00EE49E8"/>
    <w:rsid w:val="00EE7761"/>
    <w:rsid w:val="00EF1F6E"/>
    <w:rsid w:val="00F053D5"/>
    <w:rsid w:val="00F07880"/>
    <w:rsid w:val="00F07E13"/>
    <w:rsid w:val="00F10B59"/>
    <w:rsid w:val="00F165DA"/>
    <w:rsid w:val="00F16BAB"/>
    <w:rsid w:val="00F2150A"/>
    <w:rsid w:val="00F22254"/>
    <w:rsid w:val="00F231D8"/>
    <w:rsid w:val="00F24CFB"/>
    <w:rsid w:val="00F44C00"/>
    <w:rsid w:val="00F45D2C"/>
    <w:rsid w:val="00F46C5F"/>
    <w:rsid w:val="00F57F28"/>
    <w:rsid w:val="00F614E4"/>
    <w:rsid w:val="00F632C0"/>
    <w:rsid w:val="00F66A26"/>
    <w:rsid w:val="00F66B27"/>
    <w:rsid w:val="00F71E6D"/>
    <w:rsid w:val="00F73B2C"/>
    <w:rsid w:val="00F74694"/>
    <w:rsid w:val="00F75DDE"/>
    <w:rsid w:val="00F82595"/>
    <w:rsid w:val="00F86596"/>
    <w:rsid w:val="00F923B0"/>
    <w:rsid w:val="00F93FD4"/>
    <w:rsid w:val="00F94A63"/>
    <w:rsid w:val="00FA08DD"/>
    <w:rsid w:val="00FA1167"/>
    <w:rsid w:val="00FA1C28"/>
    <w:rsid w:val="00FB1279"/>
    <w:rsid w:val="00FB6B76"/>
    <w:rsid w:val="00FB7596"/>
    <w:rsid w:val="00FB76C4"/>
    <w:rsid w:val="00FC095F"/>
    <w:rsid w:val="00FE334E"/>
    <w:rsid w:val="00FE4077"/>
    <w:rsid w:val="00FE500D"/>
    <w:rsid w:val="00FE772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D080CE"/>
  <w15:docId w15:val="{546ED27F-715B-4C22-AF01-57220FEF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aliases w:val="footer odd,fo,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he,encabezad"/>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813E5E"/>
    <w:rPr>
      <w:rFonts w:ascii="Calibri" w:hAnsi="Calibri"/>
      <w:position w:val="6"/>
      <w:sz w:val="16"/>
    </w:rPr>
  </w:style>
  <w:style w:type="paragraph" w:styleId="FootnoteText">
    <w:name w:val="footnote text"/>
    <w:aliases w:val="ACMA Footnote Text,footnote text,ALTS FOOTNOTE,Footnote Text Char1,Footnote Text Char Char1,Footnote Text Char4 Char Char,Footnote Text Char1 Char1 Char1 Char,Footnote Text Char Char1 Char1 Char Char,DNV,Char,DNV-FT,DNV-"/>
    <w:basedOn w:val="Normal"/>
    <w:link w:val="FootnoteTextChar"/>
    <w:rsid w:val="00F053D5"/>
    <w:pPr>
      <w:keepLines/>
      <w:tabs>
        <w:tab w:val="left" w:pos="256"/>
      </w:tabs>
      <w:ind w:left="256" w:hanging="256"/>
      <w:jc w:val="both"/>
    </w:pPr>
    <w:rPr>
      <w:sz w:val="20"/>
      <w:szCs w:val="16"/>
    </w:rPr>
  </w:style>
  <w:style w:type="paragraph" w:styleId="NormalIndent">
    <w:name w:val="Normal Indent"/>
    <w:basedOn w:val="Normal"/>
    <w:rsid w:val="00813E5E"/>
    <w:pPr>
      <w:ind w:left="567"/>
    </w:pPr>
  </w:style>
  <w:style w:type="paragraph" w:customStyle="1" w:styleId="enumlev1">
    <w:name w:val="enumlev1"/>
    <w:basedOn w:val="Normal"/>
    <w:link w:val="enumlev1Char"/>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aliases w:val="encabezado Char,he Char,encabezad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link w:val="CallChar"/>
    <w:qFormat/>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685300"/>
    <w:rPr>
      <w:color w:val="666666"/>
    </w:rPr>
  </w:style>
  <w:style w:type="paragraph" w:customStyle="1" w:styleId="Tablefin">
    <w:name w:val="Table_fin"/>
    <w:basedOn w:val="Tabletext"/>
    <w:rsid w:val="003456D3"/>
    <w:pPr>
      <w:tabs>
        <w:tab w:val="clear" w:pos="284"/>
        <w:tab w:val="clear" w:pos="567"/>
        <w:tab w:val="clear" w:pos="851"/>
      </w:tabs>
      <w:spacing w:before="0" w:after="0"/>
    </w:pPr>
  </w:style>
  <w:style w:type="character" w:customStyle="1" w:styleId="FootnoteTextChar">
    <w:name w:val="Footnote Text Char"/>
    <w:aliases w:val="ACMA Footnote Text Char,footnote text Char,ALTS FOOTNOTE Char,Footnote Text Char1 Char,Footnote Text Char Char1 Char,Footnote Text Char4 Char Char Char,Footnote Text Char1 Char1 Char1 Char Char,DNV Char,Char Char,DNV-FT Char,DNV- Char"/>
    <w:basedOn w:val="DefaultParagraphFont"/>
    <w:link w:val="FootnoteText"/>
    <w:rsid w:val="00F053D5"/>
    <w:rPr>
      <w:rFonts w:ascii="Calibri" w:hAnsi="Calibri"/>
      <w:szCs w:val="16"/>
      <w:lang w:val="en-GB" w:eastAsia="en-US"/>
    </w:rPr>
  </w:style>
  <w:style w:type="character" w:customStyle="1" w:styleId="FooterChar">
    <w:name w:val="Footer Char"/>
    <w:aliases w:val="footer odd Char,fo Char,footer Char"/>
    <w:basedOn w:val="DefaultParagraphFont"/>
    <w:link w:val="Footer"/>
    <w:rsid w:val="003456D3"/>
    <w:rPr>
      <w:rFonts w:ascii="Calibri" w:hAnsi="Calibri"/>
      <w:caps/>
      <w:noProof/>
      <w:sz w:val="16"/>
      <w:lang w:val="en-GB" w:eastAsia="en-US"/>
    </w:rPr>
  </w:style>
  <w:style w:type="character" w:customStyle="1" w:styleId="CallChar">
    <w:name w:val="Call Char"/>
    <w:basedOn w:val="DefaultParagraphFont"/>
    <w:link w:val="Call"/>
    <w:rsid w:val="003456D3"/>
    <w:rPr>
      <w:rFonts w:ascii="Calibri" w:hAnsi="Calibri"/>
      <w:i/>
      <w:sz w:val="24"/>
      <w:lang w:val="en-GB" w:eastAsia="en-US"/>
    </w:rPr>
  </w:style>
  <w:style w:type="character" w:styleId="CommentReference">
    <w:name w:val="annotation reference"/>
    <w:basedOn w:val="DefaultParagraphFont"/>
    <w:semiHidden/>
    <w:unhideWhenUsed/>
    <w:rsid w:val="00853B16"/>
    <w:rPr>
      <w:sz w:val="16"/>
      <w:szCs w:val="16"/>
    </w:rPr>
  </w:style>
  <w:style w:type="paragraph" w:styleId="CommentText">
    <w:name w:val="annotation text"/>
    <w:basedOn w:val="Normal"/>
    <w:link w:val="CommentTextChar"/>
    <w:unhideWhenUsed/>
    <w:rsid w:val="00853B16"/>
    <w:rPr>
      <w:sz w:val="20"/>
    </w:rPr>
  </w:style>
  <w:style w:type="character" w:customStyle="1" w:styleId="CommentTextChar">
    <w:name w:val="Comment Text Char"/>
    <w:basedOn w:val="DefaultParagraphFont"/>
    <w:link w:val="CommentText"/>
    <w:rsid w:val="00853B16"/>
    <w:rPr>
      <w:rFonts w:ascii="Calibri" w:hAnsi="Calibri"/>
      <w:lang w:val="en-GB" w:eastAsia="en-US"/>
    </w:rPr>
  </w:style>
  <w:style w:type="paragraph" w:styleId="Revision">
    <w:name w:val="Revision"/>
    <w:hidden/>
    <w:uiPriority w:val="99"/>
    <w:semiHidden/>
    <w:rsid w:val="00941EBA"/>
    <w:rPr>
      <w:rFonts w:ascii="Calibri" w:hAnsi="Calibri"/>
      <w:sz w:val="24"/>
      <w:lang w:val="en-GB" w:eastAsia="en-US"/>
    </w:rPr>
  </w:style>
  <w:style w:type="paragraph" w:styleId="ListParagraph">
    <w:name w:val="List Paragraph"/>
    <w:basedOn w:val="Normal"/>
    <w:uiPriority w:val="34"/>
    <w:qFormat/>
    <w:rsid w:val="009F58C1"/>
    <w:pPr>
      <w:ind w:left="720"/>
      <w:contextualSpacing/>
    </w:pPr>
  </w:style>
  <w:style w:type="paragraph" w:styleId="CommentSubject">
    <w:name w:val="annotation subject"/>
    <w:basedOn w:val="CommentText"/>
    <w:next w:val="CommentText"/>
    <w:link w:val="CommentSubjectChar"/>
    <w:semiHidden/>
    <w:unhideWhenUsed/>
    <w:rsid w:val="00C31A36"/>
    <w:rPr>
      <w:b/>
      <w:bCs/>
    </w:rPr>
  </w:style>
  <w:style w:type="character" w:customStyle="1" w:styleId="CommentSubjectChar">
    <w:name w:val="Comment Subject Char"/>
    <w:basedOn w:val="CommentTextChar"/>
    <w:link w:val="CommentSubject"/>
    <w:semiHidden/>
    <w:rsid w:val="00C31A36"/>
    <w:rPr>
      <w:rFonts w:ascii="Calibri" w:hAnsi="Calibri"/>
      <w:b/>
      <w:bCs/>
      <w:lang w:val="en-GB" w:eastAsia="en-US"/>
    </w:rPr>
  </w:style>
  <w:style w:type="paragraph" w:styleId="BalloonText">
    <w:name w:val="Balloon Text"/>
    <w:basedOn w:val="Normal"/>
    <w:link w:val="BalloonTextChar"/>
    <w:semiHidden/>
    <w:unhideWhenUsed/>
    <w:rsid w:val="00271C4A"/>
    <w:pPr>
      <w:spacing w:before="0"/>
    </w:pPr>
    <w:rPr>
      <w:sz w:val="18"/>
      <w:szCs w:val="18"/>
    </w:rPr>
  </w:style>
  <w:style w:type="character" w:customStyle="1" w:styleId="BalloonTextChar">
    <w:name w:val="Balloon Text Char"/>
    <w:basedOn w:val="DefaultParagraphFont"/>
    <w:link w:val="BalloonText"/>
    <w:semiHidden/>
    <w:rsid w:val="00271C4A"/>
    <w:rPr>
      <w:rFonts w:ascii="Calibri" w:hAnsi="Calibri"/>
      <w:sz w:val="18"/>
      <w:szCs w:val="18"/>
      <w:lang w:val="en-GB" w:eastAsia="en-US"/>
    </w:rPr>
  </w:style>
  <w:style w:type="character" w:customStyle="1" w:styleId="enumlev1Char">
    <w:name w:val="enumlev1 Char"/>
    <w:basedOn w:val="DefaultParagraphFont"/>
    <w:link w:val="enumlev1"/>
    <w:rsid w:val="00374585"/>
    <w:rPr>
      <w:rFonts w:ascii="Calibri" w:hAnsi="Calibri"/>
      <w:sz w:val="24"/>
      <w:lang w:val="en-GB" w:eastAsia="en-US"/>
    </w:rPr>
  </w:style>
  <w:style w:type="character" w:styleId="UnresolvedMention">
    <w:name w:val="Unresolved Mention"/>
    <w:basedOn w:val="DefaultParagraphFont"/>
    <w:uiPriority w:val="99"/>
    <w:semiHidden/>
    <w:unhideWhenUsed/>
    <w:rsid w:val="009E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5-EG3DEC482-C-0002/en" TargetMode="External"/><Relationship Id="rId18" Type="http://schemas.openxmlformats.org/officeDocument/2006/relationships/hyperlink" Target="https://www.itu.int/md/S24-EG2DEC482-C-0003/en" TargetMode="External"/><Relationship Id="rId26" Type="http://schemas.microsoft.com/office/2016/09/relationships/commentsIds" Target="commentsIds.xml"/><Relationship Id="rId39" Type="http://schemas.openxmlformats.org/officeDocument/2006/relationships/header" Target="header6.xml"/><Relationship Id="rId21" Type="http://schemas.openxmlformats.org/officeDocument/2006/relationships/hyperlink" Target="http://www.itu.int/itudoc/gs/council/c99/docs/docs1/068.html" TargetMode="External"/><Relationship Id="rId34" Type="http://schemas.openxmlformats.org/officeDocument/2006/relationships/footer" Target="footer4.xm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4-EG2DEC482-C-0003/en" TargetMode="External"/><Relationship Id="rId20" Type="http://schemas.openxmlformats.org/officeDocument/2006/relationships/hyperlink" Target="https://www.itu.int/md/S25-EG3DEC482-C-0002/en"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WGFHR20-C-0029/en" TargetMode="External"/><Relationship Id="rId24" Type="http://schemas.openxmlformats.org/officeDocument/2006/relationships/comments" Target="comments.xml"/><Relationship Id="rId32" Type="http://schemas.openxmlformats.org/officeDocument/2006/relationships/footer" Target="footer3.xml"/><Relationship Id="rId37" Type="http://schemas.openxmlformats.org/officeDocument/2006/relationships/footer" Target="footer5.xml"/><Relationship Id="rId40"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itu.int/md/S25-EG3DEC482-C-0002/en" TargetMode="External"/><Relationship Id="rId23" Type="http://schemas.openxmlformats.org/officeDocument/2006/relationships/hyperlink" Target="http://www.itu.int/md/S05-CL-C-0029/en" TargetMode="External"/><Relationship Id="rId28" Type="http://schemas.openxmlformats.org/officeDocument/2006/relationships/footer" Target="footer1.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itu.int/md/S24-EG2DEC482-C-0003/en"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4-EG2DEC482-C-0003/en" TargetMode="External"/><Relationship Id="rId22" Type="http://schemas.openxmlformats.org/officeDocument/2006/relationships/hyperlink" Target="http://www.itu.int/itudoc/gs/council/c99/docs/docs1/047.html" TargetMode="External"/><Relationship Id="rId27" Type="http://schemas.microsoft.com/office/2018/08/relationships/commentsExtensible" Target="commentsExtensible.xml"/><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25-EG3DEC482-C-0002/en" TargetMode="External"/><Relationship Id="rId17" Type="http://schemas.openxmlformats.org/officeDocument/2006/relationships/hyperlink" Target="https://www.itu.int/md/S24-EG2DEC482-C-0003/en" TargetMode="External"/><Relationship Id="rId25" Type="http://schemas.microsoft.com/office/2011/relationships/commentsExtended" Target="commentsExtended.xml"/><Relationship Id="rId33" Type="http://schemas.openxmlformats.org/officeDocument/2006/relationships/header" Target="header3.xml"/><Relationship Id="rId38"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3C8E9-3C63-4945-882F-F8607AF04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55048-6D50-49F5-8E1F-3B8F3B0D602B}">
  <ds:schemaRefs>
    <ds:schemaRef ds:uri="a1cf676c-2816-4389-ad5d-0f2e7c7e67c4"/>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4AEECF8-1122-4967-8772-A8B4F29A1850}">
  <ds:schemaRefs>
    <ds:schemaRef ds:uri="http://schemas.openxmlformats.org/officeDocument/2006/bibliography"/>
  </ds:schemaRefs>
</ds:datastoreItem>
</file>

<file path=customXml/itemProps4.xml><?xml version="1.0" encoding="utf-8"?>
<ds:datastoreItem xmlns:ds="http://schemas.openxmlformats.org/officeDocument/2006/customXml" ds:itemID="{479BC537-BA67-49BD-B047-42FA8909EF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19</Pages>
  <Words>7066</Words>
  <Characters>37103</Characters>
  <Application>Microsoft Office Word</Application>
  <DocSecurity>0</DocSecurity>
  <Lines>309</Lines>
  <Paragraphs>88</Paragraphs>
  <ScaleCrop>false</ScaleCrop>
  <HeadingPairs>
    <vt:vector size="2" baseType="variant">
      <vt:variant>
        <vt:lpstr>Title</vt:lpstr>
      </vt:variant>
      <vt:variant>
        <vt:i4>1</vt:i4>
      </vt:variant>
    </vt:vector>
  </HeadingPairs>
  <TitlesOfParts>
    <vt:vector size="1" baseType="lpstr">
      <vt:lpstr>Review of revision 2 to docum Eg-DEC482-2_DT_3</vt:lpstr>
    </vt:vector>
  </TitlesOfParts>
  <Manager/>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Review of Revision 2 to document EG-DEC482-2/DT/3</dc:title>
  <dc:subject>ITU Expert Group on Decision 482</dc:subject>
  <dc:creator>LRT</dc:creator>
  <cp:keywords>EG-DEC482</cp:keywords>
  <dc:description/>
  <cp:lastModifiedBy>GBS</cp:lastModifiedBy>
  <cp:revision>6</cp:revision>
  <dcterms:created xsi:type="dcterms:W3CDTF">2025-03-31T06:18:00Z</dcterms:created>
  <dcterms:modified xsi:type="dcterms:W3CDTF">2025-03-31T06:55:00Z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0x01010096B2CC4DF5F10149B2E37F08EDC3AC3A</vt:lpwstr>
  </property>
  <property fmtid="{D5CDD505-2E9C-101B-9397-08002B2CF9AE}" pid="3" name="GrammarlyDocumentId">
    <vt:lpwstr>0797b77c40e8be64d619b57ce5211333d894f2470c86032a02a7f0b9bfa5bbce</vt:lpwstr>
  </property>
</Properties>
</file>