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61B930E1" w14:textId="77777777" w:rsidTr="00AD3606">
        <w:trPr>
          <w:cantSplit/>
          <w:trHeight w:val="23"/>
        </w:trPr>
        <w:tc>
          <w:tcPr>
            <w:tcW w:w="3969" w:type="dxa"/>
            <w:vMerge w:val="restart"/>
            <w:tcMar>
              <w:left w:w="0" w:type="dxa"/>
            </w:tcMar>
          </w:tcPr>
          <w:p w14:paraId="263F608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86765CC" w14:textId="4226B518"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Pr>
                <w:b/>
                <w:lang w:val="fr-CH"/>
              </w:rPr>
              <w:t>EG-</w:t>
            </w:r>
            <w:r w:rsidR="00524E9C">
              <w:rPr>
                <w:b/>
                <w:lang w:val="fr-CH"/>
              </w:rPr>
              <w:t>DEC482-</w:t>
            </w:r>
            <w:r w:rsidR="006A7CD3">
              <w:rPr>
                <w:b/>
                <w:lang w:val="fr-CH"/>
              </w:rPr>
              <w:t>4</w:t>
            </w:r>
            <w:r w:rsidR="00F66A26">
              <w:rPr>
                <w:b/>
                <w:lang w:val="fr-FR"/>
              </w:rPr>
              <w:t>/</w:t>
            </w:r>
            <w:r w:rsidR="00EB2E4D">
              <w:rPr>
                <w:b/>
                <w:lang w:val="fr-FR"/>
              </w:rPr>
              <w:t>3</w:t>
            </w:r>
          </w:p>
        </w:tc>
      </w:tr>
      <w:tr w:rsidR="00AD3606" w:rsidRPr="00147C54" w14:paraId="0AFCFA49" w14:textId="77777777" w:rsidTr="00AD3606">
        <w:trPr>
          <w:cantSplit/>
        </w:trPr>
        <w:tc>
          <w:tcPr>
            <w:tcW w:w="3969" w:type="dxa"/>
            <w:vMerge/>
          </w:tcPr>
          <w:p w14:paraId="1895058D"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802B596" w14:textId="2EA662E5" w:rsidR="00AD3606" w:rsidRPr="00147C54" w:rsidRDefault="00EB2E4D" w:rsidP="00AD3606">
            <w:pPr>
              <w:tabs>
                <w:tab w:val="left" w:pos="851"/>
              </w:tabs>
              <w:spacing w:before="0"/>
              <w:jc w:val="right"/>
              <w:rPr>
                <w:b/>
              </w:rPr>
            </w:pPr>
            <w:r>
              <w:rPr>
                <w:b/>
              </w:rPr>
              <w:t>28 March 2025</w:t>
            </w:r>
          </w:p>
        </w:tc>
      </w:tr>
      <w:tr w:rsidR="00AD3606" w:rsidRPr="00147C54" w14:paraId="303AF510" w14:textId="77777777" w:rsidTr="00AD3606">
        <w:trPr>
          <w:cantSplit/>
          <w:trHeight w:val="23"/>
        </w:trPr>
        <w:tc>
          <w:tcPr>
            <w:tcW w:w="3969" w:type="dxa"/>
            <w:vMerge/>
          </w:tcPr>
          <w:p w14:paraId="261A7E3D"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6169BB15"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0C535CA" w14:textId="77777777" w:rsidTr="00AD3606">
        <w:trPr>
          <w:cantSplit/>
          <w:trHeight w:val="23"/>
        </w:trPr>
        <w:tc>
          <w:tcPr>
            <w:tcW w:w="3969" w:type="dxa"/>
          </w:tcPr>
          <w:p w14:paraId="60D837E2" w14:textId="77777777" w:rsidR="00472BAD" w:rsidRPr="00147C54" w:rsidRDefault="00472BAD" w:rsidP="00AD3606">
            <w:pPr>
              <w:tabs>
                <w:tab w:val="left" w:pos="851"/>
              </w:tabs>
              <w:spacing w:line="240" w:lineRule="atLeast"/>
              <w:rPr>
                <w:b/>
              </w:rPr>
            </w:pPr>
          </w:p>
        </w:tc>
        <w:tc>
          <w:tcPr>
            <w:tcW w:w="5245" w:type="dxa"/>
          </w:tcPr>
          <w:p w14:paraId="61E4C778" w14:textId="77777777" w:rsidR="00472BAD" w:rsidRPr="00147C54" w:rsidRDefault="00472BAD" w:rsidP="00AD3606">
            <w:pPr>
              <w:tabs>
                <w:tab w:val="left" w:pos="851"/>
              </w:tabs>
              <w:spacing w:before="0" w:line="240" w:lineRule="atLeast"/>
              <w:jc w:val="right"/>
              <w:rPr>
                <w:b/>
              </w:rPr>
            </w:pPr>
          </w:p>
        </w:tc>
      </w:tr>
      <w:tr w:rsidR="00394FC3" w:rsidRPr="00147C54" w14:paraId="3BC1D9DE" w14:textId="77777777" w:rsidTr="00AD3606">
        <w:trPr>
          <w:cantSplit/>
        </w:trPr>
        <w:tc>
          <w:tcPr>
            <w:tcW w:w="9214" w:type="dxa"/>
            <w:gridSpan w:val="2"/>
            <w:tcMar>
              <w:left w:w="0" w:type="dxa"/>
            </w:tcMar>
          </w:tcPr>
          <w:p w14:paraId="48AD4F23" w14:textId="16657F87" w:rsidR="00394FC3" w:rsidRPr="00147C54" w:rsidRDefault="00394FC3" w:rsidP="00394FC3">
            <w:pPr>
              <w:pStyle w:val="Source"/>
              <w:framePr w:hSpace="0" w:wrap="auto" w:vAnchor="margin" w:hAnchor="text" w:xAlign="left" w:yAlign="inline"/>
            </w:pPr>
            <w:bookmarkStart w:id="8" w:name="dsource" w:colFirst="0" w:colLast="0"/>
            <w:bookmarkEnd w:id="7"/>
            <w:r w:rsidRPr="00E4728B">
              <w:t>Contribution</w:t>
            </w:r>
            <w:r>
              <w:t xml:space="preserve"> </w:t>
            </w:r>
            <w:r w:rsidRPr="0003264B">
              <w:t xml:space="preserve">from </w:t>
            </w:r>
            <w:r>
              <w:t>Global Satellite Operators Association (GSOA)</w:t>
            </w:r>
          </w:p>
        </w:tc>
      </w:tr>
      <w:tr w:rsidR="00394FC3" w:rsidRPr="00147C54" w14:paraId="3FC0367C" w14:textId="77777777" w:rsidTr="00AD3606">
        <w:trPr>
          <w:cantSplit/>
        </w:trPr>
        <w:tc>
          <w:tcPr>
            <w:tcW w:w="9214" w:type="dxa"/>
            <w:gridSpan w:val="2"/>
            <w:tcMar>
              <w:left w:w="0" w:type="dxa"/>
            </w:tcMar>
          </w:tcPr>
          <w:p w14:paraId="16CFDF8F" w14:textId="1A383CF0" w:rsidR="00394FC3" w:rsidRPr="00147C54" w:rsidRDefault="00EB2E4D" w:rsidP="00394FC3">
            <w:pPr>
              <w:pStyle w:val="Subtitle"/>
              <w:framePr w:hSpace="0" w:wrap="auto" w:xAlign="left" w:yAlign="inline"/>
            </w:pPr>
            <w:bookmarkStart w:id="9" w:name="dtitle1" w:colFirst="0" w:colLast="0"/>
            <w:bookmarkEnd w:id="8"/>
            <w:r w:rsidRPr="00394FC3">
              <w:t>CONSIDERATION OF POSSIBLE REVISIONS TO DECISION 482</w:t>
            </w:r>
          </w:p>
        </w:tc>
      </w:tr>
      <w:tr w:rsidR="00394FC3" w:rsidRPr="00147C54" w14:paraId="353297D1" w14:textId="77777777" w:rsidTr="00AD3606">
        <w:trPr>
          <w:cantSplit/>
        </w:trPr>
        <w:tc>
          <w:tcPr>
            <w:tcW w:w="9214" w:type="dxa"/>
            <w:gridSpan w:val="2"/>
            <w:tcBorders>
              <w:top w:val="single" w:sz="4" w:space="0" w:color="auto"/>
              <w:bottom w:val="single" w:sz="4" w:space="0" w:color="auto"/>
            </w:tcBorders>
            <w:tcMar>
              <w:left w:w="0" w:type="dxa"/>
            </w:tcMar>
          </w:tcPr>
          <w:p w14:paraId="4BF6FC1A" w14:textId="77777777" w:rsidR="00394FC3" w:rsidRPr="00147C54" w:rsidRDefault="00394FC3" w:rsidP="00394FC3">
            <w:pPr>
              <w:spacing w:before="160"/>
              <w:rPr>
                <w:b/>
                <w:bCs/>
                <w:sz w:val="26"/>
                <w:szCs w:val="26"/>
              </w:rPr>
            </w:pPr>
            <w:r w:rsidRPr="00147C54">
              <w:rPr>
                <w:b/>
                <w:bCs/>
                <w:sz w:val="26"/>
                <w:szCs w:val="26"/>
              </w:rPr>
              <w:t>Purpose</w:t>
            </w:r>
          </w:p>
          <w:p w14:paraId="7EB420AB" w14:textId="77777777" w:rsidR="00394FC3" w:rsidRPr="00147C54" w:rsidRDefault="00394FC3" w:rsidP="00394FC3">
            <w:r>
              <w:t>This document discusses the elements of proposals regarding Decision 482 related to cost recovery of satellite fillings.</w:t>
            </w:r>
          </w:p>
          <w:p w14:paraId="6E119A98" w14:textId="77777777" w:rsidR="00394FC3" w:rsidRPr="00147C54" w:rsidRDefault="00394FC3" w:rsidP="00394FC3">
            <w:pPr>
              <w:spacing w:before="160"/>
              <w:rPr>
                <w:b/>
                <w:bCs/>
                <w:sz w:val="26"/>
                <w:szCs w:val="26"/>
              </w:rPr>
            </w:pPr>
            <w:r w:rsidRPr="00147C54">
              <w:rPr>
                <w:b/>
                <w:bCs/>
                <w:sz w:val="26"/>
                <w:szCs w:val="26"/>
              </w:rPr>
              <w:t>Action required</w:t>
            </w:r>
          </w:p>
          <w:p w14:paraId="09EA621D" w14:textId="16ED021E" w:rsidR="00394FC3" w:rsidRDefault="00394FC3" w:rsidP="00394FC3">
            <w:r w:rsidRPr="000E0844">
              <w:t xml:space="preserve">The Expert Group on Decision 482 is invited </w:t>
            </w:r>
            <w:r w:rsidRPr="00394FC3">
              <w:t xml:space="preserve">to </w:t>
            </w:r>
            <w:r w:rsidRPr="00394FC3">
              <w:rPr>
                <w:b/>
                <w:bCs/>
              </w:rPr>
              <w:t>consider</w:t>
            </w:r>
            <w:r w:rsidRPr="00394FC3">
              <w:t xml:space="preserve"> </w:t>
            </w:r>
            <w:r w:rsidRPr="000E0844">
              <w:t xml:space="preserve">this document. </w:t>
            </w:r>
          </w:p>
          <w:p w14:paraId="3464A69D" w14:textId="06266481" w:rsidR="00394FC3" w:rsidRPr="00CD3C91" w:rsidRDefault="00394FC3" w:rsidP="00394FC3">
            <w:r>
              <w:t>_______________</w:t>
            </w:r>
          </w:p>
          <w:p w14:paraId="1458B65F" w14:textId="4B63E1F2" w:rsidR="00394FC3" w:rsidRPr="00147C54" w:rsidRDefault="00394FC3" w:rsidP="00394FC3">
            <w:pPr>
              <w:spacing w:before="160"/>
              <w:rPr>
                <w:b/>
                <w:bCs/>
                <w:sz w:val="26"/>
                <w:szCs w:val="26"/>
              </w:rPr>
            </w:pPr>
            <w:r w:rsidRPr="00147C54">
              <w:rPr>
                <w:b/>
                <w:bCs/>
                <w:sz w:val="26"/>
                <w:szCs w:val="26"/>
              </w:rPr>
              <w:t>References</w:t>
            </w:r>
          </w:p>
          <w:p w14:paraId="2C079398" w14:textId="7F85C0CD" w:rsidR="00394FC3" w:rsidRPr="000E0844" w:rsidRDefault="00C878C4" w:rsidP="00EB2E4D">
            <w:pPr>
              <w:spacing w:before="160"/>
              <w:rPr>
                <w:i/>
                <w:iCs/>
                <w:sz w:val="22"/>
                <w:szCs w:val="22"/>
              </w:rPr>
            </w:pPr>
            <w:hyperlink r:id="rId11" w:history="1">
              <w:r w:rsidR="00394FC3" w:rsidRPr="00C878C4">
                <w:rPr>
                  <w:rStyle w:val="Hyperlink"/>
                  <w:i/>
                  <w:iCs/>
                  <w:sz w:val="26"/>
                  <w:szCs w:val="26"/>
                </w:rPr>
                <w:t>Decision 482</w:t>
              </w:r>
            </w:hyperlink>
            <w:r w:rsidR="00EB2E4D">
              <w:rPr>
                <w:i/>
                <w:iCs/>
                <w:sz w:val="26"/>
                <w:szCs w:val="26"/>
              </w:rPr>
              <w:t xml:space="preserve">; </w:t>
            </w:r>
            <w:r w:rsidR="00394FC3" w:rsidRPr="00394FC3">
              <w:rPr>
                <w:i/>
                <w:iCs/>
                <w:sz w:val="22"/>
                <w:szCs w:val="22"/>
              </w:rPr>
              <w:t xml:space="preserve">Document </w:t>
            </w:r>
            <w:hyperlink r:id="rId12" w:history="1">
              <w:r w:rsidR="00394FC3" w:rsidRPr="00C878C4">
                <w:rPr>
                  <w:rStyle w:val="Hyperlink"/>
                  <w:i/>
                  <w:iCs/>
                  <w:sz w:val="22"/>
                  <w:szCs w:val="22"/>
                </w:rPr>
                <w:t>CWG-FHR-20/29</w:t>
              </w:r>
            </w:hyperlink>
          </w:p>
          <w:p w14:paraId="2A590C1E" w14:textId="456A76DA" w:rsidR="00394FC3" w:rsidRPr="000E0844" w:rsidRDefault="00394FC3" w:rsidP="00394FC3">
            <w:pPr>
              <w:spacing w:after="160"/>
              <w:rPr>
                <w:i/>
                <w:iCs/>
                <w:sz w:val="22"/>
                <w:szCs w:val="22"/>
              </w:rPr>
            </w:pPr>
          </w:p>
        </w:tc>
      </w:tr>
    </w:tbl>
    <w:p w14:paraId="70F6FA40" w14:textId="19565C6B" w:rsidR="00EB2E4D" w:rsidRDefault="00EB2E4D">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p w14:paraId="21242ABF" w14:textId="77777777" w:rsidR="00EB2E4D" w:rsidRDefault="00EB2E4D">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p w14:paraId="15000278" w14:textId="47E6AC62" w:rsidR="00394FC3" w:rsidRPr="006B1C64" w:rsidRDefault="00394FC3" w:rsidP="00394FC3">
      <w:pPr>
        <w:rPr>
          <w:b/>
        </w:rPr>
      </w:pPr>
      <w:r w:rsidRPr="006B1C64">
        <w:rPr>
          <w:b/>
          <w:bCs/>
        </w:rPr>
        <w:lastRenderedPageBreak/>
        <w:t>c)</w:t>
      </w:r>
      <w:r w:rsidRPr="006B1C64">
        <w:tab/>
      </w:r>
      <w:r w:rsidRPr="006B1C64">
        <w:rPr>
          <w:b/>
          <w:bCs/>
        </w:rPr>
        <w:t>Whether specific fees should be paid for processing submissions related to earth stations in motion, while avoiding double invoicing</w:t>
      </w:r>
    </w:p>
    <w:p w14:paraId="4DEB5479" w14:textId="3C6B6626" w:rsidR="0090147A" w:rsidRPr="006B1C64" w:rsidRDefault="0090147A">
      <w:pPr>
        <w:tabs>
          <w:tab w:val="clear" w:pos="567"/>
          <w:tab w:val="clear" w:pos="1134"/>
          <w:tab w:val="clear" w:pos="1701"/>
          <w:tab w:val="clear" w:pos="2268"/>
          <w:tab w:val="clear" w:pos="2835"/>
        </w:tabs>
        <w:overflowPunct/>
        <w:autoSpaceDE/>
        <w:autoSpaceDN/>
        <w:adjustRightInd/>
        <w:spacing w:before="0"/>
        <w:textAlignment w:val="auto"/>
        <w:rPr>
          <w:b/>
        </w:rPr>
      </w:pPr>
    </w:p>
    <w:p w14:paraId="1C7BF087" w14:textId="602AD685" w:rsidR="00394FC3" w:rsidRPr="006B1C64" w:rsidRDefault="00394FC3">
      <w:pPr>
        <w:tabs>
          <w:tab w:val="clear" w:pos="567"/>
          <w:tab w:val="clear" w:pos="1134"/>
          <w:tab w:val="clear" w:pos="1701"/>
          <w:tab w:val="clear" w:pos="2268"/>
          <w:tab w:val="clear" w:pos="2835"/>
        </w:tabs>
        <w:overflowPunct/>
        <w:autoSpaceDE/>
        <w:autoSpaceDN/>
        <w:adjustRightInd/>
        <w:spacing w:before="0"/>
        <w:textAlignment w:val="auto"/>
        <w:rPr>
          <w:bCs/>
        </w:rPr>
      </w:pPr>
      <w:r w:rsidRPr="006B1C64">
        <w:rPr>
          <w:bCs/>
        </w:rPr>
        <w:t xml:space="preserve">In the Document </w:t>
      </w:r>
      <w:hyperlink r:id="rId13" w:history="1">
        <w:r w:rsidRPr="00C878C4">
          <w:rPr>
            <w:rStyle w:val="Hyperlink"/>
            <w:bCs/>
          </w:rPr>
          <w:t>CWG-FHR-20/</w:t>
        </w:r>
        <w:r w:rsidR="006B1C64" w:rsidRPr="00C878C4">
          <w:rPr>
            <w:rStyle w:val="Hyperlink"/>
            <w:bCs/>
          </w:rPr>
          <w:t>29</w:t>
        </w:r>
      </w:hyperlink>
      <w:r w:rsidR="006B1C64" w:rsidRPr="00C878C4">
        <w:rPr>
          <w:rStyle w:val="Hyperlink"/>
          <w:bCs/>
          <w:color w:val="auto"/>
          <w:u w:val="none"/>
        </w:rPr>
        <w:t xml:space="preserve"> </w:t>
      </w:r>
      <w:r w:rsidRPr="006B1C64">
        <w:rPr>
          <w:bCs/>
        </w:rPr>
        <w:t>submitted by the Secretary-General</w:t>
      </w:r>
      <w:r w:rsidR="00092547" w:rsidRPr="006B1C64">
        <w:rPr>
          <w:bCs/>
        </w:rPr>
        <w:t xml:space="preserve"> to the CWG</w:t>
      </w:r>
      <w:r w:rsidR="00EB2E4D">
        <w:rPr>
          <w:bCs/>
        </w:rPr>
        <w:t>-</w:t>
      </w:r>
      <w:r w:rsidR="00092547" w:rsidRPr="006B1C64">
        <w:rPr>
          <w:bCs/>
        </w:rPr>
        <w:t>FHR</w:t>
      </w:r>
      <w:r w:rsidRPr="006B1C64">
        <w:rPr>
          <w:bCs/>
        </w:rPr>
        <w:t xml:space="preserve"> as analysis of the outcome of the third meeting of the Expert Group on Decision 482, it was mentioned that no change can be proposed at this stage in reply to item c. GSOA agrees with this outcome and support NOC on this item.</w:t>
      </w:r>
    </w:p>
    <w:p w14:paraId="0AB0FDFC" w14:textId="77777777" w:rsidR="00394FC3" w:rsidRPr="006B1C64" w:rsidRDefault="00394FC3">
      <w:pPr>
        <w:tabs>
          <w:tab w:val="clear" w:pos="567"/>
          <w:tab w:val="clear" w:pos="1134"/>
          <w:tab w:val="clear" w:pos="1701"/>
          <w:tab w:val="clear" w:pos="2268"/>
          <w:tab w:val="clear" w:pos="2835"/>
        </w:tabs>
        <w:overflowPunct/>
        <w:autoSpaceDE/>
        <w:autoSpaceDN/>
        <w:adjustRightInd/>
        <w:spacing w:before="0"/>
        <w:textAlignment w:val="auto"/>
        <w:rPr>
          <w:b/>
        </w:rPr>
      </w:pPr>
    </w:p>
    <w:bookmarkEnd w:id="5"/>
    <w:bookmarkEnd w:id="10"/>
    <w:p w14:paraId="1F45B4F5" w14:textId="77777777" w:rsidR="00394FC3" w:rsidRPr="006B1C64" w:rsidRDefault="00394FC3" w:rsidP="00394FC3">
      <w:pPr>
        <w:rPr>
          <w:highlight w:val="yellow"/>
        </w:rPr>
      </w:pPr>
      <w:r w:rsidRPr="006B1C64">
        <w:rPr>
          <w:b/>
          <w:bCs/>
        </w:rPr>
        <w:t>d)</w:t>
      </w:r>
      <w:r w:rsidRPr="006B1C64">
        <w:tab/>
      </w:r>
      <w:r w:rsidRPr="006B1C64">
        <w:rPr>
          <w:b/>
          <w:bCs/>
        </w:rPr>
        <w:t>The cost of processing resubmissions of notification requests.</w:t>
      </w:r>
    </w:p>
    <w:p w14:paraId="553C4D2F" w14:textId="24B07F93" w:rsidR="006A7CD3" w:rsidRPr="006B1C64" w:rsidRDefault="00092547" w:rsidP="006A7CD3">
      <w:r w:rsidRPr="006B1C64">
        <w:t xml:space="preserve">In the same document CWG-FHR-20/29, while there </w:t>
      </w:r>
      <w:r w:rsidR="00C878C4">
        <w:t>are</w:t>
      </w:r>
      <w:r w:rsidRPr="006B1C64">
        <w:t xml:space="preserve"> clear indication</w:t>
      </w:r>
      <w:r w:rsidR="00C878C4">
        <w:t>s</w:t>
      </w:r>
      <w:r w:rsidRPr="006B1C64">
        <w:t xml:space="preserve"> of the status on all other items, item d) was not referenced, and it is unclear the status of it. As per our understanding of the third meeting, the meeting agreed that the subsequent resubmissions under No. 11.46 to notices under categories N1 to N3 are subject to an additional fee equal to 80% of the flat fee of the initial submission when these require new technical examination. GSOA support this agreement.</w:t>
      </w:r>
    </w:p>
    <w:p w14:paraId="4CF325B2" w14:textId="399DDFAD" w:rsidR="00394FC3" w:rsidRPr="006B1C64" w:rsidRDefault="00394FC3" w:rsidP="00394FC3">
      <w:pPr>
        <w:rPr>
          <w:b/>
          <w:bCs/>
        </w:rPr>
      </w:pPr>
      <w:r w:rsidRPr="006B1C64">
        <w:rPr>
          <w:b/>
          <w:bCs/>
        </w:rPr>
        <w:t xml:space="preserve">f) </w:t>
      </w:r>
      <w:r w:rsidRPr="006B1C64">
        <w:rPr>
          <w:b/>
          <w:bCs/>
        </w:rPr>
        <w:tab/>
        <w:t xml:space="preserve">The costs of processing non-GSO filings having more than 75 000 units or, alternatively, whether the formula to compute units for such non-GSO satellite systems should </w:t>
      </w:r>
      <w:proofErr w:type="gramStart"/>
      <w:r w:rsidRPr="006B1C64">
        <w:rPr>
          <w:b/>
          <w:bCs/>
        </w:rPr>
        <w:t>take into account</w:t>
      </w:r>
      <w:proofErr w:type="gramEnd"/>
      <w:r w:rsidRPr="006B1C64">
        <w:rPr>
          <w:b/>
          <w:bCs/>
        </w:rPr>
        <w:t xml:space="preserve"> the impact of the number of different orbital altitudes, number of satellites, number of earth stations, or other characteristics affecting workload associated with the processing of non-GSO systems</w:t>
      </w:r>
    </w:p>
    <w:p w14:paraId="2E7E1BCE" w14:textId="26F9EC57" w:rsidR="006A7CD3" w:rsidRPr="006B1C64" w:rsidRDefault="006A7CD3" w:rsidP="006A7CD3">
      <w:pPr>
        <w:pStyle w:val="Reasons"/>
        <w:rPr>
          <w:lang w:val="en-GB"/>
        </w:rPr>
      </w:pPr>
    </w:p>
    <w:p w14:paraId="0AC00B1E" w14:textId="2BF1A239" w:rsidR="1A24FCF1" w:rsidRPr="006B1C64" w:rsidRDefault="1A24FCF1" w:rsidP="379BFF63">
      <w:pPr>
        <w:pStyle w:val="Reasons"/>
        <w:rPr>
          <w:lang w:val="en-GB"/>
        </w:rPr>
      </w:pPr>
      <w:r w:rsidRPr="006B1C64">
        <w:rPr>
          <w:lang w:val="en-GB"/>
        </w:rPr>
        <w:t xml:space="preserve">GSOA and the rest of the members of the Expert Group acknowledged that the size of a constellation, as depicted by the number of units, should reflect the amount of workload associated to a filing. Furthermore, the members of the Expert Group expressed </w:t>
      </w:r>
      <w:r w:rsidR="3E333B86" w:rsidRPr="006B1C64">
        <w:rPr>
          <w:lang w:val="en-GB"/>
        </w:rPr>
        <w:t xml:space="preserve">concerns with large NGSO constellations, and their added complexity, as potentially not being accurately accounted for in the current computation of units. </w:t>
      </w:r>
    </w:p>
    <w:p w14:paraId="1326AEE5" w14:textId="6A896A33" w:rsidR="379BFF63" w:rsidRPr="006B1C64" w:rsidRDefault="379BFF63" w:rsidP="379BFF63">
      <w:pPr>
        <w:pStyle w:val="Reasons"/>
        <w:rPr>
          <w:lang w:val="en-GB"/>
        </w:rPr>
      </w:pPr>
    </w:p>
    <w:p w14:paraId="20E82661" w14:textId="30FC9F11" w:rsidR="73B96E98" w:rsidRPr="006B1C64" w:rsidRDefault="7144BF75" w:rsidP="73B96E98">
      <w:pPr>
        <w:pStyle w:val="Reasons"/>
        <w:rPr>
          <w:lang w:val="en-GB"/>
        </w:rPr>
      </w:pPr>
      <w:r w:rsidRPr="006B1C64">
        <w:rPr>
          <w:lang w:val="en-GB"/>
        </w:rPr>
        <w:t xml:space="preserve">In the Document </w:t>
      </w:r>
      <w:hyperlink r:id="rId14" w:history="1">
        <w:r w:rsidR="00776732" w:rsidRPr="00C878C4">
          <w:rPr>
            <w:rStyle w:val="Hyperlink"/>
            <w:lang w:val="en-GB"/>
          </w:rPr>
          <w:t>EG</w:t>
        </w:r>
        <w:r w:rsidR="00C878C4" w:rsidRPr="00C878C4">
          <w:rPr>
            <w:rStyle w:val="Hyperlink"/>
            <w:lang w:val="en-GB"/>
          </w:rPr>
          <w:t>-</w:t>
        </w:r>
        <w:r w:rsidR="00776732" w:rsidRPr="00C878C4">
          <w:rPr>
            <w:rStyle w:val="Hyperlink"/>
            <w:lang w:val="en-GB"/>
          </w:rPr>
          <w:t>DEC482</w:t>
        </w:r>
        <w:r w:rsidR="00C878C4" w:rsidRPr="00C878C4">
          <w:rPr>
            <w:rStyle w:val="Hyperlink"/>
            <w:lang w:val="en-GB"/>
          </w:rPr>
          <w:t>-3/</w:t>
        </w:r>
        <w:r w:rsidR="00776732" w:rsidRPr="00C878C4">
          <w:rPr>
            <w:rStyle w:val="Hyperlink"/>
            <w:lang w:val="en-GB"/>
          </w:rPr>
          <w:t>3</w:t>
        </w:r>
      </w:hyperlink>
      <w:r w:rsidR="00776732" w:rsidRPr="006B1C64">
        <w:rPr>
          <w:lang w:val="en-GB"/>
        </w:rPr>
        <w:t>,</w:t>
      </w:r>
      <w:r w:rsidRPr="006B1C64">
        <w:rPr>
          <w:lang w:val="en-GB"/>
        </w:rPr>
        <w:t xml:space="preserve"> submitted as an input to the last Expert Group meeting, the BR suggested that the number of units would be based on the following equation</w:t>
      </w:r>
      <w:r w:rsidR="0453AA2D" w:rsidRPr="006B1C64">
        <w:rPr>
          <w:lang w:val="en-GB"/>
        </w:rPr>
        <w:t>:</w:t>
      </w:r>
      <w:r w:rsidRPr="006B1C64">
        <w:rPr>
          <w:lang w:val="en-GB"/>
        </w:rPr>
        <w:t xml:space="preserve"> </w:t>
      </w:r>
    </w:p>
    <w:p w14:paraId="2DA19788" w14:textId="76DDA1C2" w:rsidR="379BFF63" w:rsidRPr="006B1C64" w:rsidRDefault="379BFF63" w:rsidP="379BFF63">
      <w:pPr>
        <w:pStyle w:val="Reasons"/>
        <w:rPr>
          <w:lang w:val="en-GB"/>
        </w:rPr>
      </w:pPr>
    </w:p>
    <w:p w14:paraId="1EF0B774" w14:textId="37CD92E7" w:rsidR="2D6884DC" w:rsidRPr="006B1C64" w:rsidRDefault="2D6884DC" w:rsidP="379BFF63">
      <w:pPr>
        <w:pStyle w:val="Reasons"/>
        <w:rPr>
          <w:i/>
          <w:iCs/>
          <w:lang w:val="en-GB"/>
        </w:rPr>
      </w:pPr>
      <w:r w:rsidRPr="006B1C64">
        <w:rPr>
          <w:i/>
          <w:iCs/>
          <w:lang w:val="en-GB"/>
        </w:rPr>
        <w:t xml:space="preserve">Sum of (emissions * class of stations * forms of coord.) per assignment * number of shells </w:t>
      </w:r>
    </w:p>
    <w:p w14:paraId="32EAE462" w14:textId="597A9EEC" w:rsidR="379BFF63" w:rsidRPr="006B1C64" w:rsidRDefault="379BFF63" w:rsidP="379BFF63">
      <w:pPr>
        <w:pStyle w:val="Reasons"/>
        <w:rPr>
          <w:i/>
          <w:iCs/>
          <w:lang w:val="en-GB"/>
        </w:rPr>
      </w:pPr>
    </w:p>
    <w:p w14:paraId="08D98437" w14:textId="1A8B5DCE" w:rsidR="1B1366CF" w:rsidRPr="006B1C64" w:rsidRDefault="57FF0CF2" w:rsidP="23B812F8">
      <w:pPr>
        <w:pStyle w:val="Reasons"/>
        <w:rPr>
          <w:lang w:val="en-GB"/>
        </w:rPr>
      </w:pPr>
      <w:r w:rsidRPr="006B1C64">
        <w:rPr>
          <w:lang w:val="en-GB"/>
        </w:rPr>
        <w:t xml:space="preserve">Where a shell </w:t>
      </w:r>
      <w:r w:rsidR="584B5127" w:rsidRPr="006B1C64">
        <w:rPr>
          <w:lang w:val="en-GB"/>
        </w:rPr>
        <w:t xml:space="preserve">was </w:t>
      </w:r>
      <w:r w:rsidRPr="006B1C64">
        <w:rPr>
          <w:lang w:val="en-GB"/>
        </w:rPr>
        <w:t xml:space="preserve">defined </w:t>
      </w:r>
      <w:r w:rsidR="198B9F3D" w:rsidRPr="006B1C64">
        <w:rPr>
          <w:lang w:val="en-GB"/>
        </w:rPr>
        <w:t xml:space="preserve">by the BR </w:t>
      </w:r>
      <w:r w:rsidRPr="006B1C64">
        <w:rPr>
          <w:lang w:val="en-GB"/>
        </w:rPr>
        <w:t>as an orbit</w:t>
      </w:r>
      <w:r w:rsidR="0E770405" w:rsidRPr="006B1C64">
        <w:rPr>
          <w:lang w:val="en-GB"/>
        </w:rPr>
        <w:t xml:space="preserve">, </w:t>
      </w:r>
      <w:r w:rsidRPr="006B1C64">
        <w:rPr>
          <w:lang w:val="en-GB"/>
        </w:rPr>
        <w:t>or set of orbital planes, that differ</w:t>
      </w:r>
      <w:r w:rsidR="505A4F77" w:rsidRPr="006B1C64">
        <w:rPr>
          <w:lang w:val="en-GB"/>
        </w:rPr>
        <w:t>/s</w:t>
      </w:r>
      <w:r w:rsidR="0599DD63" w:rsidRPr="006B1C64">
        <w:rPr>
          <w:lang w:val="en-GB"/>
        </w:rPr>
        <w:t xml:space="preserve"> in</w:t>
      </w:r>
      <w:r w:rsidRPr="006B1C64">
        <w:rPr>
          <w:lang w:val="en-GB"/>
        </w:rPr>
        <w:t xml:space="preserve"> orbit perigee, apogee or inclination</w:t>
      </w:r>
      <w:r w:rsidR="412F8A86" w:rsidRPr="006B1C64">
        <w:rPr>
          <w:lang w:val="en-GB"/>
        </w:rPr>
        <w:t xml:space="preserve"> </w:t>
      </w:r>
      <w:r w:rsidR="0F10D9D1" w:rsidRPr="006B1C64">
        <w:rPr>
          <w:lang w:val="en-GB"/>
        </w:rPr>
        <w:t xml:space="preserve">amongst the rest of orbital planes. </w:t>
      </w:r>
    </w:p>
    <w:p w14:paraId="0D319170" w14:textId="6F9A67BF" w:rsidR="1B1366CF" w:rsidRPr="006B1C64" w:rsidRDefault="7144BF75" w:rsidP="379BFF63">
      <w:pPr>
        <w:pStyle w:val="Reasons"/>
        <w:rPr>
          <w:lang w:val="en-GB"/>
        </w:rPr>
      </w:pPr>
      <w:r w:rsidRPr="006B1C64">
        <w:t>During the</w:t>
      </w:r>
      <w:r w:rsidR="37F12230" w:rsidRPr="006B1C64">
        <w:t xml:space="preserve"> same</w:t>
      </w:r>
      <w:r w:rsidRPr="006B1C64">
        <w:t xml:space="preserve"> Expert Group meeting, </w:t>
      </w:r>
      <w:r w:rsidR="0E2F4B23" w:rsidRPr="006B1C64">
        <w:t xml:space="preserve">GSOA, as well as </w:t>
      </w:r>
      <w:r w:rsidRPr="006B1C64">
        <w:t xml:space="preserve">several </w:t>
      </w:r>
      <w:r w:rsidR="2EF9B63B" w:rsidRPr="006B1C64">
        <w:t xml:space="preserve">other </w:t>
      </w:r>
      <w:r w:rsidRPr="006B1C64">
        <w:t>participants</w:t>
      </w:r>
      <w:r w:rsidR="5B5EC74D" w:rsidRPr="006B1C64">
        <w:t>,</w:t>
      </w:r>
      <w:r w:rsidR="21E1B6B8" w:rsidRPr="006B1C64">
        <w:t xml:space="preserve"> </w:t>
      </w:r>
      <w:r w:rsidRPr="006B1C64">
        <w:t xml:space="preserve">highlighted </w:t>
      </w:r>
      <w:r w:rsidR="641FF25F" w:rsidRPr="006B1C64">
        <w:t xml:space="preserve">that </w:t>
      </w:r>
      <w:r w:rsidR="5464AABF" w:rsidRPr="006B1C64">
        <w:t xml:space="preserve">using </w:t>
      </w:r>
      <w:r w:rsidRPr="006B1C64">
        <w:t xml:space="preserve">the formula </w:t>
      </w:r>
      <w:r w:rsidR="2F7BD34A" w:rsidRPr="006B1C64">
        <w:t xml:space="preserve">(above) </w:t>
      </w:r>
      <w:r w:rsidR="079565E1" w:rsidRPr="006B1C64">
        <w:t xml:space="preserve">suggested by the BR </w:t>
      </w:r>
      <w:r w:rsidR="5B89934A" w:rsidRPr="006B1C64">
        <w:t>would introduce the concept of “forms o</w:t>
      </w:r>
      <w:r w:rsidR="7469ED7B" w:rsidRPr="006B1C64">
        <w:t>f coordination” at the unit computation, while the same concept would</w:t>
      </w:r>
      <w:r w:rsidR="1936DA9D" w:rsidRPr="006B1C64">
        <w:t xml:space="preserve"> already</w:t>
      </w:r>
      <w:r w:rsidR="7469ED7B" w:rsidRPr="006B1C64">
        <w:t xml:space="preserve"> be used to determine the category and subsequent “flat fee” of a filing.</w:t>
      </w:r>
      <w:r w:rsidR="362C99AB" w:rsidRPr="006B1C64">
        <w:t xml:space="preserve"> </w:t>
      </w:r>
      <w:r w:rsidR="768AF88F" w:rsidRPr="006B1C64">
        <w:t xml:space="preserve">During the meeting, </w:t>
      </w:r>
      <w:r w:rsidR="04F8FA11" w:rsidRPr="006B1C64">
        <w:rPr>
          <w:lang w:val="en-GB"/>
        </w:rPr>
        <w:t>GSOA</w:t>
      </w:r>
      <w:r w:rsidR="4088155A" w:rsidRPr="006B1C64">
        <w:rPr>
          <w:lang w:val="en-GB"/>
        </w:rPr>
        <w:t xml:space="preserve"> also highlighted difficulties with the definition of a </w:t>
      </w:r>
      <w:r w:rsidR="7B700C9D" w:rsidRPr="006B1C64">
        <w:rPr>
          <w:lang w:val="en-GB"/>
        </w:rPr>
        <w:t>shells</w:t>
      </w:r>
      <w:r w:rsidR="1B394FC5" w:rsidRPr="006B1C64">
        <w:rPr>
          <w:lang w:val="en-GB"/>
        </w:rPr>
        <w:t>/ “</w:t>
      </w:r>
      <w:r w:rsidR="4088155A" w:rsidRPr="006B1C64">
        <w:rPr>
          <w:lang w:val="en-GB"/>
        </w:rPr>
        <w:t xml:space="preserve">set of orbital planes” due to </w:t>
      </w:r>
      <w:r w:rsidR="7C82F098" w:rsidRPr="006B1C64">
        <w:rPr>
          <w:lang w:val="en-GB"/>
        </w:rPr>
        <w:t>potentially not capturing the tolerances agreed as an outcome to WRC-</w:t>
      </w:r>
      <w:r w:rsidR="1174A45E" w:rsidRPr="006B1C64">
        <w:rPr>
          <w:lang w:val="en-GB"/>
        </w:rPr>
        <w:t>23</w:t>
      </w:r>
      <w:r w:rsidR="7C82F098" w:rsidRPr="006B1C64">
        <w:rPr>
          <w:lang w:val="en-GB"/>
        </w:rPr>
        <w:t xml:space="preserve"> (Resolution 8) and the </w:t>
      </w:r>
      <w:r w:rsidR="4088155A" w:rsidRPr="006B1C64">
        <w:rPr>
          <w:lang w:val="en-GB"/>
        </w:rPr>
        <w:t xml:space="preserve">inconsistency </w:t>
      </w:r>
      <w:r w:rsidR="5CF2D898" w:rsidRPr="006B1C64">
        <w:rPr>
          <w:lang w:val="en-GB"/>
        </w:rPr>
        <w:t xml:space="preserve">in the Radio Regulations this </w:t>
      </w:r>
      <w:r w:rsidR="0892D79E" w:rsidRPr="006B1C64">
        <w:rPr>
          <w:lang w:val="en-GB"/>
        </w:rPr>
        <w:t>c</w:t>
      </w:r>
      <w:r w:rsidR="5CF2D898" w:rsidRPr="006B1C64">
        <w:rPr>
          <w:lang w:val="en-GB"/>
        </w:rPr>
        <w:t xml:space="preserve">ould yield. </w:t>
      </w:r>
      <w:r w:rsidR="614FDFF6" w:rsidRPr="006B1C64">
        <w:t xml:space="preserve">Additionally, </w:t>
      </w:r>
      <w:r w:rsidR="403BD548" w:rsidRPr="006B1C64">
        <w:t xml:space="preserve">members of the Expert Group meeting expressed concerns with </w:t>
      </w:r>
      <w:r w:rsidR="4861FE1B" w:rsidRPr="006B1C64">
        <w:t xml:space="preserve">the definition of “sets of orbital planes” as provided by the BR and the lack of </w:t>
      </w:r>
      <w:r w:rsidR="403BD548" w:rsidRPr="006B1C64">
        <w:t xml:space="preserve">evidence </w:t>
      </w:r>
      <w:r w:rsidR="5D63262A" w:rsidRPr="006B1C64">
        <w:t>proving the ties to an increased workload.</w:t>
      </w:r>
    </w:p>
    <w:p w14:paraId="16C6469D" w14:textId="5B1FF307" w:rsidR="379BFF63" w:rsidRPr="006B1C64" w:rsidRDefault="379BFF63" w:rsidP="379BFF63">
      <w:pPr>
        <w:pStyle w:val="Reasons"/>
        <w:rPr>
          <w:lang w:val="en-GB"/>
        </w:rPr>
      </w:pPr>
    </w:p>
    <w:p w14:paraId="58D7BFE9" w14:textId="666F2E55" w:rsidR="6D819840" w:rsidRPr="006B1C64" w:rsidRDefault="5D63262A" w:rsidP="379BFF63">
      <w:pPr>
        <w:pStyle w:val="Reasons"/>
        <w:rPr>
          <w:lang w:val="en-GB"/>
        </w:rPr>
      </w:pPr>
      <w:r w:rsidRPr="006B1C64">
        <w:rPr>
          <w:lang w:val="en-GB"/>
        </w:rPr>
        <w:lastRenderedPageBreak/>
        <w:t xml:space="preserve">For the above reasons, GSOA proposes </w:t>
      </w:r>
      <w:r w:rsidR="51B6CDDA" w:rsidRPr="006B1C64">
        <w:rPr>
          <w:rFonts w:ascii="Calibri" w:eastAsia="Calibri" w:hAnsi="Calibri" w:cs="Calibri"/>
          <w:szCs w:val="24"/>
          <w:lang w:val="en-GB"/>
        </w:rPr>
        <w:t xml:space="preserve">the following equation, where a </w:t>
      </w:r>
      <w:r w:rsidR="51B6CDDA" w:rsidRPr="006B1C64">
        <w:rPr>
          <w:rFonts w:ascii="Aptos" w:eastAsia="Aptos" w:hAnsi="Aptos" w:cs="Aptos"/>
          <w:sz w:val="22"/>
          <w:szCs w:val="22"/>
          <w:lang w:val="en-GB"/>
        </w:rPr>
        <w:t>shell is defined as an orbit, or set of orbit planes, that has a different orbit perigee, apogee or inclination within the tolerances outlined in Resolves 11 in Resolution 8</w:t>
      </w:r>
      <w:r w:rsidR="33912535" w:rsidRPr="006B1C64">
        <w:rPr>
          <w:lang w:val="en-GB"/>
        </w:rPr>
        <w:t>:</w:t>
      </w:r>
    </w:p>
    <w:p w14:paraId="2F57B180" w14:textId="2349B01F" w:rsidR="379BFF63" w:rsidRPr="006B1C64" w:rsidRDefault="379BFF63" w:rsidP="379BFF63">
      <w:pPr>
        <w:pStyle w:val="Reasons"/>
        <w:rPr>
          <w:lang w:val="en-GB"/>
        </w:rPr>
      </w:pPr>
    </w:p>
    <w:p w14:paraId="03628521" w14:textId="19DAB0D6" w:rsidR="774948A0" w:rsidRPr="006B1C64" w:rsidRDefault="36CA0A17" w:rsidP="20F349E8">
      <w:pPr>
        <w:pStyle w:val="Reasons"/>
        <w:rPr>
          <w:i/>
          <w:iCs/>
          <w:lang w:val="en-GB"/>
        </w:rPr>
      </w:pPr>
      <w:r w:rsidRPr="006B1C64">
        <w:rPr>
          <w:i/>
          <w:iCs/>
          <w:lang w:val="en-GB"/>
        </w:rPr>
        <w:t xml:space="preserve">Sum of (emissions * class of stations) per assignment * number of shells </w:t>
      </w:r>
    </w:p>
    <w:p w14:paraId="1B1C6A69" w14:textId="0C006A1F" w:rsidR="379BFF63" w:rsidRPr="006B1C64" w:rsidRDefault="379BFF63" w:rsidP="379BFF63">
      <w:pPr>
        <w:pStyle w:val="Reasons"/>
        <w:rPr>
          <w:lang w:val="en-GB"/>
        </w:rPr>
      </w:pPr>
    </w:p>
    <w:p w14:paraId="6AD00662" w14:textId="525166F1" w:rsidR="775F9563" w:rsidRPr="006B1C64" w:rsidRDefault="0754DE3E" w:rsidP="002C54E3">
      <w:pPr>
        <w:pStyle w:val="Reasons"/>
        <w:spacing w:line="259" w:lineRule="auto"/>
        <w:rPr>
          <w:lang w:val="en-GB"/>
        </w:rPr>
      </w:pPr>
      <w:r w:rsidRPr="006B1C64">
        <w:rPr>
          <w:lang w:val="en-GB"/>
        </w:rPr>
        <w:t xml:space="preserve">In parallel, GSOA has difficulties with the </w:t>
      </w:r>
      <w:r w:rsidR="6C697CBF" w:rsidRPr="006B1C64">
        <w:rPr>
          <w:lang w:val="en-GB"/>
        </w:rPr>
        <w:t xml:space="preserve">resulting </w:t>
      </w:r>
      <w:r w:rsidRPr="006B1C64">
        <w:rPr>
          <w:lang w:val="en-GB"/>
        </w:rPr>
        <w:t xml:space="preserve">cost recovery fee </w:t>
      </w:r>
      <w:r w:rsidR="27F39C94" w:rsidRPr="006B1C64">
        <w:rPr>
          <w:lang w:val="en-GB"/>
        </w:rPr>
        <w:t xml:space="preserve">for </w:t>
      </w:r>
      <w:r w:rsidRPr="006B1C64">
        <w:rPr>
          <w:lang w:val="en-GB"/>
        </w:rPr>
        <w:t xml:space="preserve">satellite filings with </w:t>
      </w:r>
      <w:r w:rsidR="12B15A64" w:rsidRPr="006B1C64">
        <w:rPr>
          <w:lang w:val="en-GB"/>
        </w:rPr>
        <w:t xml:space="preserve">number of </w:t>
      </w:r>
      <w:r w:rsidRPr="006B1C64">
        <w:rPr>
          <w:lang w:val="en-GB"/>
        </w:rPr>
        <w:t>unit</w:t>
      </w:r>
      <w:r w:rsidR="0A3B570B" w:rsidRPr="006B1C64">
        <w:rPr>
          <w:lang w:val="en-GB"/>
        </w:rPr>
        <w:t>s</w:t>
      </w:r>
      <w:r w:rsidRPr="006B1C64">
        <w:rPr>
          <w:lang w:val="en-GB"/>
        </w:rPr>
        <w:t xml:space="preserve"> over 75,000 </w:t>
      </w:r>
      <w:r w:rsidR="51887DA6" w:rsidRPr="006B1C64">
        <w:rPr>
          <w:lang w:val="en-GB"/>
        </w:rPr>
        <w:t xml:space="preserve">given the new formulas. Specifically given the increase in the maximum </w:t>
      </w:r>
      <w:r w:rsidR="0985B132" w:rsidRPr="006B1C64">
        <w:rPr>
          <w:lang w:val="en-GB"/>
        </w:rPr>
        <w:t>(</w:t>
      </w:r>
      <w:r w:rsidR="726967CD" w:rsidRPr="006B1C64">
        <w:rPr>
          <w:lang w:val="en-GB"/>
        </w:rPr>
        <w:t>ceiling</w:t>
      </w:r>
      <w:r w:rsidR="0985B132" w:rsidRPr="006B1C64">
        <w:rPr>
          <w:lang w:val="en-GB"/>
        </w:rPr>
        <w:t xml:space="preserve">) number of units, and the price per unit not changing. </w:t>
      </w:r>
      <w:r w:rsidR="7EBAE23E" w:rsidRPr="006B1C64">
        <w:rPr>
          <w:lang w:val="en-GB"/>
        </w:rPr>
        <w:t xml:space="preserve">Table 1 </w:t>
      </w:r>
      <w:r w:rsidR="4C5D05CF" w:rsidRPr="006B1C64">
        <w:rPr>
          <w:lang w:val="en-GB"/>
        </w:rPr>
        <w:t xml:space="preserve">below </w:t>
      </w:r>
      <w:r w:rsidR="7EBAE23E" w:rsidRPr="006B1C64">
        <w:rPr>
          <w:lang w:val="en-GB"/>
        </w:rPr>
        <w:t xml:space="preserve">computes the </w:t>
      </w:r>
      <w:r w:rsidR="7A0BA024" w:rsidRPr="006B1C64">
        <w:rPr>
          <w:lang w:val="en-GB"/>
        </w:rPr>
        <w:t xml:space="preserve">maximum </w:t>
      </w:r>
      <w:r w:rsidR="73E1904D" w:rsidRPr="006B1C64">
        <w:rPr>
          <w:lang w:val="en-GB"/>
        </w:rPr>
        <w:t xml:space="preserve">cost recovery </w:t>
      </w:r>
      <w:r w:rsidR="4037C9D4" w:rsidRPr="006B1C64">
        <w:rPr>
          <w:lang w:val="en-GB"/>
        </w:rPr>
        <w:t xml:space="preserve">fee </w:t>
      </w:r>
      <w:r w:rsidR="18D7946F" w:rsidRPr="006B1C64">
        <w:rPr>
          <w:lang w:val="en-GB"/>
        </w:rPr>
        <w:t xml:space="preserve">for </w:t>
      </w:r>
      <w:r w:rsidR="437912F6" w:rsidRPr="006B1C64">
        <w:rPr>
          <w:lang w:val="en-GB"/>
        </w:rPr>
        <w:t>categories C1</w:t>
      </w:r>
      <w:r w:rsidR="4A2BCE30" w:rsidRPr="006B1C64">
        <w:rPr>
          <w:lang w:val="en-GB"/>
        </w:rPr>
        <w:t>, C2,</w:t>
      </w:r>
      <w:r w:rsidR="10234FE9" w:rsidRPr="006B1C64">
        <w:rPr>
          <w:lang w:val="en-GB"/>
        </w:rPr>
        <w:t xml:space="preserve"> </w:t>
      </w:r>
      <w:r w:rsidR="4D61ABD6" w:rsidRPr="006B1C64">
        <w:rPr>
          <w:lang w:val="en-GB"/>
        </w:rPr>
        <w:t xml:space="preserve">C3, </w:t>
      </w:r>
      <w:r w:rsidR="437912F6" w:rsidRPr="006B1C64">
        <w:rPr>
          <w:lang w:val="en-GB"/>
        </w:rPr>
        <w:t>N1</w:t>
      </w:r>
      <w:r w:rsidR="6BB18A56" w:rsidRPr="006B1C64">
        <w:rPr>
          <w:lang w:val="en-GB"/>
        </w:rPr>
        <w:t xml:space="preserve">, </w:t>
      </w:r>
      <w:r w:rsidR="437912F6" w:rsidRPr="006B1C64">
        <w:rPr>
          <w:lang w:val="en-GB"/>
        </w:rPr>
        <w:t>N2</w:t>
      </w:r>
      <w:r w:rsidR="68D23126" w:rsidRPr="006B1C64">
        <w:rPr>
          <w:lang w:val="en-GB"/>
        </w:rPr>
        <w:t>,</w:t>
      </w:r>
      <w:r w:rsidR="4415B6E5" w:rsidRPr="006B1C64">
        <w:rPr>
          <w:lang w:val="en-GB"/>
        </w:rPr>
        <w:t xml:space="preserve"> and N3,</w:t>
      </w:r>
      <w:r w:rsidR="68D23126" w:rsidRPr="006B1C64">
        <w:rPr>
          <w:lang w:val="en-GB"/>
        </w:rPr>
        <w:t xml:space="preserve"> </w:t>
      </w:r>
      <w:r w:rsidR="1660A6FD" w:rsidRPr="006B1C64">
        <w:rPr>
          <w:lang w:val="en-GB"/>
        </w:rPr>
        <w:t xml:space="preserve">that result from </w:t>
      </w:r>
      <w:r w:rsidR="75E238CF" w:rsidRPr="006B1C64">
        <w:rPr>
          <w:lang w:val="en-GB"/>
        </w:rPr>
        <w:t xml:space="preserve">1) </w:t>
      </w:r>
      <w:r w:rsidR="1660A6FD" w:rsidRPr="006B1C64">
        <w:rPr>
          <w:lang w:val="en-GB"/>
        </w:rPr>
        <w:t xml:space="preserve">the </w:t>
      </w:r>
      <w:r w:rsidR="5BB6377F" w:rsidRPr="006B1C64">
        <w:rPr>
          <w:lang w:val="en-GB"/>
        </w:rPr>
        <w:t xml:space="preserve">formulas from the </w:t>
      </w:r>
      <w:r w:rsidR="1660A6FD" w:rsidRPr="006B1C64">
        <w:rPr>
          <w:lang w:val="en-GB"/>
        </w:rPr>
        <w:t xml:space="preserve">current </w:t>
      </w:r>
      <w:r w:rsidR="71050512" w:rsidRPr="006B1C64">
        <w:rPr>
          <w:lang w:val="en-GB"/>
        </w:rPr>
        <w:t xml:space="preserve">Decision 482, </w:t>
      </w:r>
      <w:r w:rsidR="2AC0F2E0" w:rsidRPr="006B1C64">
        <w:rPr>
          <w:lang w:val="en-GB"/>
        </w:rPr>
        <w:t>2</w:t>
      </w:r>
      <w:r w:rsidR="1660A6FD" w:rsidRPr="006B1C64">
        <w:rPr>
          <w:lang w:val="en-GB"/>
        </w:rPr>
        <w:t>)</w:t>
      </w:r>
      <w:r w:rsidR="2AC0F2E0" w:rsidRPr="006B1C64">
        <w:rPr>
          <w:lang w:val="en-GB"/>
        </w:rPr>
        <w:t xml:space="preserve"> the Bureau’s proposal from February 2025</w:t>
      </w:r>
      <w:r w:rsidR="14708366" w:rsidRPr="006B1C64">
        <w:rPr>
          <w:lang w:val="en-GB"/>
        </w:rPr>
        <w:t xml:space="preserve">, and 3) an alternative solution. </w:t>
      </w:r>
      <w:r w:rsidR="25B09F52" w:rsidRPr="006B1C64">
        <w:rPr>
          <w:lang w:val="en-GB"/>
        </w:rPr>
        <w:t xml:space="preserve">This </w:t>
      </w:r>
      <w:r w:rsidR="57CF1703" w:rsidRPr="006B1C64">
        <w:rPr>
          <w:lang w:val="en-GB"/>
        </w:rPr>
        <w:t>alternative</w:t>
      </w:r>
      <w:r w:rsidR="6FA55AB6" w:rsidRPr="006B1C64">
        <w:rPr>
          <w:lang w:val="en-GB"/>
        </w:rPr>
        <w:t xml:space="preserve">, which </w:t>
      </w:r>
      <w:r w:rsidR="5EC8E42E" w:rsidRPr="006B1C64">
        <w:rPr>
          <w:lang w:val="en-GB"/>
        </w:rPr>
        <w:t>[</w:t>
      </w:r>
      <w:r w:rsidR="6FA55AB6" w:rsidRPr="006B1C64">
        <w:rPr>
          <w:lang w:val="en-GB"/>
        </w:rPr>
        <w:t>limit</w:t>
      </w:r>
      <w:r w:rsidR="3CC7D048" w:rsidRPr="006B1C64">
        <w:rPr>
          <w:lang w:val="en-GB"/>
        </w:rPr>
        <w:t>s</w:t>
      </w:r>
      <w:r w:rsidR="6FA55AB6" w:rsidRPr="006B1C64">
        <w:rPr>
          <w:lang w:val="en-GB"/>
        </w:rPr>
        <w:t xml:space="preserve"> the maximum number of units to 300,000 and </w:t>
      </w:r>
      <w:r w:rsidR="73B2AC93" w:rsidRPr="006B1C64">
        <w:rPr>
          <w:lang w:val="en-GB"/>
        </w:rPr>
        <w:t>control the unit price for satellite filings with more than 25,000 units</w:t>
      </w:r>
      <w:r w:rsidR="3C575508" w:rsidRPr="006B1C64">
        <w:rPr>
          <w:lang w:val="en-GB"/>
        </w:rPr>
        <w:t>]</w:t>
      </w:r>
      <w:r w:rsidR="097EF8FF" w:rsidRPr="006B1C64">
        <w:rPr>
          <w:lang w:val="en-GB"/>
        </w:rPr>
        <w:t xml:space="preserve">, </w:t>
      </w:r>
      <w:r w:rsidR="51A34F1F" w:rsidRPr="006B1C64">
        <w:rPr>
          <w:lang w:val="en-GB"/>
        </w:rPr>
        <w:t>result</w:t>
      </w:r>
      <w:r w:rsidR="0AC01897" w:rsidRPr="006B1C64">
        <w:rPr>
          <w:lang w:val="en-GB"/>
        </w:rPr>
        <w:t>s</w:t>
      </w:r>
      <w:r w:rsidR="51A34F1F" w:rsidRPr="006B1C64">
        <w:rPr>
          <w:lang w:val="en-GB"/>
        </w:rPr>
        <w:t xml:space="preserve"> in a</w:t>
      </w:r>
      <w:r w:rsidR="0AD13754" w:rsidRPr="006B1C64">
        <w:rPr>
          <w:lang w:val="en-GB"/>
        </w:rPr>
        <w:t xml:space="preserve">n increase of no more than </w:t>
      </w:r>
      <w:r w:rsidR="5527B95F" w:rsidRPr="006B1C64">
        <w:rPr>
          <w:lang w:val="en-GB"/>
        </w:rPr>
        <w:t>[</w:t>
      </w:r>
      <w:r w:rsidR="0AD13754" w:rsidRPr="006B1C64">
        <w:rPr>
          <w:lang w:val="en-GB"/>
        </w:rPr>
        <w:t>93%</w:t>
      </w:r>
      <w:r w:rsidR="5774E506" w:rsidRPr="006B1C64">
        <w:rPr>
          <w:lang w:val="en-GB"/>
        </w:rPr>
        <w:t>]</w:t>
      </w:r>
      <w:r w:rsidR="0AD13754" w:rsidRPr="006B1C64">
        <w:rPr>
          <w:lang w:val="en-GB"/>
        </w:rPr>
        <w:t xml:space="preserve"> when compare</w:t>
      </w:r>
      <w:r w:rsidR="2E80D483" w:rsidRPr="006B1C64">
        <w:rPr>
          <w:lang w:val="en-GB"/>
        </w:rPr>
        <w:t>d to the current fees.</w:t>
      </w:r>
      <w:r w:rsidR="45D3A286" w:rsidRPr="006B1C64">
        <w:rPr>
          <w:lang w:val="en-GB"/>
        </w:rPr>
        <w:t xml:space="preserve"> In comparison, the Bureau’s proposal results in an increase of 425-530% for large satellite filings</w:t>
      </w:r>
      <w:r w:rsidR="520D1EC9" w:rsidRPr="006B1C64">
        <w:rPr>
          <w:lang w:val="en-GB"/>
        </w:rPr>
        <w:t>, compared to the current fees</w:t>
      </w:r>
      <w:r w:rsidR="45D3A286" w:rsidRPr="006B1C64">
        <w:rPr>
          <w:lang w:val="en-GB"/>
        </w:rPr>
        <w:t>.</w:t>
      </w:r>
    </w:p>
    <w:p w14:paraId="0BA8EA9D" w14:textId="5185A011" w:rsidR="379BFF63" w:rsidRPr="006B1C64" w:rsidRDefault="379BFF63" w:rsidP="379BFF63">
      <w:pPr>
        <w:pStyle w:val="Reasons"/>
        <w:rPr>
          <w:lang w:val="en-GB"/>
        </w:rPr>
      </w:pPr>
    </w:p>
    <w:p w14:paraId="085A82DC" w14:textId="4F5B2CEA" w:rsidR="379BFF63" w:rsidRPr="006B1C64" w:rsidRDefault="331E8BD4" w:rsidP="002C54E3">
      <w:pPr>
        <w:jc w:val="center"/>
      </w:pPr>
      <w:r w:rsidRPr="006B1C64">
        <w:t xml:space="preserve">Table 1: </w:t>
      </w:r>
      <w:r w:rsidR="315EDB3A" w:rsidRPr="006B1C64">
        <w:t xml:space="preserve">Comparison of maximum cost recovery </w:t>
      </w:r>
      <w:r w:rsidRPr="006B1C64">
        <w:t xml:space="preserve">fee payment of </w:t>
      </w:r>
      <w:r w:rsidR="04BD6938" w:rsidRPr="006B1C64">
        <w:t xml:space="preserve">large </w:t>
      </w:r>
      <w:r w:rsidRPr="006B1C64">
        <w:t xml:space="preserve">satellite filings </w:t>
      </w:r>
    </w:p>
    <w:p w14:paraId="6CA0CEEA" w14:textId="0A76BA4E" w:rsidR="6E2BBE9F" w:rsidRPr="006B1C64" w:rsidRDefault="6E2BBE9F" w:rsidP="002C54E3">
      <w:pPr>
        <w:jc w:val="center"/>
      </w:pPr>
      <w:r w:rsidRPr="006B1C64">
        <w:rPr>
          <w:noProof/>
        </w:rPr>
        <w:drawing>
          <wp:inline distT="0" distB="0" distL="0" distR="0" wp14:anchorId="713FB7D1" wp14:editId="76992C9F">
            <wp:extent cx="5761219" cy="2871465"/>
            <wp:effectExtent l="0" t="0" r="0" b="0"/>
            <wp:docPr id="17032268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26840" name=""/>
                    <pic:cNvPicPr/>
                  </pic:nvPicPr>
                  <pic:blipFill>
                    <a:blip r:embed="rId15">
                      <a:extLst>
                        <a:ext uri="{28A0092B-C50C-407E-A947-70E740481C1C}">
                          <a14:useLocalDpi xmlns:a14="http://schemas.microsoft.com/office/drawing/2010/main" val="0"/>
                        </a:ext>
                      </a:extLst>
                    </a:blip>
                    <a:stretch>
                      <a:fillRect/>
                    </a:stretch>
                  </pic:blipFill>
                  <pic:spPr>
                    <a:xfrm>
                      <a:off x="0" y="0"/>
                      <a:ext cx="5761219" cy="2871465"/>
                    </a:xfrm>
                    <a:prstGeom prst="rect">
                      <a:avLst/>
                    </a:prstGeom>
                  </pic:spPr>
                </pic:pic>
              </a:graphicData>
            </a:graphic>
          </wp:inline>
        </w:drawing>
      </w:r>
    </w:p>
    <w:p w14:paraId="6B239ABB" w14:textId="6CD78AB4" w:rsidR="0D1F7AA0" w:rsidRPr="00C878C4" w:rsidRDefault="0D1F7AA0" w:rsidP="00C878C4">
      <w:pPr>
        <w:pStyle w:val="Reasons"/>
        <w:spacing w:before="240"/>
        <w:rPr>
          <w:szCs w:val="24"/>
          <w:lang w:val="en-GB"/>
        </w:rPr>
      </w:pPr>
      <w:r w:rsidRPr="00C878C4">
        <w:rPr>
          <w:szCs w:val="24"/>
          <w:lang w:val="en-GB"/>
        </w:rPr>
        <w:t xml:space="preserve">Given the data above, </w:t>
      </w:r>
      <w:r w:rsidR="0502C833" w:rsidRPr="00C878C4">
        <w:rPr>
          <w:szCs w:val="24"/>
          <w:lang w:val="en-GB"/>
        </w:rPr>
        <w:t xml:space="preserve">GSOA cannot agree to </w:t>
      </w:r>
      <w:r w:rsidR="7F6B96AC" w:rsidRPr="00C878C4">
        <w:rPr>
          <w:szCs w:val="24"/>
          <w:lang w:val="en-GB"/>
        </w:rPr>
        <w:t xml:space="preserve">a proposal that increases the cost recovery fee of satellite filings by </w:t>
      </w:r>
      <w:r w:rsidR="5825BD93" w:rsidRPr="00C878C4">
        <w:rPr>
          <w:szCs w:val="24"/>
          <w:lang w:val="en-GB"/>
        </w:rPr>
        <w:t>~</w:t>
      </w:r>
      <w:r w:rsidR="0502C833" w:rsidRPr="00C878C4">
        <w:rPr>
          <w:szCs w:val="24"/>
          <w:lang w:val="en-GB"/>
        </w:rPr>
        <w:t>4</w:t>
      </w:r>
      <w:r w:rsidR="3CA9BD7D" w:rsidRPr="00C878C4">
        <w:rPr>
          <w:szCs w:val="24"/>
          <w:lang w:val="en-GB"/>
        </w:rPr>
        <w:t>0</w:t>
      </w:r>
      <w:r w:rsidR="0502C833" w:rsidRPr="00C878C4">
        <w:rPr>
          <w:szCs w:val="24"/>
          <w:lang w:val="en-GB"/>
        </w:rPr>
        <w:t>0%, and therefore</w:t>
      </w:r>
      <w:r w:rsidR="074B1E9A" w:rsidRPr="00C878C4">
        <w:rPr>
          <w:szCs w:val="24"/>
          <w:lang w:val="en-GB"/>
        </w:rPr>
        <w:t xml:space="preserve"> suggests the below alternative for the cost recovery formula:</w:t>
      </w:r>
    </w:p>
    <w:p w14:paraId="42BB0752" w14:textId="337035F9" w:rsidR="20F349E8" w:rsidRPr="00C878C4" w:rsidRDefault="20F349E8" w:rsidP="20F349E8">
      <w:pPr>
        <w:pStyle w:val="Reasons"/>
        <w:rPr>
          <w:szCs w:val="24"/>
          <w:lang w:val="en-GB"/>
        </w:rPr>
      </w:pPr>
    </w:p>
    <w:p w14:paraId="61122D5F" w14:textId="25ADCCFF" w:rsidR="365B7FF7" w:rsidRPr="00C878C4" w:rsidRDefault="3CA18D20" w:rsidP="20F349E8">
      <w:pPr>
        <w:pStyle w:val="Reasons"/>
        <w:rPr>
          <w:rFonts w:eastAsia="Calibri"/>
          <w:i/>
          <w:iCs/>
          <w:szCs w:val="24"/>
          <w:lang w:val="en-GB"/>
        </w:rPr>
      </w:pPr>
      <w:r w:rsidRPr="00C878C4">
        <w:rPr>
          <w:rFonts w:eastAsia="Calibri"/>
          <w:i/>
          <w:iCs/>
          <w:szCs w:val="24"/>
          <w:lang w:val="en-GB"/>
        </w:rPr>
        <w:t>[</w:t>
      </w:r>
      <w:r w:rsidR="365B7FF7" w:rsidRPr="00C878C4">
        <w:rPr>
          <w:rFonts w:eastAsia="Calibri"/>
          <w:i/>
          <w:iCs/>
          <w:szCs w:val="24"/>
          <w:lang w:val="en-GB"/>
        </w:rPr>
        <w:t>CR fee=new flat fee+(total units-</w:t>
      </w:r>
      <w:proofErr w:type="gramStart"/>
      <w:r w:rsidR="365B7FF7" w:rsidRPr="00C878C4">
        <w:rPr>
          <w:rFonts w:eastAsia="Calibri"/>
          <w:i/>
          <w:iCs/>
          <w:szCs w:val="24"/>
          <w:lang w:val="en-GB"/>
        </w:rPr>
        <w:t>25,000)*</w:t>
      </w:r>
      <w:proofErr w:type="gramEnd"/>
      <w:r w:rsidR="365B7FF7" w:rsidRPr="00C878C4">
        <w:rPr>
          <w:rFonts w:eastAsia="Calibri"/>
          <w:i/>
          <w:iCs/>
          <w:szCs w:val="24"/>
          <w:lang w:val="en-GB"/>
        </w:rPr>
        <w:t>(flat fee)/(150,000) with a max of 300,000 units</w:t>
      </w:r>
      <w:r w:rsidR="2E79345F" w:rsidRPr="00C878C4">
        <w:rPr>
          <w:rFonts w:eastAsia="Calibri"/>
          <w:i/>
          <w:iCs/>
          <w:szCs w:val="24"/>
          <w:lang w:val="en-GB"/>
        </w:rPr>
        <w:t>]</w:t>
      </w:r>
    </w:p>
    <w:p w14:paraId="1477303A" w14:textId="00FB570D" w:rsidR="20F349E8" w:rsidRPr="00C878C4" w:rsidRDefault="20F349E8" w:rsidP="20F349E8">
      <w:pPr>
        <w:pStyle w:val="Reasons"/>
        <w:rPr>
          <w:rFonts w:eastAsia="Calibri"/>
          <w:i/>
          <w:iCs/>
          <w:szCs w:val="24"/>
          <w:lang w:val="en-GB"/>
        </w:rPr>
      </w:pPr>
    </w:p>
    <w:p w14:paraId="74EF43D3" w14:textId="1E2BCF1D" w:rsidR="13477F7C" w:rsidRPr="006B1C64" w:rsidRDefault="13477F7C" w:rsidP="002C54E3">
      <w:pPr>
        <w:spacing w:before="0"/>
      </w:pPr>
      <w:r w:rsidRPr="00C878C4">
        <w:rPr>
          <w:rFonts w:asciiTheme="minorHAnsi" w:eastAsia="Aptos" w:hAnsiTheme="minorHAnsi" w:cstheme="minorHAnsi"/>
          <w:szCs w:val="24"/>
        </w:rPr>
        <w:t xml:space="preserve">Additionally, GSOA notes that the proposed modifications to Decision 482 included in item f) are mainly related to more complex non-GSO constellations, </w:t>
      </w:r>
      <w:r w:rsidR="002C54E3" w:rsidRPr="00C878C4">
        <w:rPr>
          <w:rFonts w:asciiTheme="minorHAnsi" w:eastAsia="Aptos" w:hAnsiTheme="minorHAnsi" w:cstheme="minorHAnsi"/>
          <w:szCs w:val="24"/>
        </w:rPr>
        <w:t>e</w:t>
      </w:r>
      <w:r w:rsidRPr="00C878C4">
        <w:rPr>
          <w:rFonts w:asciiTheme="minorHAnsi" w:eastAsia="Aptos" w:hAnsiTheme="minorHAnsi" w:cstheme="minorHAnsi"/>
          <w:szCs w:val="24"/>
        </w:rPr>
        <w:t xml:space="preserve">specially those with more than 75 000 units, that could significantly increase the time spent to finish the examination, the human resources and the complexity of the software used by the Bureau. However, due to the proposed change in the computation of the units, some other not so complex non-GSO constellations, namely those with less than 25 000 units with the application of the current </w:t>
      </w:r>
      <w:r w:rsidRPr="00C878C4">
        <w:rPr>
          <w:rFonts w:asciiTheme="minorHAnsi" w:eastAsia="Aptos" w:hAnsiTheme="minorHAnsi" w:cstheme="minorHAnsi"/>
          <w:szCs w:val="24"/>
        </w:rPr>
        <w:lastRenderedPageBreak/>
        <w:t xml:space="preserve">Decision 482, would experience a significant increase in the number of units and therefore a significant increase in its associated Cost Recovery, apart from the new proposed fees related to EPFD examination. </w:t>
      </w:r>
      <w:proofErr w:type="gramStart"/>
      <w:r w:rsidRPr="00C878C4">
        <w:rPr>
          <w:rFonts w:asciiTheme="minorHAnsi" w:eastAsia="Aptos" w:hAnsiTheme="minorHAnsi" w:cstheme="minorHAnsi"/>
          <w:szCs w:val="24"/>
        </w:rPr>
        <w:t>In order to</w:t>
      </w:r>
      <w:proofErr w:type="gramEnd"/>
      <w:r w:rsidRPr="00C878C4">
        <w:rPr>
          <w:rFonts w:asciiTheme="minorHAnsi" w:eastAsia="Aptos" w:hAnsiTheme="minorHAnsi" w:cstheme="minorHAnsi"/>
          <w:szCs w:val="24"/>
        </w:rPr>
        <w:t xml:space="preserve"> alleviate the impact to these not so complex non-GSO constellations in terms of Cost Recovery, GSOA proposes to increase the lower ceiling in footnote e) of Decision 482 from 25 000 to 50 000 units.</w:t>
      </w:r>
    </w:p>
    <w:p w14:paraId="36FD6AFA" w14:textId="77777777" w:rsidR="006A7CD3" w:rsidRPr="006B1C64" w:rsidRDefault="006A7CD3" w:rsidP="00C878C4">
      <w:pPr>
        <w:spacing w:before="720"/>
        <w:jc w:val="center"/>
      </w:pPr>
      <w:r w:rsidRPr="006B1C64">
        <w:t>______________</w:t>
      </w:r>
    </w:p>
    <w:sectPr w:rsidR="006A7CD3" w:rsidRPr="006B1C64"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A5AC" w14:textId="77777777" w:rsidR="000E1C36" w:rsidRDefault="000E1C36">
      <w:r>
        <w:separator/>
      </w:r>
    </w:p>
  </w:endnote>
  <w:endnote w:type="continuationSeparator" w:id="0">
    <w:p w14:paraId="7170374D" w14:textId="77777777" w:rsidR="000E1C36" w:rsidRDefault="000E1C36">
      <w:r>
        <w:continuationSeparator/>
      </w:r>
    </w:p>
  </w:endnote>
  <w:endnote w:type="continuationNotice" w:id="1">
    <w:p w14:paraId="07F3DAC2" w14:textId="77777777" w:rsidR="000E1C36" w:rsidRDefault="000E1C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219FF39B" w14:textId="77777777">
      <w:trPr>
        <w:jc w:val="center"/>
      </w:trPr>
      <w:tc>
        <w:tcPr>
          <w:tcW w:w="1803" w:type="dxa"/>
          <w:vAlign w:val="center"/>
        </w:tcPr>
        <w:p w14:paraId="2100ECE5" w14:textId="77777777" w:rsidR="00EE49E8" w:rsidRDefault="00EE49E8" w:rsidP="00EE49E8">
          <w:pPr>
            <w:pStyle w:val="Header"/>
            <w:jc w:val="left"/>
            <w:rPr>
              <w:noProof/>
            </w:rPr>
          </w:pPr>
        </w:p>
      </w:tc>
      <w:tc>
        <w:tcPr>
          <w:tcW w:w="8261" w:type="dxa"/>
        </w:tcPr>
        <w:p w14:paraId="3B8CBF9E" w14:textId="4107728A" w:rsidR="00EE49E8" w:rsidRPr="00877BF2" w:rsidRDefault="00EE49E8" w:rsidP="00524E9C">
          <w:pPr>
            <w:pStyle w:val="Header"/>
            <w:tabs>
              <w:tab w:val="left" w:pos="6309"/>
              <w:tab w:val="right" w:pos="8505"/>
              <w:tab w:val="right" w:pos="9639"/>
            </w:tabs>
            <w:jc w:val="left"/>
            <w:rPr>
              <w:rFonts w:ascii="Arial" w:hAnsi="Arial" w:cs="Arial"/>
              <w:b/>
              <w:bCs/>
              <w:szCs w:val="18"/>
              <w:lang w:val="es-ES"/>
            </w:rPr>
          </w:pPr>
          <w:r w:rsidRPr="005C13D4">
            <w:rPr>
              <w:bCs/>
              <w:lang w:val="fr-CH"/>
            </w:rPr>
            <w:tab/>
          </w:r>
          <w:r w:rsidR="00F73B2C">
            <w:rPr>
              <w:bCs/>
            </w:rPr>
            <w:t>EG-</w:t>
          </w:r>
          <w:r w:rsidR="00524E9C">
            <w:rPr>
              <w:bCs/>
            </w:rPr>
            <w:t>DEC482</w:t>
          </w:r>
          <w:r w:rsidR="00F73B2C">
            <w:rPr>
              <w:bCs/>
            </w:rPr>
            <w:t>-</w:t>
          </w:r>
          <w:r w:rsidR="006A7CD3">
            <w:rPr>
              <w:bCs/>
            </w:rPr>
            <w:t>4</w:t>
          </w:r>
          <w:r w:rsidR="00F73B2C">
            <w:rPr>
              <w:bCs/>
              <w:lang w:val="es-ES"/>
            </w:rPr>
            <w:t>/</w:t>
          </w:r>
          <w:r w:rsidR="00EB2E4D">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105147AB"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A180193" w14:textId="77777777" w:rsidTr="00A52C84">
      <w:trPr>
        <w:jc w:val="center"/>
      </w:trPr>
      <w:tc>
        <w:tcPr>
          <w:tcW w:w="3107" w:type="dxa"/>
          <w:vAlign w:val="center"/>
        </w:tcPr>
        <w:p w14:paraId="4C7B1AC5" w14:textId="0931FDE3" w:rsidR="00EE49E8" w:rsidRPr="001A0875" w:rsidRDefault="0025570E" w:rsidP="00EE49E8">
          <w:pPr>
            <w:pStyle w:val="Header"/>
            <w:jc w:val="left"/>
            <w:rPr>
              <w:noProof/>
            </w:rPr>
          </w:pPr>
          <w:hyperlink r:id="rId1" w:history="1">
            <w:r w:rsidRPr="001A0875">
              <w:rPr>
                <w:rStyle w:val="Hyperlink"/>
                <w:u w:val="none"/>
              </w:rPr>
              <w:t>council.itu.int/</w:t>
            </w:r>
            <w:proofErr w:type="gramStart"/>
            <w:r w:rsidRPr="001A0875">
              <w:rPr>
                <w:rStyle w:val="Hyperlink"/>
                <w:u w:val="none"/>
              </w:rPr>
              <w:t>working-groups</w:t>
            </w:r>
            <w:proofErr w:type="gramEnd"/>
          </w:hyperlink>
        </w:p>
      </w:tc>
      <w:tc>
        <w:tcPr>
          <w:tcW w:w="6957" w:type="dxa"/>
        </w:tcPr>
        <w:p w14:paraId="29BEDC59" w14:textId="2160F5EE" w:rsidR="00EE49E8" w:rsidRPr="000F6AB8" w:rsidRDefault="00EE49E8" w:rsidP="00524E9C">
          <w:pPr>
            <w:pStyle w:val="Header"/>
            <w:tabs>
              <w:tab w:val="left" w:pos="5008"/>
              <w:tab w:val="right" w:pos="8505"/>
              <w:tab w:val="right" w:pos="9639"/>
            </w:tabs>
            <w:jc w:val="left"/>
            <w:rPr>
              <w:rFonts w:ascii="Arial" w:hAnsi="Arial" w:cs="Arial"/>
              <w:b/>
              <w:bCs/>
              <w:szCs w:val="18"/>
              <w:lang w:val="es-ES"/>
            </w:rPr>
          </w:pPr>
          <w:r>
            <w:rPr>
              <w:bCs/>
            </w:rPr>
            <w:tab/>
          </w:r>
          <w:r w:rsidR="00F73B2C">
            <w:rPr>
              <w:bCs/>
            </w:rPr>
            <w:t>EG-</w:t>
          </w:r>
          <w:r w:rsidR="00524E9C">
            <w:rPr>
              <w:bCs/>
            </w:rPr>
            <w:t>DEC482</w:t>
          </w:r>
          <w:r w:rsidR="00F73B2C">
            <w:rPr>
              <w:bCs/>
            </w:rPr>
            <w:t>-</w:t>
          </w:r>
          <w:r w:rsidR="006A7CD3">
            <w:rPr>
              <w:bCs/>
            </w:rPr>
            <w:t>4</w:t>
          </w:r>
          <w:r w:rsidR="00205D4E">
            <w:rPr>
              <w:bCs/>
              <w:lang w:val="es-ES"/>
            </w:rPr>
            <w:t>/</w:t>
          </w:r>
          <w:r w:rsidR="00EB2E4D">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601239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FEBC" w14:textId="77777777" w:rsidR="000E1C36" w:rsidRDefault="000E1C36">
      <w:r>
        <w:t>____________________</w:t>
      </w:r>
    </w:p>
  </w:footnote>
  <w:footnote w:type="continuationSeparator" w:id="0">
    <w:p w14:paraId="1B0F5898" w14:textId="77777777" w:rsidR="000E1C36" w:rsidRDefault="000E1C36">
      <w:r>
        <w:continuationSeparator/>
      </w:r>
    </w:p>
  </w:footnote>
  <w:footnote w:type="continuationNotice" w:id="1">
    <w:p w14:paraId="7A669794" w14:textId="77777777" w:rsidR="000E1C36" w:rsidRDefault="000E1C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F7EA6F2" w14:textId="77777777" w:rsidTr="00F74694">
      <w:trPr>
        <w:trHeight w:val="1304"/>
        <w:jc w:val="center"/>
      </w:trPr>
      <w:tc>
        <w:tcPr>
          <w:tcW w:w="6546" w:type="dxa"/>
        </w:tcPr>
        <w:p w14:paraId="75D6A022" w14:textId="6B8368F2" w:rsidR="00AD3606" w:rsidRPr="009621F8" w:rsidRDefault="00BD3284"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42663D94" wp14:editId="4F350CF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5CA3E9F" w14:textId="77777777" w:rsidR="00AD3606" w:rsidRDefault="00AD3606" w:rsidP="00AD3606">
          <w:pPr>
            <w:pStyle w:val="Header"/>
            <w:jc w:val="right"/>
            <w:rPr>
              <w:rFonts w:ascii="Arial" w:hAnsi="Arial" w:cs="Arial"/>
              <w:b/>
              <w:bCs/>
              <w:color w:val="009CD6"/>
              <w:szCs w:val="18"/>
            </w:rPr>
          </w:pPr>
        </w:p>
        <w:p w14:paraId="7AD146C7" w14:textId="77777777" w:rsidR="00AD3606" w:rsidRDefault="00AD3606" w:rsidP="00AD3606">
          <w:pPr>
            <w:pStyle w:val="Header"/>
            <w:jc w:val="right"/>
            <w:rPr>
              <w:rFonts w:ascii="Arial" w:hAnsi="Arial" w:cs="Arial"/>
              <w:b/>
              <w:bCs/>
              <w:color w:val="009CD6"/>
              <w:szCs w:val="18"/>
            </w:rPr>
          </w:pPr>
        </w:p>
        <w:p w14:paraId="49954B8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8D78142" w14:textId="2B5DF963" w:rsidR="00AD3606" w:rsidRDefault="00BD3284">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58241" behindDoc="0" locked="0" layoutInCell="1" allowOverlap="1" wp14:anchorId="45302FB4" wp14:editId="2450F337">
              <wp:simplePos x="0" y="0"/>
              <wp:positionH relativeFrom="column">
                <wp:posOffset>1201525</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861775D" w14:textId="092378F7" w:rsidR="00130599" w:rsidRDefault="00727C44" w:rsidP="00BD3284">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sidR="006A7CD3">
                            <w:rPr>
                              <w:sz w:val="20"/>
                            </w:rPr>
                            <w:t>Fourth</w:t>
                          </w:r>
                          <w:r>
                            <w:rPr>
                              <w:sz w:val="20"/>
                            </w:rPr>
                            <w:t xml:space="preserve"> </w:t>
                          </w:r>
                          <w:r w:rsidRPr="00130599">
                            <w:rPr>
                              <w:sz w:val="20"/>
                            </w:rPr>
                            <w:t xml:space="preserve">meeting </w:t>
                          </w:r>
                          <w:r>
                            <w:rPr>
                              <w:sz w:val="20"/>
                            </w:rPr>
                            <w:t xml:space="preserve">– From 10 to 11 </w:t>
                          </w:r>
                          <w:r w:rsidR="00D6229A">
                            <w:rPr>
                              <w:sz w:val="20"/>
                            </w:rPr>
                            <w:t xml:space="preserve">April </w:t>
                          </w:r>
                          <w:r>
                            <w:rPr>
                              <w:sz w:val="20"/>
                            </w:rPr>
                            <w:t>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302FB4"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" fillcolor="white [3212]" stroked="f">
              <v:textbox style="mso-fit-shape-to-text:t" inset="1mm">
                <w:txbxContent>
                  <w:p w14:paraId="5861775D" w14:textId="092378F7" w:rsidR="00130599" w:rsidRDefault="00727C44" w:rsidP="00BD3284">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sidR="006A7CD3">
                      <w:rPr>
                        <w:sz w:val="20"/>
                      </w:rPr>
                      <w:t>Fourth</w:t>
                    </w:r>
                    <w:r>
                      <w:rPr>
                        <w:sz w:val="20"/>
                      </w:rPr>
                      <w:t xml:space="preserve"> </w:t>
                    </w:r>
                    <w:r w:rsidRPr="00130599">
                      <w:rPr>
                        <w:sz w:val="20"/>
                      </w:rPr>
                      <w:t xml:space="preserve">meeting </w:t>
                    </w:r>
                    <w:r>
                      <w:rPr>
                        <w:sz w:val="20"/>
                      </w:rPr>
                      <w:t xml:space="preserve">– From 10 to 11 </w:t>
                    </w:r>
                    <w:r w:rsidR="00D6229A">
                      <w:rPr>
                        <w:sz w:val="20"/>
                      </w:rPr>
                      <w:t xml:space="preserve">April </w:t>
                    </w:r>
                    <w:r>
                      <w:rPr>
                        <w:sz w:val="20"/>
                      </w:rPr>
                      <w:t>2025</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572F1DF" wp14:editId="6993071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7091"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D35352"/>
    <w:multiLevelType w:val="hybridMultilevel"/>
    <w:tmpl w:val="FFFFFFFF"/>
    <w:lvl w:ilvl="0" w:tplc="61F209DC">
      <w:start w:val="1"/>
      <w:numFmt w:val="bullet"/>
      <w:lvlText w:val="·"/>
      <w:lvlJc w:val="left"/>
      <w:pPr>
        <w:ind w:left="720" w:hanging="360"/>
      </w:pPr>
      <w:rPr>
        <w:rFonts w:ascii="Symbol" w:hAnsi="Symbol" w:hint="default"/>
      </w:rPr>
    </w:lvl>
    <w:lvl w:ilvl="1" w:tplc="7E5897C2">
      <w:start w:val="1"/>
      <w:numFmt w:val="bullet"/>
      <w:lvlText w:val="o"/>
      <w:lvlJc w:val="left"/>
      <w:pPr>
        <w:ind w:left="1440" w:hanging="360"/>
      </w:pPr>
      <w:rPr>
        <w:rFonts w:ascii="Courier New" w:hAnsi="Courier New" w:hint="default"/>
      </w:rPr>
    </w:lvl>
    <w:lvl w:ilvl="2" w:tplc="8AFED514">
      <w:start w:val="1"/>
      <w:numFmt w:val="bullet"/>
      <w:lvlText w:val=""/>
      <w:lvlJc w:val="left"/>
      <w:pPr>
        <w:ind w:left="2160" w:hanging="360"/>
      </w:pPr>
      <w:rPr>
        <w:rFonts w:ascii="Wingdings" w:hAnsi="Wingdings" w:hint="default"/>
      </w:rPr>
    </w:lvl>
    <w:lvl w:ilvl="3" w:tplc="E6560C3A">
      <w:start w:val="1"/>
      <w:numFmt w:val="bullet"/>
      <w:lvlText w:val=""/>
      <w:lvlJc w:val="left"/>
      <w:pPr>
        <w:ind w:left="2880" w:hanging="360"/>
      </w:pPr>
      <w:rPr>
        <w:rFonts w:ascii="Symbol" w:hAnsi="Symbol" w:hint="default"/>
      </w:rPr>
    </w:lvl>
    <w:lvl w:ilvl="4" w:tplc="775CA6D0">
      <w:start w:val="1"/>
      <w:numFmt w:val="bullet"/>
      <w:lvlText w:val="o"/>
      <w:lvlJc w:val="left"/>
      <w:pPr>
        <w:ind w:left="3600" w:hanging="360"/>
      </w:pPr>
      <w:rPr>
        <w:rFonts w:ascii="Courier New" w:hAnsi="Courier New" w:hint="default"/>
      </w:rPr>
    </w:lvl>
    <w:lvl w:ilvl="5" w:tplc="EB5A6806">
      <w:start w:val="1"/>
      <w:numFmt w:val="bullet"/>
      <w:lvlText w:val=""/>
      <w:lvlJc w:val="left"/>
      <w:pPr>
        <w:ind w:left="4320" w:hanging="360"/>
      </w:pPr>
      <w:rPr>
        <w:rFonts w:ascii="Wingdings" w:hAnsi="Wingdings" w:hint="default"/>
      </w:rPr>
    </w:lvl>
    <w:lvl w:ilvl="6" w:tplc="3648CB04">
      <w:start w:val="1"/>
      <w:numFmt w:val="bullet"/>
      <w:lvlText w:val=""/>
      <w:lvlJc w:val="left"/>
      <w:pPr>
        <w:ind w:left="5040" w:hanging="360"/>
      </w:pPr>
      <w:rPr>
        <w:rFonts w:ascii="Symbol" w:hAnsi="Symbol" w:hint="default"/>
      </w:rPr>
    </w:lvl>
    <w:lvl w:ilvl="7" w:tplc="DFCC4C54">
      <w:start w:val="1"/>
      <w:numFmt w:val="bullet"/>
      <w:lvlText w:val="o"/>
      <w:lvlJc w:val="left"/>
      <w:pPr>
        <w:ind w:left="5760" w:hanging="360"/>
      </w:pPr>
      <w:rPr>
        <w:rFonts w:ascii="Courier New" w:hAnsi="Courier New" w:hint="default"/>
      </w:rPr>
    </w:lvl>
    <w:lvl w:ilvl="8" w:tplc="8228D92A">
      <w:start w:val="1"/>
      <w:numFmt w:val="bullet"/>
      <w:lvlText w:val=""/>
      <w:lvlJc w:val="left"/>
      <w:pPr>
        <w:ind w:left="6480" w:hanging="360"/>
      </w:pPr>
      <w:rPr>
        <w:rFonts w:ascii="Wingdings" w:hAnsi="Wingdings" w:hint="default"/>
      </w:rPr>
    </w:lvl>
  </w:abstractNum>
  <w:abstractNum w:abstractNumId="2" w15:restartNumberingAfterBreak="0">
    <w:nsid w:val="6B4C8C3A"/>
    <w:multiLevelType w:val="hybridMultilevel"/>
    <w:tmpl w:val="EF60C7AC"/>
    <w:lvl w:ilvl="0" w:tplc="C9CAEDF6">
      <w:start w:val="1"/>
      <w:numFmt w:val="bullet"/>
      <w:lvlText w:val=""/>
      <w:lvlJc w:val="left"/>
      <w:pPr>
        <w:ind w:left="720" w:hanging="360"/>
      </w:pPr>
      <w:rPr>
        <w:rFonts w:ascii="Symbol" w:hAnsi="Symbol" w:hint="default"/>
      </w:rPr>
    </w:lvl>
    <w:lvl w:ilvl="1" w:tplc="7646012A">
      <w:start w:val="1"/>
      <w:numFmt w:val="bullet"/>
      <w:lvlText w:val="o"/>
      <w:lvlJc w:val="left"/>
      <w:pPr>
        <w:ind w:left="1440" w:hanging="360"/>
      </w:pPr>
      <w:rPr>
        <w:rFonts w:ascii="Courier New" w:hAnsi="Courier New" w:hint="default"/>
      </w:rPr>
    </w:lvl>
    <w:lvl w:ilvl="2" w:tplc="0E3EACC2">
      <w:start w:val="1"/>
      <w:numFmt w:val="bullet"/>
      <w:lvlText w:val=""/>
      <w:lvlJc w:val="left"/>
      <w:pPr>
        <w:ind w:left="2160" w:hanging="360"/>
      </w:pPr>
      <w:rPr>
        <w:rFonts w:ascii="Wingdings" w:hAnsi="Wingdings" w:hint="default"/>
      </w:rPr>
    </w:lvl>
    <w:lvl w:ilvl="3" w:tplc="4072A866">
      <w:start w:val="1"/>
      <w:numFmt w:val="bullet"/>
      <w:lvlText w:val=""/>
      <w:lvlJc w:val="left"/>
      <w:pPr>
        <w:ind w:left="2880" w:hanging="360"/>
      </w:pPr>
      <w:rPr>
        <w:rFonts w:ascii="Symbol" w:hAnsi="Symbol" w:hint="default"/>
      </w:rPr>
    </w:lvl>
    <w:lvl w:ilvl="4" w:tplc="F9D0558A">
      <w:start w:val="1"/>
      <w:numFmt w:val="bullet"/>
      <w:lvlText w:val="o"/>
      <w:lvlJc w:val="left"/>
      <w:pPr>
        <w:ind w:left="3600" w:hanging="360"/>
      </w:pPr>
      <w:rPr>
        <w:rFonts w:ascii="Courier New" w:hAnsi="Courier New" w:hint="default"/>
      </w:rPr>
    </w:lvl>
    <w:lvl w:ilvl="5" w:tplc="02B8A4C2">
      <w:start w:val="1"/>
      <w:numFmt w:val="bullet"/>
      <w:lvlText w:val=""/>
      <w:lvlJc w:val="left"/>
      <w:pPr>
        <w:ind w:left="4320" w:hanging="360"/>
      </w:pPr>
      <w:rPr>
        <w:rFonts w:ascii="Wingdings" w:hAnsi="Wingdings" w:hint="default"/>
      </w:rPr>
    </w:lvl>
    <w:lvl w:ilvl="6" w:tplc="1794D618">
      <w:start w:val="1"/>
      <w:numFmt w:val="bullet"/>
      <w:lvlText w:val=""/>
      <w:lvlJc w:val="left"/>
      <w:pPr>
        <w:ind w:left="5040" w:hanging="360"/>
      </w:pPr>
      <w:rPr>
        <w:rFonts w:ascii="Symbol" w:hAnsi="Symbol" w:hint="default"/>
      </w:rPr>
    </w:lvl>
    <w:lvl w:ilvl="7" w:tplc="0CD21204">
      <w:start w:val="1"/>
      <w:numFmt w:val="bullet"/>
      <w:lvlText w:val="o"/>
      <w:lvlJc w:val="left"/>
      <w:pPr>
        <w:ind w:left="5760" w:hanging="360"/>
      </w:pPr>
      <w:rPr>
        <w:rFonts w:ascii="Courier New" w:hAnsi="Courier New" w:hint="default"/>
      </w:rPr>
    </w:lvl>
    <w:lvl w:ilvl="8" w:tplc="61EAEBEC">
      <w:start w:val="1"/>
      <w:numFmt w:val="bullet"/>
      <w:lvlText w:val=""/>
      <w:lvlJc w:val="left"/>
      <w:pPr>
        <w:ind w:left="6480" w:hanging="360"/>
      </w:pPr>
      <w:rPr>
        <w:rFonts w:ascii="Wingdings" w:hAnsi="Wingdings" w:hint="default"/>
      </w:rPr>
    </w:lvl>
  </w:abstractNum>
  <w:num w:numId="1" w16cid:durableId="44263541">
    <w:abstractNumId w:val="1"/>
  </w:num>
  <w:num w:numId="2" w16cid:durableId="1354915014">
    <w:abstractNumId w:val="2"/>
  </w:num>
  <w:num w:numId="3"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78"/>
    <w:rsid w:val="00003A6D"/>
    <w:rsid w:val="000041A9"/>
    <w:rsid w:val="00004C8C"/>
    <w:rsid w:val="000120E4"/>
    <w:rsid w:val="000210D4"/>
    <w:rsid w:val="0002545C"/>
    <w:rsid w:val="00036E48"/>
    <w:rsid w:val="000424B3"/>
    <w:rsid w:val="000525A1"/>
    <w:rsid w:val="00063016"/>
    <w:rsid w:val="00066795"/>
    <w:rsid w:val="00076AF6"/>
    <w:rsid w:val="00085CF2"/>
    <w:rsid w:val="00092547"/>
    <w:rsid w:val="000A1525"/>
    <w:rsid w:val="000B1705"/>
    <w:rsid w:val="000D75B2"/>
    <w:rsid w:val="000E0844"/>
    <w:rsid w:val="000E1C36"/>
    <w:rsid w:val="000E69C7"/>
    <w:rsid w:val="000F6AB8"/>
    <w:rsid w:val="00107808"/>
    <w:rsid w:val="001121F5"/>
    <w:rsid w:val="00130292"/>
    <w:rsid w:val="00130599"/>
    <w:rsid w:val="00131E18"/>
    <w:rsid w:val="001400DC"/>
    <w:rsid w:val="00140CE1"/>
    <w:rsid w:val="00147C54"/>
    <w:rsid w:val="0017539C"/>
    <w:rsid w:val="00175AC2"/>
    <w:rsid w:val="0017609F"/>
    <w:rsid w:val="001855A7"/>
    <w:rsid w:val="0019428B"/>
    <w:rsid w:val="001A07CA"/>
    <w:rsid w:val="001A0875"/>
    <w:rsid w:val="001A7D1D"/>
    <w:rsid w:val="001B0595"/>
    <w:rsid w:val="001B51DD"/>
    <w:rsid w:val="001C628E"/>
    <w:rsid w:val="001D62DF"/>
    <w:rsid w:val="001E0F7B"/>
    <w:rsid w:val="001E0FBE"/>
    <w:rsid w:val="001E5FE7"/>
    <w:rsid w:val="001F47D9"/>
    <w:rsid w:val="002000B2"/>
    <w:rsid w:val="002014E2"/>
    <w:rsid w:val="00205D4E"/>
    <w:rsid w:val="002119FD"/>
    <w:rsid w:val="002130E0"/>
    <w:rsid w:val="00213485"/>
    <w:rsid w:val="00227AAB"/>
    <w:rsid w:val="002426D3"/>
    <w:rsid w:val="00244F7F"/>
    <w:rsid w:val="00247985"/>
    <w:rsid w:val="00254BD3"/>
    <w:rsid w:val="0025570E"/>
    <w:rsid w:val="002608B7"/>
    <w:rsid w:val="00264425"/>
    <w:rsid w:val="00265875"/>
    <w:rsid w:val="0027303B"/>
    <w:rsid w:val="0028109B"/>
    <w:rsid w:val="002A1077"/>
    <w:rsid w:val="002A1121"/>
    <w:rsid w:val="002A2188"/>
    <w:rsid w:val="002B1F58"/>
    <w:rsid w:val="002C1C7A"/>
    <w:rsid w:val="002C54E2"/>
    <w:rsid w:val="002C54E3"/>
    <w:rsid w:val="002E0AC3"/>
    <w:rsid w:val="002E7A35"/>
    <w:rsid w:val="002F2D06"/>
    <w:rsid w:val="0030160F"/>
    <w:rsid w:val="00301AEE"/>
    <w:rsid w:val="003145DF"/>
    <w:rsid w:val="00320223"/>
    <w:rsid w:val="00322D0D"/>
    <w:rsid w:val="003368E0"/>
    <w:rsid w:val="00361465"/>
    <w:rsid w:val="003877F5"/>
    <w:rsid w:val="003942D4"/>
    <w:rsid w:val="00394FC3"/>
    <w:rsid w:val="0039514F"/>
    <w:rsid w:val="003958A8"/>
    <w:rsid w:val="003B29C2"/>
    <w:rsid w:val="003C20CA"/>
    <w:rsid w:val="003C2533"/>
    <w:rsid w:val="003D2E43"/>
    <w:rsid w:val="003D5A7F"/>
    <w:rsid w:val="003D635C"/>
    <w:rsid w:val="003D71D8"/>
    <w:rsid w:val="003E5EB3"/>
    <w:rsid w:val="004016E2"/>
    <w:rsid w:val="0040435A"/>
    <w:rsid w:val="00416A24"/>
    <w:rsid w:val="0042059E"/>
    <w:rsid w:val="004227FA"/>
    <w:rsid w:val="00430167"/>
    <w:rsid w:val="00431D9E"/>
    <w:rsid w:val="00433CE8"/>
    <w:rsid w:val="00434A5C"/>
    <w:rsid w:val="00442296"/>
    <w:rsid w:val="004544D9"/>
    <w:rsid w:val="00472BAD"/>
    <w:rsid w:val="00484009"/>
    <w:rsid w:val="00490E72"/>
    <w:rsid w:val="00491157"/>
    <w:rsid w:val="004921C8"/>
    <w:rsid w:val="00495B0B"/>
    <w:rsid w:val="004A1B8B"/>
    <w:rsid w:val="004A6D51"/>
    <w:rsid w:val="004B51C8"/>
    <w:rsid w:val="004C199D"/>
    <w:rsid w:val="004D1851"/>
    <w:rsid w:val="004D599D"/>
    <w:rsid w:val="004E06D1"/>
    <w:rsid w:val="004E257D"/>
    <w:rsid w:val="004E2EA5"/>
    <w:rsid w:val="004E3AEB"/>
    <w:rsid w:val="00500CA4"/>
    <w:rsid w:val="00501C21"/>
    <w:rsid w:val="0050223C"/>
    <w:rsid w:val="00507FAA"/>
    <w:rsid w:val="005170FD"/>
    <w:rsid w:val="005243FF"/>
    <w:rsid w:val="00524E9C"/>
    <w:rsid w:val="005311D6"/>
    <w:rsid w:val="00536422"/>
    <w:rsid w:val="0054526E"/>
    <w:rsid w:val="005536C2"/>
    <w:rsid w:val="00564FBC"/>
    <w:rsid w:val="005800BC"/>
    <w:rsid w:val="00582442"/>
    <w:rsid w:val="005954A4"/>
    <w:rsid w:val="005A2F16"/>
    <w:rsid w:val="005A335D"/>
    <w:rsid w:val="005B0869"/>
    <w:rsid w:val="005C13D4"/>
    <w:rsid w:val="005E2BD5"/>
    <w:rsid w:val="005E4F47"/>
    <w:rsid w:val="005F3269"/>
    <w:rsid w:val="00615961"/>
    <w:rsid w:val="00623AE3"/>
    <w:rsid w:val="006261F4"/>
    <w:rsid w:val="00645B44"/>
    <w:rsid w:val="006465E4"/>
    <w:rsid w:val="0064737F"/>
    <w:rsid w:val="00651D48"/>
    <w:rsid w:val="006535F1"/>
    <w:rsid w:val="006548E2"/>
    <w:rsid w:val="00655443"/>
    <w:rsid w:val="0065557D"/>
    <w:rsid w:val="00660D50"/>
    <w:rsid w:val="00662984"/>
    <w:rsid w:val="00662E60"/>
    <w:rsid w:val="00663050"/>
    <w:rsid w:val="006659EA"/>
    <w:rsid w:val="006716BB"/>
    <w:rsid w:val="006777D4"/>
    <w:rsid w:val="006973C8"/>
    <w:rsid w:val="006A4862"/>
    <w:rsid w:val="006A7CD3"/>
    <w:rsid w:val="006B1859"/>
    <w:rsid w:val="006B1C64"/>
    <w:rsid w:val="006B6680"/>
    <w:rsid w:val="006B6DCC"/>
    <w:rsid w:val="00701C70"/>
    <w:rsid w:val="00702DEF"/>
    <w:rsid w:val="00706861"/>
    <w:rsid w:val="007247CF"/>
    <w:rsid w:val="00726B8C"/>
    <w:rsid w:val="00727C44"/>
    <w:rsid w:val="0075051B"/>
    <w:rsid w:val="00754375"/>
    <w:rsid w:val="0077110E"/>
    <w:rsid w:val="00773C39"/>
    <w:rsid w:val="00775655"/>
    <w:rsid w:val="00776732"/>
    <w:rsid w:val="00780525"/>
    <w:rsid w:val="00782A4F"/>
    <w:rsid w:val="007849D5"/>
    <w:rsid w:val="00793188"/>
    <w:rsid w:val="00794D34"/>
    <w:rsid w:val="007A50D4"/>
    <w:rsid w:val="007C7F7E"/>
    <w:rsid w:val="007F19B9"/>
    <w:rsid w:val="00806E3C"/>
    <w:rsid w:val="00813E5E"/>
    <w:rsid w:val="00816C2C"/>
    <w:rsid w:val="0082286B"/>
    <w:rsid w:val="0083581B"/>
    <w:rsid w:val="00840221"/>
    <w:rsid w:val="00860EED"/>
    <w:rsid w:val="00863874"/>
    <w:rsid w:val="00864AFF"/>
    <w:rsid w:val="00865925"/>
    <w:rsid w:val="008734C9"/>
    <w:rsid w:val="00877BF2"/>
    <w:rsid w:val="00884F3A"/>
    <w:rsid w:val="00891503"/>
    <w:rsid w:val="008945D0"/>
    <w:rsid w:val="008A2F06"/>
    <w:rsid w:val="008B4A6A"/>
    <w:rsid w:val="008C3513"/>
    <w:rsid w:val="008C7E27"/>
    <w:rsid w:val="008E780B"/>
    <w:rsid w:val="008F2FC7"/>
    <w:rsid w:val="008F3822"/>
    <w:rsid w:val="008F557C"/>
    <w:rsid w:val="008F7448"/>
    <w:rsid w:val="0090147A"/>
    <w:rsid w:val="009030ED"/>
    <w:rsid w:val="0090389B"/>
    <w:rsid w:val="009173EF"/>
    <w:rsid w:val="00932906"/>
    <w:rsid w:val="00952ACF"/>
    <w:rsid w:val="00961860"/>
    <w:rsid w:val="00961B0B"/>
    <w:rsid w:val="00962D33"/>
    <w:rsid w:val="00966089"/>
    <w:rsid w:val="009A715F"/>
    <w:rsid w:val="009B38C3"/>
    <w:rsid w:val="009E17BD"/>
    <w:rsid w:val="009E485A"/>
    <w:rsid w:val="00A04CEC"/>
    <w:rsid w:val="00A27F92"/>
    <w:rsid w:val="00A32257"/>
    <w:rsid w:val="00A36D20"/>
    <w:rsid w:val="00A43C03"/>
    <w:rsid w:val="00A46CD0"/>
    <w:rsid w:val="00A514A4"/>
    <w:rsid w:val="00A52C84"/>
    <w:rsid w:val="00A54964"/>
    <w:rsid w:val="00A55622"/>
    <w:rsid w:val="00A83502"/>
    <w:rsid w:val="00A923CC"/>
    <w:rsid w:val="00AC4D6E"/>
    <w:rsid w:val="00AD15B3"/>
    <w:rsid w:val="00AD3606"/>
    <w:rsid w:val="00AD4A3D"/>
    <w:rsid w:val="00AF6E49"/>
    <w:rsid w:val="00B04A67"/>
    <w:rsid w:val="00B0583C"/>
    <w:rsid w:val="00B179E5"/>
    <w:rsid w:val="00B248BC"/>
    <w:rsid w:val="00B32C21"/>
    <w:rsid w:val="00B358B2"/>
    <w:rsid w:val="00B40A81"/>
    <w:rsid w:val="00B44910"/>
    <w:rsid w:val="00B72267"/>
    <w:rsid w:val="00B73DD1"/>
    <w:rsid w:val="00B76EB6"/>
    <w:rsid w:val="00B7737B"/>
    <w:rsid w:val="00B824C8"/>
    <w:rsid w:val="00B849D3"/>
    <w:rsid w:val="00B84B9D"/>
    <w:rsid w:val="00BA3A51"/>
    <w:rsid w:val="00BC251A"/>
    <w:rsid w:val="00BC4412"/>
    <w:rsid w:val="00BD032B"/>
    <w:rsid w:val="00BD0614"/>
    <w:rsid w:val="00BD094B"/>
    <w:rsid w:val="00BD3284"/>
    <w:rsid w:val="00BE2640"/>
    <w:rsid w:val="00C01189"/>
    <w:rsid w:val="00C374DE"/>
    <w:rsid w:val="00C377C1"/>
    <w:rsid w:val="00C47AD4"/>
    <w:rsid w:val="00C52D81"/>
    <w:rsid w:val="00C55198"/>
    <w:rsid w:val="00C61388"/>
    <w:rsid w:val="00C62B9D"/>
    <w:rsid w:val="00C725C6"/>
    <w:rsid w:val="00C878C4"/>
    <w:rsid w:val="00C922C7"/>
    <w:rsid w:val="00CA6393"/>
    <w:rsid w:val="00CB18FF"/>
    <w:rsid w:val="00CB24AA"/>
    <w:rsid w:val="00CD0C08"/>
    <w:rsid w:val="00CD3C91"/>
    <w:rsid w:val="00CE03FB"/>
    <w:rsid w:val="00CE3C63"/>
    <w:rsid w:val="00CE433C"/>
    <w:rsid w:val="00CF0161"/>
    <w:rsid w:val="00CF33F3"/>
    <w:rsid w:val="00D06183"/>
    <w:rsid w:val="00D143DF"/>
    <w:rsid w:val="00D22C42"/>
    <w:rsid w:val="00D2606E"/>
    <w:rsid w:val="00D31A30"/>
    <w:rsid w:val="00D33078"/>
    <w:rsid w:val="00D45669"/>
    <w:rsid w:val="00D464CC"/>
    <w:rsid w:val="00D522F6"/>
    <w:rsid w:val="00D6229A"/>
    <w:rsid w:val="00D65041"/>
    <w:rsid w:val="00D67039"/>
    <w:rsid w:val="00D86E6C"/>
    <w:rsid w:val="00D95183"/>
    <w:rsid w:val="00DB00D5"/>
    <w:rsid w:val="00DB1936"/>
    <w:rsid w:val="00DB384B"/>
    <w:rsid w:val="00DD4F38"/>
    <w:rsid w:val="00DF0189"/>
    <w:rsid w:val="00E06FD5"/>
    <w:rsid w:val="00E10E80"/>
    <w:rsid w:val="00E1203B"/>
    <w:rsid w:val="00E124F0"/>
    <w:rsid w:val="00E17F14"/>
    <w:rsid w:val="00E227F3"/>
    <w:rsid w:val="00E4728B"/>
    <w:rsid w:val="00E545C6"/>
    <w:rsid w:val="00E60F04"/>
    <w:rsid w:val="00E63EFF"/>
    <w:rsid w:val="00E65B24"/>
    <w:rsid w:val="00E7016D"/>
    <w:rsid w:val="00E854E4"/>
    <w:rsid w:val="00E85B67"/>
    <w:rsid w:val="00E86DBF"/>
    <w:rsid w:val="00EB0D6F"/>
    <w:rsid w:val="00EB2232"/>
    <w:rsid w:val="00EB2E4D"/>
    <w:rsid w:val="00EC5337"/>
    <w:rsid w:val="00EC7C07"/>
    <w:rsid w:val="00ED412C"/>
    <w:rsid w:val="00EE49E8"/>
    <w:rsid w:val="00EF20B2"/>
    <w:rsid w:val="00EF7726"/>
    <w:rsid w:val="00F03C82"/>
    <w:rsid w:val="00F10B59"/>
    <w:rsid w:val="00F16BAB"/>
    <w:rsid w:val="00F2150A"/>
    <w:rsid w:val="00F231D8"/>
    <w:rsid w:val="00F37DE6"/>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C255B"/>
    <w:rsid w:val="00FE3F73"/>
    <w:rsid w:val="00FE4077"/>
    <w:rsid w:val="00FE500D"/>
    <w:rsid w:val="00FE77D2"/>
    <w:rsid w:val="019C4DDD"/>
    <w:rsid w:val="01A98974"/>
    <w:rsid w:val="02D2D51E"/>
    <w:rsid w:val="042107FA"/>
    <w:rsid w:val="0453AA2D"/>
    <w:rsid w:val="0467A296"/>
    <w:rsid w:val="04BD6938"/>
    <w:rsid w:val="04F8FA11"/>
    <w:rsid w:val="0502C833"/>
    <w:rsid w:val="0599DD63"/>
    <w:rsid w:val="0633BCEC"/>
    <w:rsid w:val="0687F1E1"/>
    <w:rsid w:val="074B1E9A"/>
    <w:rsid w:val="0754DE3E"/>
    <w:rsid w:val="079201B3"/>
    <w:rsid w:val="079565E1"/>
    <w:rsid w:val="07AEB3B4"/>
    <w:rsid w:val="0892D79E"/>
    <w:rsid w:val="097EF8FF"/>
    <w:rsid w:val="0985B132"/>
    <w:rsid w:val="0A3B570B"/>
    <w:rsid w:val="0A414FEA"/>
    <w:rsid w:val="0A87877B"/>
    <w:rsid w:val="0AC01897"/>
    <w:rsid w:val="0AD13754"/>
    <w:rsid w:val="0BEE3DDD"/>
    <w:rsid w:val="0BEFC6B9"/>
    <w:rsid w:val="0D005991"/>
    <w:rsid w:val="0D1F7AA0"/>
    <w:rsid w:val="0E2F4B23"/>
    <w:rsid w:val="0E4F7F75"/>
    <w:rsid w:val="0E770405"/>
    <w:rsid w:val="0F10D9D1"/>
    <w:rsid w:val="0F5FE866"/>
    <w:rsid w:val="0F7011AE"/>
    <w:rsid w:val="10234FE9"/>
    <w:rsid w:val="10515B88"/>
    <w:rsid w:val="10591631"/>
    <w:rsid w:val="1174A45E"/>
    <w:rsid w:val="1217813A"/>
    <w:rsid w:val="12B15A64"/>
    <w:rsid w:val="13477F7C"/>
    <w:rsid w:val="13616EDE"/>
    <w:rsid w:val="13F988B1"/>
    <w:rsid w:val="144384C8"/>
    <w:rsid w:val="14708366"/>
    <w:rsid w:val="160EE174"/>
    <w:rsid w:val="1660A6FD"/>
    <w:rsid w:val="1670C11B"/>
    <w:rsid w:val="180B8A89"/>
    <w:rsid w:val="1892A89D"/>
    <w:rsid w:val="18BAB9CE"/>
    <w:rsid w:val="18D7946F"/>
    <w:rsid w:val="1936DA9D"/>
    <w:rsid w:val="195D8FB3"/>
    <w:rsid w:val="198B9F3D"/>
    <w:rsid w:val="19F28D3F"/>
    <w:rsid w:val="1A24FCF1"/>
    <w:rsid w:val="1B1366CF"/>
    <w:rsid w:val="1B394FC5"/>
    <w:rsid w:val="1C1CD683"/>
    <w:rsid w:val="1C5A6F5D"/>
    <w:rsid w:val="1CAA24DE"/>
    <w:rsid w:val="1D2C54D3"/>
    <w:rsid w:val="1EA3E56E"/>
    <w:rsid w:val="1EB05079"/>
    <w:rsid w:val="1EFC073A"/>
    <w:rsid w:val="1F499333"/>
    <w:rsid w:val="1FD159FB"/>
    <w:rsid w:val="1FD5BF53"/>
    <w:rsid w:val="20F349E8"/>
    <w:rsid w:val="21CDA6F9"/>
    <w:rsid w:val="21E1B6B8"/>
    <w:rsid w:val="225B0105"/>
    <w:rsid w:val="22EEB5DE"/>
    <w:rsid w:val="2333EBF6"/>
    <w:rsid w:val="23B812F8"/>
    <w:rsid w:val="23DD88FB"/>
    <w:rsid w:val="25112481"/>
    <w:rsid w:val="25B09F52"/>
    <w:rsid w:val="26F12E8F"/>
    <w:rsid w:val="27F39C94"/>
    <w:rsid w:val="2AC0F2E0"/>
    <w:rsid w:val="2B7A2B98"/>
    <w:rsid w:val="2D3F6ACD"/>
    <w:rsid w:val="2D6884DC"/>
    <w:rsid w:val="2D6C382A"/>
    <w:rsid w:val="2DBC49D6"/>
    <w:rsid w:val="2E4B6866"/>
    <w:rsid w:val="2E79345F"/>
    <w:rsid w:val="2E80D483"/>
    <w:rsid w:val="2EF9B63B"/>
    <w:rsid w:val="2F4BEFB4"/>
    <w:rsid w:val="2F7BD34A"/>
    <w:rsid w:val="2FFEAE14"/>
    <w:rsid w:val="301F1061"/>
    <w:rsid w:val="3080C818"/>
    <w:rsid w:val="30839397"/>
    <w:rsid w:val="3108C782"/>
    <w:rsid w:val="312BA2A1"/>
    <w:rsid w:val="312BE25B"/>
    <w:rsid w:val="315EDB3A"/>
    <w:rsid w:val="322AD128"/>
    <w:rsid w:val="32D72944"/>
    <w:rsid w:val="331E8BD4"/>
    <w:rsid w:val="33912535"/>
    <w:rsid w:val="34924A48"/>
    <w:rsid w:val="34D37ABE"/>
    <w:rsid w:val="35653C85"/>
    <w:rsid w:val="362C99AB"/>
    <w:rsid w:val="365B7FF7"/>
    <w:rsid w:val="36CA0A17"/>
    <w:rsid w:val="375681BF"/>
    <w:rsid w:val="379BFF63"/>
    <w:rsid w:val="37F12230"/>
    <w:rsid w:val="3860093E"/>
    <w:rsid w:val="3A2771D0"/>
    <w:rsid w:val="3A4FBAC8"/>
    <w:rsid w:val="3AFEB066"/>
    <w:rsid w:val="3BFEBDE4"/>
    <w:rsid w:val="3C06289D"/>
    <w:rsid w:val="3C575508"/>
    <w:rsid w:val="3CA18D20"/>
    <w:rsid w:val="3CA9BD7D"/>
    <w:rsid w:val="3CC046B6"/>
    <w:rsid w:val="3CC7D048"/>
    <w:rsid w:val="3D3A97EF"/>
    <w:rsid w:val="3D6DDF7A"/>
    <w:rsid w:val="3DEF9082"/>
    <w:rsid w:val="3E333B86"/>
    <w:rsid w:val="3F53F079"/>
    <w:rsid w:val="40155BCE"/>
    <w:rsid w:val="4037C9D4"/>
    <w:rsid w:val="403BD548"/>
    <w:rsid w:val="406087DA"/>
    <w:rsid w:val="406DE26A"/>
    <w:rsid w:val="4088155A"/>
    <w:rsid w:val="40A28B14"/>
    <w:rsid w:val="412F8A86"/>
    <w:rsid w:val="426AFA2F"/>
    <w:rsid w:val="42CB85D3"/>
    <w:rsid w:val="437912F6"/>
    <w:rsid w:val="43DA1E62"/>
    <w:rsid w:val="4415B6E5"/>
    <w:rsid w:val="442824E2"/>
    <w:rsid w:val="44AB1AEF"/>
    <w:rsid w:val="450F9BC1"/>
    <w:rsid w:val="452B4B53"/>
    <w:rsid w:val="453728A8"/>
    <w:rsid w:val="456821B6"/>
    <w:rsid w:val="45B14CDC"/>
    <w:rsid w:val="45D3A286"/>
    <w:rsid w:val="4676ED35"/>
    <w:rsid w:val="4771AD15"/>
    <w:rsid w:val="4786D8BB"/>
    <w:rsid w:val="47AE5E83"/>
    <w:rsid w:val="480ED185"/>
    <w:rsid w:val="4861FE1B"/>
    <w:rsid w:val="48DB9F1C"/>
    <w:rsid w:val="48E364DC"/>
    <w:rsid w:val="49083F99"/>
    <w:rsid w:val="4A2BCE30"/>
    <w:rsid w:val="4B726C9A"/>
    <w:rsid w:val="4C2DDD71"/>
    <w:rsid w:val="4C4DB956"/>
    <w:rsid w:val="4C5D05CF"/>
    <w:rsid w:val="4D3000E9"/>
    <w:rsid w:val="4D61ABD6"/>
    <w:rsid w:val="4DA8A450"/>
    <w:rsid w:val="4FCE5658"/>
    <w:rsid w:val="501310A4"/>
    <w:rsid w:val="50283EF3"/>
    <w:rsid w:val="5058C256"/>
    <w:rsid w:val="505A4F77"/>
    <w:rsid w:val="51297303"/>
    <w:rsid w:val="51887DA6"/>
    <w:rsid w:val="51A34F1F"/>
    <w:rsid w:val="51B6CDDA"/>
    <w:rsid w:val="51C4C593"/>
    <w:rsid w:val="520D1EC9"/>
    <w:rsid w:val="5258A810"/>
    <w:rsid w:val="53994B22"/>
    <w:rsid w:val="53D0423D"/>
    <w:rsid w:val="5464AABF"/>
    <w:rsid w:val="549F7D96"/>
    <w:rsid w:val="5527B95F"/>
    <w:rsid w:val="55D9CB1C"/>
    <w:rsid w:val="568C1824"/>
    <w:rsid w:val="56D6FCF0"/>
    <w:rsid w:val="5742A6A7"/>
    <w:rsid w:val="5774E506"/>
    <w:rsid w:val="57CF1703"/>
    <w:rsid w:val="57DDDA30"/>
    <w:rsid w:val="57F92B1C"/>
    <w:rsid w:val="57FF0CF2"/>
    <w:rsid w:val="58071BA8"/>
    <w:rsid w:val="5825BD93"/>
    <w:rsid w:val="582CC94E"/>
    <w:rsid w:val="584B5127"/>
    <w:rsid w:val="58B73F8A"/>
    <w:rsid w:val="58D13941"/>
    <w:rsid w:val="58FD9971"/>
    <w:rsid w:val="5A4BB7A8"/>
    <w:rsid w:val="5AC32B09"/>
    <w:rsid w:val="5B2E6B75"/>
    <w:rsid w:val="5B5EC74D"/>
    <w:rsid w:val="5B89934A"/>
    <w:rsid w:val="5BB6377F"/>
    <w:rsid w:val="5BC924A6"/>
    <w:rsid w:val="5CF2D898"/>
    <w:rsid w:val="5D63262A"/>
    <w:rsid w:val="5D97AE25"/>
    <w:rsid w:val="5E56E50E"/>
    <w:rsid w:val="5EC8E42E"/>
    <w:rsid w:val="5F5B306D"/>
    <w:rsid w:val="608D1366"/>
    <w:rsid w:val="609B17B2"/>
    <w:rsid w:val="614FDFF6"/>
    <w:rsid w:val="63638676"/>
    <w:rsid w:val="63FDB259"/>
    <w:rsid w:val="641FF25F"/>
    <w:rsid w:val="64ADEA98"/>
    <w:rsid w:val="65E3DA15"/>
    <w:rsid w:val="65F76139"/>
    <w:rsid w:val="67270356"/>
    <w:rsid w:val="67FB26BB"/>
    <w:rsid w:val="68D179DE"/>
    <w:rsid w:val="68D23126"/>
    <w:rsid w:val="69E11EC3"/>
    <w:rsid w:val="69FF3FB2"/>
    <w:rsid w:val="6B3FF96C"/>
    <w:rsid w:val="6BB18A56"/>
    <w:rsid w:val="6C014CD6"/>
    <w:rsid w:val="6C697CBF"/>
    <w:rsid w:val="6C8346E5"/>
    <w:rsid w:val="6D819840"/>
    <w:rsid w:val="6E2BBE9F"/>
    <w:rsid w:val="6F5C0EF6"/>
    <w:rsid w:val="6FA55AB6"/>
    <w:rsid w:val="70430943"/>
    <w:rsid w:val="7083EBA9"/>
    <w:rsid w:val="71050512"/>
    <w:rsid w:val="71128708"/>
    <w:rsid w:val="71449FEE"/>
    <w:rsid w:val="7144BF75"/>
    <w:rsid w:val="717655A3"/>
    <w:rsid w:val="720B7571"/>
    <w:rsid w:val="726967CD"/>
    <w:rsid w:val="727B7359"/>
    <w:rsid w:val="73B2AC93"/>
    <w:rsid w:val="73B96E98"/>
    <w:rsid w:val="73E1904D"/>
    <w:rsid w:val="7455DC0F"/>
    <w:rsid w:val="7469ED7B"/>
    <w:rsid w:val="75D1D536"/>
    <w:rsid w:val="75E238CF"/>
    <w:rsid w:val="768AF88F"/>
    <w:rsid w:val="76E7D6AE"/>
    <w:rsid w:val="774948A0"/>
    <w:rsid w:val="775F9563"/>
    <w:rsid w:val="78C2C984"/>
    <w:rsid w:val="7946975F"/>
    <w:rsid w:val="7A068452"/>
    <w:rsid w:val="7A0BA024"/>
    <w:rsid w:val="7B2E3473"/>
    <w:rsid w:val="7B700C9D"/>
    <w:rsid w:val="7C2DCABB"/>
    <w:rsid w:val="7C82F098"/>
    <w:rsid w:val="7D4A03A7"/>
    <w:rsid w:val="7D55D461"/>
    <w:rsid w:val="7EBAE23E"/>
    <w:rsid w:val="7F6B96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BE7D1"/>
  <w15:docId w15:val="{B892D221-41E4-4FB5-8C4B-762AD301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55443"/>
    <w:rPr>
      <w:color w:val="666666"/>
    </w:rPr>
  </w:style>
  <w:style w:type="paragraph" w:customStyle="1" w:styleId="Reasons">
    <w:name w:val="Reasons"/>
    <w:basedOn w:val="Normal"/>
    <w:qFormat/>
    <w:rsid w:val="006A7CD3"/>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Revision">
    <w:name w:val="Revision"/>
    <w:hidden/>
    <w:uiPriority w:val="99"/>
    <w:semiHidden/>
    <w:rsid w:val="00430167"/>
    <w:rPr>
      <w:rFonts w:ascii="Calibri" w:hAnsi="Calibri"/>
      <w:sz w:val="24"/>
      <w:lang w:val="en-GB" w:eastAsia="en-US"/>
    </w:rPr>
  </w:style>
  <w:style w:type="character" w:styleId="CommentReference">
    <w:name w:val="annotation reference"/>
    <w:basedOn w:val="DefaultParagraphFont"/>
    <w:semiHidden/>
    <w:unhideWhenUsed/>
    <w:rsid w:val="002E7A35"/>
    <w:rPr>
      <w:sz w:val="16"/>
      <w:szCs w:val="16"/>
    </w:rPr>
  </w:style>
  <w:style w:type="paragraph" w:styleId="CommentText">
    <w:name w:val="annotation text"/>
    <w:basedOn w:val="Normal"/>
    <w:link w:val="CommentTextChar"/>
    <w:unhideWhenUsed/>
    <w:rsid w:val="002E7A35"/>
    <w:rPr>
      <w:sz w:val="20"/>
    </w:rPr>
  </w:style>
  <w:style w:type="character" w:customStyle="1" w:styleId="CommentTextChar">
    <w:name w:val="Comment Text Char"/>
    <w:basedOn w:val="DefaultParagraphFont"/>
    <w:link w:val="CommentText"/>
    <w:rsid w:val="002E7A35"/>
    <w:rPr>
      <w:rFonts w:ascii="Calibri" w:hAnsi="Calibri"/>
      <w:lang w:val="en-GB" w:eastAsia="en-US"/>
    </w:rPr>
  </w:style>
  <w:style w:type="paragraph" w:styleId="CommentSubject">
    <w:name w:val="annotation subject"/>
    <w:basedOn w:val="CommentText"/>
    <w:next w:val="CommentText"/>
    <w:link w:val="CommentSubjectChar"/>
    <w:semiHidden/>
    <w:unhideWhenUsed/>
    <w:rsid w:val="002E7A35"/>
    <w:rPr>
      <w:b/>
      <w:bCs/>
    </w:rPr>
  </w:style>
  <w:style w:type="character" w:customStyle="1" w:styleId="CommentSubjectChar">
    <w:name w:val="Comment Subject Char"/>
    <w:basedOn w:val="CommentTextChar"/>
    <w:link w:val="CommentSubject"/>
    <w:semiHidden/>
    <w:rsid w:val="002E7A3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1806">
      <w:bodyDiv w:val="1"/>
      <w:marLeft w:val="0"/>
      <w:marRight w:val="0"/>
      <w:marTop w:val="0"/>
      <w:marBottom w:val="0"/>
      <w:divBdr>
        <w:top w:val="none" w:sz="0" w:space="0" w:color="auto"/>
        <w:left w:val="none" w:sz="0" w:space="0" w:color="auto"/>
        <w:bottom w:val="none" w:sz="0" w:space="0" w:color="auto"/>
        <w:right w:val="none" w:sz="0" w:space="0" w:color="auto"/>
      </w:divBdr>
    </w:div>
    <w:div w:id="414714864">
      <w:bodyDiv w:val="1"/>
      <w:marLeft w:val="0"/>
      <w:marRight w:val="0"/>
      <w:marTop w:val="0"/>
      <w:marBottom w:val="0"/>
      <w:divBdr>
        <w:top w:val="none" w:sz="0" w:space="0" w:color="auto"/>
        <w:left w:val="none" w:sz="0" w:space="0" w:color="auto"/>
        <w:bottom w:val="none" w:sz="0" w:space="0" w:color="auto"/>
        <w:right w:val="none" w:sz="0" w:space="0" w:color="auto"/>
      </w:divBdr>
    </w:div>
    <w:div w:id="910046843">
      <w:bodyDiv w:val="1"/>
      <w:marLeft w:val="0"/>
      <w:marRight w:val="0"/>
      <w:marTop w:val="0"/>
      <w:marBottom w:val="0"/>
      <w:divBdr>
        <w:top w:val="none" w:sz="0" w:space="0" w:color="auto"/>
        <w:left w:val="none" w:sz="0" w:space="0" w:color="auto"/>
        <w:bottom w:val="none" w:sz="0" w:space="0" w:color="auto"/>
        <w:right w:val="none" w:sz="0" w:space="0" w:color="auto"/>
      </w:divBdr>
    </w:div>
    <w:div w:id="911353532">
      <w:bodyDiv w:val="1"/>
      <w:marLeft w:val="0"/>
      <w:marRight w:val="0"/>
      <w:marTop w:val="0"/>
      <w:marBottom w:val="0"/>
      <w:divBdr>
        <w:top w:val="none" w:sz="0" w:space="0" w:color="auto"/>
        <w:left w:val="none" w:sz="0" w:space="0" w:color="auto"/>
        <w:bottom w:val="none" w:sz="0" w:space="0" w:color="auto"/>
        <w:right w:val="none" w:sz="0" w:space="0" w:color="auto"/>
      </w:divBdr>
    </w:div>
    <w:div w:id="1365322955">
      <w:bodyDiv w:val="1"/>
      <w:marLeft w:val="0"/>
      <w:marRight w:val="0"/>
      <w:marTop w:val="0"/>
      <w:marBottom w:val="0"/>
      <w:divBdr>
        <w:top w:val="none" w:sz="0" w:space="0" w:color="auto"/>
        <w:left w:val="none" w:sz="0" w:space="0" w:color="auto"/>
        <w:bottom w:val="none" w:sz="0" w:space="0" w:color="auto"/>
        <w:right w:val="none" w:sz="0" w:space="0" w:color="auto"/>
      </w:divBdr>
    </w:div>
    <w:div w:id="20936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29/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WGFHR20-C-002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35/e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EG3DEC482-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5C17EF73F9643B81E11DB966DE0DA" ma:contentTypeVersion="14" ma:contentTypeDescription="Create a new document." ma:contentTypeScope="" ma:versionID="262824814035fef844c812a4340dd799">
  <xsd:schema xmlns:xsd="http://www.w3.org/2001/XMLSchema" xmlns:xs="http://www.w3.org/2001/XMLSchema" xmlns:p="http://schemas.microsoft.com/office/2006/metadata/properties" xmlns:ns2="e88f316e-9521-42b8-8fc0-9c15585c2144" xmlns:ns3="593c9ae7-bd31-4168-9806-d66902737414" targetNamespace="http://schemas.microsoft.com/office/2006/metadata/properties" ma:root="true" ma:fieldsID="03111d9966933bc56e01f095ced71d9e" ns2:_="" ns3:_="">
    <xsd:import namespace="e88f316e-9521-42b8-8fc0-9c15585c2144"/>
    <xsd:import namespace="593c9ae7-bd31-4168-9806-d669027374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f316e-9521-42b8-8fc0-9c15585c2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a670f1-2d1a-44a5-b7ef-04c294997d80}" ma:internalName="TaxCatchAll" ma:showField="CatchAllData" ma:web="e88f316e-9521-42b8-8fc0-9c15585c2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c9ae7-bd31-4168-9806-d669027374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11d38c-949c-4b3b-939f-49dd692953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c9ae7-bd31-4168-9806-d66902737414">
      <Terms xmlns="http://schemas.microsoft.com/office/infopath/2007/PartnerControls"/>
    </lcf76f155ced4ddcb4097134ff3c332f>
    <TaxCatchAll xmlns="e88f316e-9521-42b8-8fc0-9c15585c2144" xsi:nil="true"/>
  </documentManagement>
</p:properties>
</file>

<file path=customXml/itemProps1.xml><?xml version="1.0" encoding="utf-8"?>
<ds:datastoreItem xmlns:ds="http://schemas.openxmlformats.org/officeDocument/2006/customXml" ds:itemID="{591CA6EB-5FA1-4FCA-AEA7-4984DAC7CD3C}">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97D473BB-8FFB-4EBF-A6E0-A458FD94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f316e-9521-42b8-8fc0-9c15585c2144"/>
    <ds:schemaRef ds:uri="593c9ae7-bd31-4168-9806-d66902737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060EE-4DE0-4ED9-A3A1-B2D43A0133C6}">
  <ds:schemaRef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593c9ae7-bd31-4168-9806-d66902737414"/>
    <ds:schemaRef ds:uri="e88f316e-9521-42b8-8fc0-9c15585c2144"/>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965</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GSOA - Consideration of possible revisions to Decision 482</dc:title>
  <dc:subject>ITU Expert Group on Decision 482</dc:subject>
  <dc:creator>LRT</dc:creator>
  <cp:keywords>EG-DEC482</cp:keywords>
  <dc:description/>
  <cp:lastModifiedBy>GBS</cp:lastModifiedBy>
  <cp:revision>4</cp:revision>
  <dcterms:created xsi:type="dcterms:W3CDTF">2025-03-31T06:02:00Z</dcterms:created>
  <dcterms:modified xsi:type="dcterms:W3CDTF">2025-03-31T06:11:00Z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0bfe53ae5dde18dfe565619156026bc7c6184d2cd5636ca9a0970c65d5acb47c</vt:lpwstr>
  </property>
  <property fmtid="{D5CDD505-2E9C-101B-9397-08002B2CF9AE}" pid="3" name="ContentTypeId">
    <vt:lpwstr>0x010100A435C17EF73F9643B81E11DB966DE0DA</vt:lpwstr>
  </property>
  <property fmtid="{D5CDD505-2E9C-101B-9397-08002B2CF9AE}" pid="4" name="MediaServiceImageTags">
    <vt:lpwstr/>
  </property>
</Properties>
</file>