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EC61D7" w14:paraId="5A8619D3" w14:textId="77777777">
        <w:trPr>
          <w:cantSplit/>
          <w:trHeight w:val="23"/>
        </w:trPr>
        <w:tc>
          <w:tcPr>
            <w:tcW w:w="3969" w:type="dxa"/>
            <w:vMerge w:val="restart"/>
            <w:tcMar>
              <w:left w:w="0" w:type="dxa"/>
            </w:tcMar>
          </w:tcPr>
          <w:p w14:paraId="3B50429A" w14:textId="77777777" w:rsidR="00EC61D7" w:rsidRDefault="00EC61D7">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2370"/>
            <w:bookmarkStart w:id="4" w:name="_Hlk133586559"/>
            <w:bookmarkStart w:id="5" w:name="_Hlk133421856"/>
          </w:p>
        </w:tc>
        <w:tc>
          <w:tcPr>
            <w:tcW w:w="5245" w:type="dxa"/>
          </w:tcPr>
          <w:p w14:paraId="1117D654" w14:textId="65A434DD" w:rsidR="00EC61D7" w:rsidRDefault="00DF2EA9">
            <w:pPr>
              <w:tabs>
                <w:tab w:val="left" w:pos="851"/>
              </w:tabs>
              <w:spacing w:before="0" w:line="240" w:lineRule="atLeast"/>
              <w:jc w:val="right"/>
              <w:rPr>
                <w:b/>
                <w:lang w:val="fr-FR"/>
              </w:rPr>
            </w:pPr>
            <w:r>
              <w:rPr>
                <w:b/>
                <w:lang w:val="fr-CH"/>
              </w:rPr>
              <w:t>Document EG-DEC482-4</w:t>
            </w:r>
            <w:r>
              <w:rPr>
                <w:b/>
                <w:lang w:val="fr-FR"/>
              </w:rPr>
              <w:t>/</w:t>
            </w:r>
            <w:r w:rsidR="00507C71">
              <w:rPr>
                <w:b/>
                <w:lang w:val="fr-FR"/>
              </w:rPr>
              <w:t>2</w:t>
            </w:r>
          </w:p>
        </w:tc>
      </w:tr>
      <w:tr w:rsidR="00EC61D7" w14:paraId="605663D1" w14:textId="77777777">
        <w:trPr>
          <w:cantSplit/>
        </w:trPr>
        <w:tc>
          <w:tcPr>
            <w:tcW w:w="3969" w:type="dxa"/>
            <w:vMerge/>
          </w:tcPr>
          <w:p w14:paraId="65998E2A" w14:textId="77777777" w:rsidR="00EC61D7" w:rsidRDefault="00EC61D7">
            <w:pPr>
              <w:tabs>
                <w:tab w:val="left" w:pos="851"/>
              </w:tabs>
              <w:spacing w:line="240" w:lineRule="atLeast"/>
              <w:rPr>
                <w:b/>
                <w:lang w:val="fr-FR"/>
              </w:rPr>
            </w:pPr>
            <w:bookmarkStart w:id="6" w:name="ddate" w:colFirst="1" w:colLast="1"/>
            <w:bookmarkEnd w:id="0"/>
            <w:bookmarkEnd w:id="1"/>
          </w:p>
        </w:tc>
        <w:tc>
          <w:tcPr>
            <w:tcW w:w="5245" w:type="dxa"/>
          </w:tcPr>
          <w:p w14:paraId="4EEFCB48" w14:textId="77777777" w:rsidR="00EC61D7" w:rsidRDefault="00DF2EA9">
            <w:pPr>
              <w:tabs>
                <w:tab w:val="left" w:pos="851"/>
              </w:tabs>
              <w:spacing w:before="0"/>
              <w:jc w:val="right"/>
              <w:rPr>
                <w:b/>
              </w:rPr>
            </w:pPr>
            <w:r>
              <w:rPr>
                <w:b/>
              </w:rPr>
              <w:t>28 March 2025</w:t>
            </w:r>
          </w:p>
        </w:tc>
      </w:tr>
      <w:tr w:rsidR="00EC61D7" w14:paraId="65A8D4CF" w14:textId="77777777">
        <w:trPr>
          <w:cantSplit/>
          <w:trHeight w:val="23"/>
        </w:trPr>
        <w:tc>
          <w:tcPr>
            <w:tcW w:w="3969" w:type="dxa"/>
            <w:vMerge/>
          </w:tcPr>
          <w:p w14:paraId="6D4040E2" w14:textId="77777777" w:rsidR="00EC61D7" w:rsidRDefault="00EC61D7">
            <w:pPr>
              <w:tabs>
                <w:tab w:val="left" w:pos="851"/>
              </w:tabs>
              <w:spacing w:line="240" w:lineRule="atLeast"/>
              <w:rPr>
                <w:b/>
              </w:rPr>
            </w:pPr>
            <w:bookmarkStart w:id="7" w:name="dorlang" w:colFirst="1" w:colLast="1"/>
            <w:bookmarkEnd w:id="6"/>
          </w:p>
        </w:tc>
        <w:tc>
          <w:tcPr>
            <w:tcW w:w="5245" w:type="dxa"/>
          </w:tcPr>
          <w:p w14:paraId="550616E3" w14:textId="77777777" w:rsidR="00EC61D7" w:rsidRDefault="00DF2EA9">
            <w:pPr>
              <w:tabs>
                <w:tab w:val="left" w:pos="851"/>
              </w:tabs>
              <w:spacing w:before="0" w:line="240" w:lineRule="atLeast"/>
              <w:jc w:val="right"/>
              <w:rPr>
                <w:b/>
              </w:rPr>
            </w:pPr>
            <w:r>
              <w:rPr>
                <w:b/>
              </w:rPr>
              <w:t>English only</w:t>
            </w:r>
          </w:p>
        </w:tc>
      </w:tr>
      <w:tr w:rsidR="00EC61D7" w14:paraId="311124D9" w14:textId="77777777">
        <w:trPr>
          <w:cantSplit/>
          <w:trHeight w:val="23"/>
        </w:trPr>
        <w:tc>
          <w:tcPr>
            <w:tcW w:w="3969" w:type="dxa"/>
          </w:tcPr>
          <w:p w14:paraId="18F8FAF1" w14:textId="77777777" w:rsidR="00EC61D7" w:rsidRDefault="00EC61D7">
            <w:pPr>
              <w:tabs>
                <w:tab w:val="left" w:pos="851"/>
              </w:tabs>
              <w:spacing w:line="240" w:lineRule="atLeast"/>
              <w:rPr>
                <w:b/>
              </w:rPr>
            </w:pPr>
          </w:p>
        </w:tc>
        <w:tc>
          <w:tcPr>
            <w:tcW w:w="5245" w:type="dxa"/>
          </w:tcPr>
          <w:p w14:paraId="22BFBF0D" w14:textId="77777777" w:rsidR="00EC61D7" w:rsidRDefault="00EC61D7">
            <w:pPr>
              <w:tabs>
                <w:tab w:val="left" w:pos="851"/>
              </w:tabs>
              <w:spacing w:before="0" w:line="240" w:lineRule="atLeast"/>
              <w:jc w:val="right"/>
              <w:rPr>
                <w:b/>
              </w:rPr>
            </w:pPr>
          </w:p>
        </w:tc>
      </w:tr>
      <w:tr w:rsidR="00EC61D7" w14:paraId="3F8B0E92" w14:textId="77777777">
        <w:trPr>
          <w:cantSplit/>
        </w:trPr>
        <w:tc>
          <w:tcPr>
            <w:tcW w:w="9214" w:type="dxa"/>
            <w:gridSpan w:val="2"/>
            <w:tcMar>
              <w:left w:w="0" w:type="dxa"/>
            </w:tcMar>
          </w:tcPr>
          <w:p w14:paraId="79BF6B7A" w14:textId="77777777" w:rsidR="00EC61D7" w:rsidRDefault="00DF2EA9">
            <w:pPr>
              <w:pStyle w:val="Source"/>
              <w:framePr w:hSpace="0" w:wrap="auto" w:vAnchor="margin" w:hAnchor="text" w:xAlign="left" w:yAlign="inline"/>
            </w:pPr>
            <w:bookmarkStart w:id="8" w:name="dsource" w:colFirst="0" w:colLast="0"/>
            <w:bookmarkEnd w:id="7"/>
            <w:r>
              <w:t xml:space="preserve">Contribution from </w:t>
            </w:r>
            <w:r>
              <w:rPr>
                <w:lang w:eastAsia="ko-KR"/>
              </w:rPr>
              <w:t>China (People's Republic of)</w:t>
            </w:r>
          </w:p>
        </w:tc>
      </w:tr>
      <w:tr w:rsidR="00EC61D7" w14:paraId="1FAC853D" w14:textId="77777777">
        <w:trPr>
          <w:cantSplit/>
        </w:trPr>
        <w:tc>
          <w:tcPr>
            <w:tcW w:w="9214" w:type="dxa"/>
            <w:gridSpan w:val="2"/>
            <w:tcMar>
              <w:left w:w="0" w:type="dxa"/>
            </w:tcMar>
          </w:tcPr>
          <w:p w14:paraId="54BADC91" w14:textId="104641A9" w:rsidR="00EC61D7" w:rsidRDefault="008E2FEF">
            <w:pPr>
              <w:pStyle w:val="Subtitle"/>
              <w:framePr w:hSpace="0" w:wrap="auto" w:xAlign="left" w:yAlign="inline"/>
            </w:pPr>
            <w:bookmarkStart w:id="9" w:name="dtitle1" w:colFirst="0" w:colLast="0"/>
            <w:bookmarkEnd w:id="8"/>
            <w:r>
              <w:t xml:space="preserve">Proposals for the </w:t>
            </w:r>
            <w:r>
              <w:rPr>
                <w:lang w:eastAsia="zh-CN"/>
              </w:rPr>
              <w:t>fourth</w:t>
            </w:r>
            <w:r>
              <w:t xml:space="preserve"> meeting of Expert Group on Decision </w:t>
            </w:r>
            <w:r w:rsidR="00DF2EA9">
              <w:t>482</w:t>
            </w:r>
          </w:p>
        </w:tc>
      </w:tr>
      <w:tr w:rsidR="00EC61D7" w14:paraId="0EB784B5" w14:textId="77777777">
        <w:trPr>
          <w:cantSplit/>
        </w:trPr>
        <w:tc>
          <w:tcPr>
            <w:tcW w:w="9214" w:type="dxa"/>
            <w:gridSpan w:val="2"/>
            <w:tcBorders>
              <w:top w:val="single" w:sz="4" w:space="0" w:color="auto"/>
              <w:bottom w:val="single" w:sz="4" w:space="0" w:color="auto"/>
            </w:tcBorders>
            <w:tcMar>
              <w:left w:w="0" w:type="dxa"/>
            </w:tcMar>
          </w:tcPr>
          <w:p w14:paraId="3880317A" w14:textId="77777777" w:rsidR="00EC61D7" w:rsidRDefault="00DF2EA9">
            <w:pPr>
              <w:spacing w:before="160"/>
              <w:rPr>
                <w:b/>
                <w:bCs/>
                <w:sz w:val="26"/>
                <w:szCs w:val="26"/>
              </w:rPr>
            </w:pPr>
            <w:r>
              <w:rPr>
                <w:b/>
                <w:bCs/>
                <w:sz w:val="26"/>
                <w:szCs w:val="26"/>
              </w:rPr>
              <w:t>Purpose</w:t>
            </w:r>
          </w:p>
          <w:p w14:paraId="28F6F7A1" w14:textId="21DDF8D4" w:rsidR="00EC61D7" w:rsidRDefault="00DF2EA9" w:rsidP="00BB7EDA">
            <w:pPr>
              <w:spacing w:line="259" w:lineRule="auto"/>
              <w:rPr>
                <w:rFonts w:asciiTheme="minorHAnsi" w:eastAsia="SimSun" w:hAnsiTheme="minorHAnsi"/>
                <w:szCs w:val="24"/>
                <w:lang w:val="en-AU" w:eastAsia="en-AU"/>
              </w:rPr>
            </w:pPr>
            <w:r>
              <w:rPr>
                <w:rFonts w:eastAsia="SimSun"/>
              </w:rPr>
              <w:t xml:space="preserve">This contribution provides preliminary views and comments regarding </w:t>
            </w:r>
            <w:r>
              <w:rPr>
                <w:rFonts w:asciiTheme="minorHAnsi" w:eastAsia="SimSun" w:hAnsiTheme="minorHAnsi"/>
                <w:szCs w:val="24"/>
                <w:lang w:val="en-AU" w:eastAsia="en-AU"/>
              </w:rPr>
              <w:t>possible amendments</w:t>
            </w:r>
            <w:r w:rsidR="00C93540">
              <w:rPr>
                <w:rFonts w:asciiTheme="minorHAnsi" w:eastAsia="SimSun" w:hAnsiTheme="minorHAnsi"/>
                <w:szCs w:val="24"/>
                <w:lang w:val="en-AU" w:eastAsia="en-AU"/>
              </w:rPr>
              <w:t> </w:t>
            </w:r>
            <w:r>
              <w:rPr>
                <w:rFonts w:asciiTheme="minorHAnsi" w:eastAsia="SimSun" w:hAnsiTheme="minorHAnsi"/>
                <w:szCs w:val="24"/>
                <w:lang w:val="en-AU" w:eastAsia="en-AU"/>
              </w:rPr>
              <w:t>to the Annex to Council Decision 482, as included in Revision 2 to</w:t>
            </w:r>
            <w:r>
              <w:rPr>
                <w:rFonts w:asciiTheme="minorHAnsi" w:eastAsia="SimSun" w:hAnsiTheme="minorHAnsi" w:hint="eastAsia"/>
                <w:szCs w:val="24"/>
                <w:lang w:val="en-AU" w:eastAsia="zh-CN"/>
              </w:rPr>
              <w:t xml:space="preserve"> </w:t>
            </w:r>
            <w:r>
              <w:rPr>
                <w:rFonts w:asciiTheme="minorHAnsi" w:eastAsia="SimSun" w:hAnsiTheme="minorHAnsi"/>
                <w:szCs w:val="24"/>
                <w:lang w:val="en-AU" w:eastAsia="en-AU"/>
              </w:rPr>
              <w:t>Document</w:t>
            </w:r>
            <w:r w:rsidR="00C93540">
              <w:rPr>
                <w:rFonts w:asciiTheme="minorHAnsi" w:eastAsia="SimSun" w:hAnsiTheme="minorHAnsi"/>
                <w:szCs w:val="24"/>
                <w:lang w:val="en-AU" w:eastAsia="en-AU"/>
              </w:rPr>
              <w:t> </w:t>
            </w:r>
            <w:hyperlink r:id="rId12" w:history="1">
              <w:r>
                <w:rPr>
                  <w:rStyle w:val="Hyperlink"/>
                  <w:rFonts w:asciiTheme="minorHAnsi" w:eastAsia="SimSun" w:hAnsiTheme="minorHAnsi"/>
                  <w:szCs w:val="24"/>
                  <w:lang w:val="en-AU" w:eastAsia="en-AU"/>
                </w:rPr>
                <w:t>EG-DEC482-2/DT/3</w:t>
              </w:r>
            </w:hyperlink>
            <w:r>
              <w:rPr>
                <w:rFonts w:eastAsia="SimSun"/>
              </w:rPr>
              <w:t>.</w:t>
            </w:r>
          </w:p>
          <w:p w14:paraId="25869AF4" w14:textId="77777777" w:rsidR="00EC61D7" w:rsidRDefault="00DF2EA9">
            <w:pPr>
              <w:spacing w:before="160"/>
              <w:rPr>
                <w:b/>
                <w:bCs/>
                <w:sz w:val="26"/>
                <w:szCs w:val="26"/>
              </w:rPr>
            </w:pPr>
            <w:r>
              <w:rPr>
                <w:b/>
                <w:bCs/>
                <w:sz w:val="26"/>
                <w:szCs w:val="26"/>
              </w:rPr>
              <w:t>Action required</w:t>
            </w:r>
          </w:p>
          <w:p w14:paraId="37F356B6" w14:textId="77777777" w:rsidR="00EC61D7" w:rsidRDefault="00DF2EA9">
            <w:r>
              <w:t xml:space="preserve">The Expert Group on Decision 482 is invited to </w:t>
            </w:r>
            <w:r>
              <w:rPr>
                <w:b/>
              </w:rPr>
              <w:t>consider</w:t>
            </w:r>
            <w:r>
              <w:rPr>
                <w:b/>
                <w:bCs/>
              </w:rPr>
              <w:t xml:space="preserve"> </w:t>
            </w:r>
            <w:r>
              <w:t xml:space="preserve">this contribution and </w:t>
            </w:r>
            <w:r>
              <w:rPr>
                <w:b/>
              </w:rPr>
              <w:t>reflect it in the draft final report</w:t>
            </w:r>
            <w:r>
              <w:t xml:space="preserve"> containing recommendations for the possible revision of Decision 482 for submission to the 2025 session of the ITU Council. </w:t>
            </w:r>
          </w:p>
          <w:p w14:paraId="0D525651" w14:textId="77777777" w:rsidR="00EC61D7" w:rsidRDefault="00DF2EA9">
            <w:r>
              <w:t>_______________</w:t>
            </w:r>
          </w:p>
          <w:p w14:paraId="17EF0FFA" w14:textId="77777777" w:rsidR="00C93540" w:rsidRDefault="00DF2EA9">
            <w:pPr>
              <w:spacing w:before="160"/>
              <w:rPr>
                <w:b/>
                <w:bCs/>
                <w:sz w:val="26"/>
                <w:szCs w:val="26"/>
              </w:rPr>
            </w:pPr>
            <w:r>
              <w:rPr>
                <w:b/>
                <w:bCs/>
                <w:sz w:val="26"/>
                <w:szCs w:val="26"/>
              </w:rPr>
              <w:t xml:space="preserve">References </w:t>
            </w:r>
          </w:p>
          <w:p w14:paraId="0D9B0265" w14:textId="4944A64A" w:rsidR="00EC61D7" w:rsidRPr="00C93540" w:rsidRDefault="00DF2EA9" w:rsidP="00C93540">
            <w:pPr>
              <w:spacing w:after="120"/>
              <w:rPr>
                <w:b/>
                <w:bCs/>
                <w:i/>
                <w:iCs/>
                <w:sz w:val="22"/>
                <w:szCs w:val="22"/>
              </w:rPr>
            </w:pPr>
            <w:r w:rsidRPr="00C93540">
              <w:rPr>
                <w:i/>
                <w:iCs/>
                <w:sz w:val="22"/>
                <w:szCs w:val="22"/>
              </w:rPr>
              <w:t xml:space="preserve">Annex to </w:t>
            </w:r>
            <w:hyperlink r:id="rId13" w:history="1">
              <w:r w:rsidRPr="00C93540">
                <w:rPr>
                  <w:rStyle w:val="Hyperlink"/>
                  <w:i/>
                  <w:iCs/>
                  <w:sz w:val="22"/>
                  <w:szCs w:val="22"/>
                </w:rPr>
                <w:t>Decision 632</w:t>
              </w:r>
            </w:hyperlink>
            <w:r w:rsidRPr="00C93540">
              <w:rPr>
                <w:i/>
                <w:iCs/>
                <w:sz w:val="22"/>
                <w:szCs w:val="22"/>
              </w:rPr>
              <w:t xml:space="preserve"> (C23)</w:t>
            </w:r>
          </w:p>
        </w:tc>
      </w:tr>
    </w:tbl>
    <w:p w14:paraId="316AC715" w14:textId="77777777" w:rsidR="00EC61D7" w:rsidRDefault="00EC61D7">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p w14:paraId="6864345D" w14:textId="77777777" w:rsidR="00EC61D7" w:rsidRDefault="00DF2EA9">
      <w:pPr>
        <w:tabs>
          <w:tab w:val="clear" w:pos="567"/>
          <w:tab w:val="clear" w:pos="1134"/>
          <w:tab w:val="clear" w:pos="1701"/>
          <w:tab w:val="clear" w:pos="2268"/>
          <w:tab w:val="clear" w:pos="2835"/>
        </w:tabs>
        <w:overflowPunct/>
        <w:autoSpaceDE/>
        <w:autoSpaceDN/>
        <w:adjustRightInd/>
        <w:spacing w:before="0"/>
        <w:textAlignment w:val="auto"/>
      </w:pPr>
      <w:r>
        <w:br w:type="page"/>
      </w:r>
    </w:p>
    <w:p w14:paraId="6739B56A" w14:textId="5E8C388D" w:rsidR="00EC61D7" w:rsidRDefault="00DF2EA9" w:rsidP="00C93540">
      <w:pPr>
        <w:pStyle w:val="Heading1"/>
      </w:pPr>
      <w:r>
        <w:lastRenderedPageBreak/>
        <w:t>1</w:t>
      </w:r>
      <w:r>
        <w:tab/>
        <w:t>Introduction</w:t>
      </w:r>
    </w:p>
    <w:p w14:paraId="2BF19759" w14:textId="1D17FF8F" w:rsidR="00EC61D7" w:rsidRDefault="00DF2EA9" w:rsidP="00C93540">
      <w:pPr>
        <w:jc w:val="both"/>
      </w:pPr>
      <w:r>
        <w:t xml:space="preserve">The Council 2023 agreed to adopt </w:t>
      </w:r>
      <w:hyperlink r:id="rId14" w:history="1">
        <w:r>
          <w:rPr>
            <w:color w:val="0563C1"/>
            <w:u w:val="single"/>
          </w:rPr>
          <w:t>Decision 632</w:t>
        </w:r>
      </w:hyperlink>
      <w:r>
        <w:t xml:space="preserve"> in order to establish an expert group on Decision 482 with the terms of reference included in </w:t>
      </w:r>
      <w:r w:rsidR="00C93540">
        <w:t xml:space="preserve">the </w:t>
      </w:r>
      <w:r>
        <w:t xml:space="preserve">Annex </w:t>
      </w:r>
      <w:r w:rsidR="00720A4A">
        <w:t>to</w:t>
      </w:r>
      <w:r>
        <w:t xml:space="preserve"> this Decision.</w:t>
      </w:r>
    </w:p>
    <w:p w14:paraId="6E480420" w14:textId="607F99D4" w:rsidR="00EC61D7" w:rsidRDefault="00DF2EA9" w:rsidP="00C93540">
      <w:pPr>
        <w:jc w:val="both"/>
        <w:rPr>
          <w:rFonts w:asciiTheme="minorHAnsi" w:eastAsia="SimSun" w:hAnsiTheme="minorHAnsi"/>
          <w:szCs w:val="24"/>
          <w:lang w:val="en-AU" w:eastAsia="en-AU"/>
        </w:rPr>
      </w:pPr>
      <w:r>
        <w:t xml:space="preserve">During the third meeting of the Expert Group on Decision 482, </w:t>
      </w:r>
      <w:r>
        <w:rPr>
          <w:rFonts w:asciiTheme="minorHAnsi" w:eastAsia="SimSun" w:hAnsiTheme="minorHAnsi"/>
          <w:szCs w:val="24"/>
          <w:lang w:val="en-AU" w:eastAsia="en-AU"/>
        </w:rPr>
        <w:t>Revision 2 to</w:t>
      </w:r>
      <w:r>
        <w:rPr>
          <w:rFonts w:asciiTheme="minorHAnsi" w:eastAsia="SimSun" w:hAnsiTheme="minorHAnsi" w:hint="eastAsia"/>
          <w:szCs w:val="24"/>
          <w:lang w:val="en-AU" w:eastAsia="zh-CN"/>
        </w:rPr>
        <w:t xml:space="preserve"> </w:t>
      </w:r>
      <w:r>
        <w:rPr>
          <w:rFonts w:asciiTheme="minorHAnsi" w:eastAsia="SimSun" w:hAnsiTheme="minorHAnsi"/>
          <w:szCs w:val="24"/>
          <w:lang w:val="en-AU" w:eastAsia="en-AU"/>
        </w:rPr>
        <w:t>Document</w:t>
      </w:r>
      <w:r w:rsidR="00720A4A">
        <w:rPr>
          <w:rFonts w:asciiTheme="minorHAnsi" w:eastAsia="SimSun" w:hAnsiTheme="minorHAnsi"/>
          <w:szCs w:val="24"/>
          <w:lang w:val="en-AU" w:eastAsia="en-AU"/>
        </w:rPr>
        <w:t> </w:t>
      </w:r>
      <w:hyperlink r:id="rId15" w:history="1">
        <w:r>
          <w:rPr>
            <w:rStyle w:val="Hyperlink"/>
            <w:rFonts w:asciiTheme="minorHAnsi" w:eastAsia="SimSun" w:hAnsiTheme="minorHAnsi"/>
            <w:szCs w:val="24"/>
            <w:lang w:val="en-AU" w:eastAsia="en-AU"/>
          </w:rPr>
          <w:t>EG</w:t>
        </w:r>
        <w:r w:rsidR="00720A4A">
          <w:rPr>
            <w:rStyle w:val="Hyperlink"/>
            <w:rFonts w:asciiTheme="minorHAnsi" w:eastAsia="SimSun" w:hAnsiTheme="minorHAnsi"/>
            <w:szCs w:val="24"/>
            <w:lang w:val="en-AU" w:eastAsia="en-AU"/>
          </w:rPr>
          <w:noBreakHyphen/>
        </w:r>
        <w:r>
          <w:rPr>
            <w:rStyle w:val="Hyperlink"/>
            <w:rFonts w:asciiTheme="minorHAnsi" w:eastAsia="SimSun" w:hAnsiTheme="minorHAnsi"/>
            <w:szCs w:val="24"/>
            <w:lang w:val="en-AU" w:eastAsia="en-AU"/>
          </w:rPr>
          <w:t>DEC482-2/DT/3</w:t>
        </w:r>
      </w:hyperlink>
      <w:r>
        <w:rPr>
          <w:rFonts w:asciiTheme="minorHAnsi" w:eastAsia="SimSun" w:hAnsiTheme="minorHAnsi"/>
          <w:szCs w:val="24"/>
          <w:lang w:val="en-AU" w:eastAsia="en-AU"/>
        </w:rPr>
        <w:t xml:space="preserve"> was developed to reflect the discussion result</w:t>
      </w:r>
      <w:r w:rsidR="00BB7EDA">
        <w:rPr>
          <w:rFonts w:asciiTheme="minorHAnsi" w:eastAsia="SimSun" w:hAnsiTheme="minorHAnsi"/>
          <w:szCs w:val="24"/>
          <w:lang w:val="en-AU" w:eastAsia="en-AU"/>
        </w:rPr>
        <w:t>s</w:t>
      </w:r>
      <w:r>
        <w:rPr>
          <w:rFonts w:asciiTheme="minorHAnsi" w:eastAsia="SimSun" w:hAnsiTheme="minorHAnsi"/>
          <w:szCs w:val="24"/>
          <w:lang w:val="en-AU" w:eastAsia="en-AU"/>
        </w:rPr>
        <w:t xml:space="preserve"> of </w:t>
      </w:r>
      <w:r>
        <w:t>the possible revision of Decision 482</w:t>
      </w:r>
      <w:r>
        <w:rPr>
          <w:rFonts w:asciiTheme="minorHAnsi" w:eastAsia="SimSun" w:hAnsiTheme="minorHAnsi"/>
          <w:szCs w:val="24"/>
          <w:lang w:val="en-AU" w:eastAsia="en-AU"/>
        </w:rPr>
        <w:t>. However, due to time constraint</w:t>
      </w:r>
      <w:r w:rsidR="00BB7EDA">
        <w:rPr>
          <w:rFonts w:asciiTheme="minorHAnsi" w:eastAsia="SimSun" w:hAnsiTheme="minorHAnsi"/>
          <w:szCs w:val="24"/>
          <w:lang w:val="en-AU" w:eastAsia="en-AU"/>
        </w:rPr>
        <w:t>s</w:t>
      </w:r>
      <w:r w:rsidR="00C93540">
        <w:rPr>
          <w:rFonts w:asciiTheme="minorHAnsi" w:eastAsia="SimSun" w:hAnsiTheme="minorHAnsi"/>
          <w:szCs w:val="24"/>
          <w:lang w:val="en-AU" w:eastAsia="en-AU"/>
        </w:rPr>
        <w:t>,</w:t>
      </w:r>
      <w:r>
        <w:rPr>
          <w:rFonts w:asciiTheme="minorHAnsi" w:eastAsia="SimSun" w:hAnsiTheme="minorHAnsi"/>
          <w:szCs w:val="24"/>
          <w:lang w:val="en-AU" w:eastAsia="en-AU"/>
        </w:rPr>
        <w:t xml:space="preserve"> some study items need </w:t>
      </w:r>
      <w:r>
        <w:rPr>
          <w:rFonts w:asciiTheme="minorHAnsi" w:eastAsia="SimSun" w:hAnsiTheme="minorHAnsi"/>
          <w:szCs w:val="24"/>
          <w:lang w:val="en-AU" w:eastAsia="en-AU"/>
        </w:rPr>
        <w:t>further analysis or discussion.</w:t>
      </w:r>
      <w:r>
        <w:rPr>
          <w:rFonts w:asciiTheme="minorHAnsi" w:eastAsia="SimSun" w:hAnsiTheme="minorHAnsi"/>
          <w:szCs w:val="24"/>
          <w:lang w:val="en-AU" w:eastAsia="zh-CN"/>
        </w:rPr>
        <w:t xml:space="preserve"> T</w:t>
      </w:r>
      <w:r>
        <w:rPr>
          <w:rFonts w:eastAsia="SimSun"/>
        </w:rPr>
        <w:t xml:space="preserve">his contribution provides preliminary views and comments </w:t>
      </w:r>
      <w:r>
        <w:rPr>
          <w:rFonts w:asciiTheme="minorHAnsi" w:eastAsia="SimSun" w:hAnsiTheme="minorHAnsi"/>
          <w:szCs w:val="24"/>
          <w:lang w:val="en-AU" w:eastAsia="en-AU"/>
        </w:rPr>
        <w:t xml:space="preserve">on some specific study items </w:t>
      </w:r>
      <w:r>
        <w:rPr>
          <w:rFonts w:eastAsia="SimSun"/>
        </w:rPr>
        <w:t xml:space="preserve">regarding </w:t>
      </w:r>
      <w:r>
        <w:rPr>
          <w:rFonts w:asciiTheme="minorHAnsi" w:eastAsia="SimSun" w:hAnsiTheme="minorHAnsi"/>
          <w:szCs w:val="24"/>
          <w:lang w:val="en-AU" w:eastAsia="en-AU"/>
        </w:rPr>
        <w:t>possible amendments to the Annex to Council Decision 482</w:t>
      </w:r>
      <w:r>
        <w:rPr>
          <w:rFonts w:eastAsia="SimSun"/>
        </w:rPr>
        <w:t>.</w:t>
      </w:r>
    </w:p>
    <w:p w14:paraId="5BD334D0" w14:textId="79CE581C" w:rsidR="00EC61D7" w:rsidRDefault="00DF2EA9" w:rsidP="00C93540">
      <w:pPr>
        <w:pStyle w:val="Heading1"/>
      </w:pPr>
      <w:r>
        <w:t>2</w:t>
      </w:r>
      <w:r>
        <w:tab/>
        <w:t>Discussion</w:t>
      </w:r>
    </w:p>
    <w:p w14:paraId="509DECB3" w14:textId="461E7E0B" w:rsidR="00EC61D7" w:rsidRDefault="00DF2EA9" w:rsidP="00720A4A">
      <w:pPr>
        <w:jc w:val="both"/>
        <w:rPr>
          <w:rFonts w:asciiTheme="minorHAnsi" w:eastAsia="SimSun" w:hAnsiTheme="minorHAnsi"/>
          <w:szCs w:val="24"/>
          <w:lang w:eastAsia="zh-CN"/>
        </w:rPr>
      </w:pPr>
      <w:r>
        <w:rPr>
          <w:rFonts w:asciiTheme="minorHAnsi" w:eastAsia="SimSun" w:hAnsiTheme="minorHAnsi" w:hint="eastAsia"/>
          <w:szCs w:val="24"/>
          <w:lang w:eastAsia="zh-CN"/>
        </w:rPr>
        <w:t>Based</w:t>
      </w:r>
      <w:r>
        <w:rPr>
          <w:rFonts w:asciiTheme="minorHAnsi" w:eastAsia="SimSun" w:hAnsiTheme="minorHAnsi"/>
          <w:szCs w:val="24"/>
          <w:lang w:eastAsia="zh-CN"/>
        </w:rPr>
        <w:t xml:space="preserve"> on </w:t>
      </w:r>
      <w:r>
        <w:t xml:space="preserve">the further study of </w:t>
      </w:r>
      <w:r>
        <w:rPr>
          <w:rFonts w:asciiTheme="minorHAnsi" w:eastAsia="SimSun" w:hAnsiTheme="minorHAnsi"/>
          <w:szCs w:val="24"/>
          <w:lang w:val="en-AU" w:eastAsia="en-AU"/>
        </w:rPr>
        <w:t>Revision 2 to</w:t>
      </w:r>
      <w:r>
        <w:rPr>
          <w:rFonts w:asciiTheme="minorHAnsi" w:eastAsia="SimSun" w:hAnsiTheme="minorHAnsi" w:hint="eastAsia"/>
          <w:szCs w:val="24"/>
          <w:lang w:val="en-AU" w:eastAsia="zh-CN"/>
        </w:rPr>
        <w:t xml:space="preserve"> </w:t>
      </w:r>
      <w:r>
        <w:rPr>
          <w:rFonts w:asciiTheme="minorHAnsi" w:eastAsia="SimSun" w:hAnsiTheme="minorHAnsi"/>
          <w:szCs w:val="24"/>
          <w:lang w:val="en-AU" w:eastAsia="en-AU"/>
        </w:rPr>
        <w:t xml:space="preserve">Document </w:t>
      </w:r>
      <w:hyperlink r:id="rId16" w:history="1">
        <w:r>
          <w:rPr>
            <w:rStyle w:val="Hyperlink"/>
            <w:rFonts w:asciiTheme="minorHAnsi" w:eastAsia="SimSun" w:hAnsiTheme="minorHAnsi"/>
            <w:szCs w:val="24"/>
            <w:lang w:val="en-AU" w:eastAsia="en-AU"/>
          </w:rPr>
          <w:t>EG-DEC482-2/DT/3</w:t>
        </w:r>
      </w:hyperlink>
      <w:r>
        <w:rPr>
          <w:rFonts w:eastAsia="SimSun"/>
        </w:rPr>
        <w:t xml:space="preserve"> and </w:t>
      </w:r>
      <w:r>
        <w:t>the data on processing satellite network filings provided by BR</w:t>
      </w:r>
      <w:r>
        <w:rPr>
          <w:rFonts w:asciiTheme="minorHAnsi" w:eastAsia="SimSun" w:hAnsiTheme="minorHAnsi"/>
          <w:szCs w:val="24"/>
          <w:lang w:eastAsia="zh-CN"/>
        </w:rPr>
        <w:t>, China would like to</w:t>
      </w:r>
      <w:r>
        <w:rPr>
          <w:rFonts w:asciiTheme="minorHAnsi" w:eastAsia="SimSun" w:hAnsiTheme="minorHAnsi" w:hint="eastAsia"/>
          <w:szCs w:val="24"/>
          <w:lang w:val="en-US" w:eastAsia="zh-CN"/>
        </w:rPr>
        <w:t xml:space="preserve"> </w:t>
      </w:r>
      <w:r>
        <w:rPr>
          <w:rFonts w:asciiTheme="minorHAnsi" w:eastAsia="SimSun" w:hAnsiTheme="minorHAnsi"/>
          <w:szCs w:val="24"/>
          <w:lang w:val="en-US" w:eastAsia="zh-CN"/>
        </w:rPr>
        <w:t xml:space="preserve">provide views and </w:t>
      </w:r>
      <w:r>
        <w:rPr>
          <w:rFonts w:asciiTheme="minorHAnsi" w:eastAsia="SimSun" w:hAnsiTheme="minorHAnsi"/>
          <w:szCs w:val="24"/>
          <w:lang w:eastAsia="zh-CN"/>
        </w:rPr>
        <w:t>comments</w:t>
      </w:r>
      <w:r>
        <w:rPr>
          <w:rFonts w:asciiTheme="minorHAnsi" w:eastAsia="SimSun" w:hAnsiTheme="minorHAnsi" w:hint="eastAsia"/>
          <w:szCs w:val="24"/>
          <w:lang w:val="en-US" w:eastAsia="zh-CN"/>
        </w:rPr>
        <w:t xml:space="preserve"> on</w:t>
      </w:r>
      <w:r>
        <w:rPr>
          <w:rFonts w:asciiTheme="minorHAnsi" w:eastAsia="SimSun" w:hAnsiTheme="minorHAnsi"/>
          <w:szCs w:val="24"/>
          <w:lang w:eastAsia="zh-CN"/>
        </w:rPr>
        <w:t xml:space="preserve"> study item f.</w:t>
      </w:r>
      <w:r>
        <w:rPr>
          <w:rFonts w:asciiTheme="minorHAnsi" w:eastAsia="SimSun" w:hAnsiTheme="minorHAnsi"/>
          <w:szCs w:val="24"/>
          <w:lang w:eastAsia="zh-CN"/>
        </w:rPr>
        <w:t xml:space="preserve"> and g.</w:t>
      </w:r>
      <w:r>
        <w:rPr>
          <w:rFonts w:asciiTheme="minorHAnsi" w:eastAsia="SimSun" w:hAnsiTheme="minorHAnsi"/>
          <w:szCs w:val="24"/>
          <w:lang w:eastAsia="zh-CN"/>
        </w:rPr>
        <w:t xml:space="preserve"> as follows</w:t>
      </w:r>
      <w:r w:rsidR="00C93540">
        <w:rPr>
          <w:rFonts w:asciiTheme="minorHAnsi" w:eastAsia="SimSun" w:hAnsiTheme="minorHAnsi"/>
          <w:szCs w:val="24"/>
          <w:lang w:eastAsia="zh-CN"/>
        </w:rPr>
        <w:t>:</w:t>
      </w:r>
    </w:p>
    <w:p w14:paraId="558E6066" w14:textId="1BC1B032" w:rsidR="00EC61D7" w:rsidRDefault="00DF2EA9" w:rsidP="00720A4A">
      <w:pPr>
        <w:pStyle w:val="enumlev1"/>
        <w:rPr>
          <w:lang w:eastAsia="zh-CN"/>
        </w:rPr>
      </w:pPr>
      <w:r>
        <w:rPr>
          <w:lang w:eastAsia="zh-CN"/>
        </w:rPr>
        <w:t>(…)</w:t>
      </w:r>
    </w:p>
    <w:p w14:paraId="52150CEF" w14:textId="2F7E2E25" w:rsidR="00EC61D7" w:rsidRPr="00720A4A" w:rsidRDefault="00720A4A" w:rsidP="00720A4A">
      <w:pPr>
        <w:pStyle w:val="enumlev1"/>
        <w:jc w:val="both"/>
        <w:rPr>
          <w:b/>
          <w:bCs/>
        </w:rPr>
      </w:pPr>
      <w:r>
        <w:tab/>
      </w:r>
      <w:r w:rsidR="00DF2EA9" w:rsidRPr="00720A4A">
        <w:rPr>
          <w:b/>
          <w:bCs/>
        </w:rPr>
        <w:t xml:space="preserve">f. </w:t>
      </w:r>
      <w:r w:rsidR="00DF2EA9" w:rsidRPr="00720A4A">
        <w:rPr>
          <w:b/>
          <w:bCs/>
        </w:rPr>
        <w:tab/>
        <w:t xml:space="preserve">The costs of processing non-GSO filings having more than 75 000 units or, alternatively, whether the formula to compute units for such non-GSO satellite systems should take into account the impact of the number of different </w:t>
      </w:r>
      <w:r w:rsidR="00DF2EA9" w:rsidRPr="00720A4A">
        <w:rPr>
          <w:b/>
          <w:bCs/>
        </w:rPr>
        <w:t>orbital altitudes, number of satellites, number of earth stations, or other characteristics affecting workload associated with the processing of non-GSO systems.</w:t>
      </w:r>
    </w:p>
    <w:p w14:paraId="0C9E0B89" w14:textId="676ABC79" w:rsidR="00EC61D7" w:rsidRDefault="00DF2EA9" w:rsidP="00720A4A">
      <w:pPr>
        <w:jc w:val="both"/>
        <w:rPr>
          <w:lang w:eastAsia="zh-CN"/>
        </w:rPr>
      </w:pPr>
      <w:r>
        <w:rPr>
          <w:rFonts w:hint="eastAsia"/>
          <w:lang w:eastAsia="zh-CN"/>
        </w:rPr>
        <w:t>U</w:t>
      </w:r>
      <w:r>
        <w:rPr>
          <w:lang w:eastAsia="zh-CN"/>
        </w:rPr>
        <w:t>nder this specific item, two co-related issues need</w:t>
      </w:r>
      <w:r>
        <w:rPr>
          <w:lang w:eastAsia="zh-CN"/>
        </w:rPr>
        <w:t xml:space="preserve"> to be studied:</w:t>
      </w:r>
    </w:p>
    <w:p w14:paraId="262D5106" w14:textId="1A3FD238" w:rsidR="00EC61D7" w:rsidRDefault="00720A4A" w:rsidP="00720A4A">
      <w:pPr>
        <w:pStyle w:val="enumlev1"/>
        <w:jc w:val="both"/>
        <w:rPr>
          <w:lang w:eastAsia="zh-CN"/>
        </w:rPr>
      </w:pPr>
      <w:r w:rsidRPr="00720A4A">
        <w:rPr>
          <w:rFonts w:asciiTheme="minorHAnsi" w:hAnsiTheme="minorHAnsi" w:cstheme="minorHAnsi"/>
          <w:lang w:eastAsia="zh-CN"/>
        </w:rPr>
        <w:t>–</w:t>
      </w:r>
      <w:r w:rsidRPr="00720A4A">
        <w:rPr>
          <w:rFonts w:asciiTheme="minorHAnsi" w:hAnsiTheme="minorHAnsi" w:cstheme="minorHAnsi"/>
          <w:lang w:eastAsia="zh-CN"/>
        </w:rPr>
        <w:tab/>
      </w:r>
      <w:r w:rsidR="00DF2EA9">
        <w:rPr>
          <w:rFonts w:hint="eastAsia"/>
          <w:lang w:eastAsia="zh-CN"/>
        </w:rPr>
        <w:t>C</w:t>
      </w:r>
      <w:r w:rsidR="00DF2EA9">
        <w:rPr>
          <w:lang w:eastAsia="zh-CN"/>
        </w:rPr>
        <w:t xml:space="preserve">eiling in the fee </w:t>
      </w:r>
      <w:r w:rsidR="00DF2EA9">
        <w:rPr>
          <w:lang w:eastAsia="zh-CN"/>
        </w:rPr>
        <w:t>structure (75 000 units)</w:t>
      </w:r>
    </w:p>
    <w:p w14:paraId="338A2D3F" w14:textId="04CD69AB" w:rsidR="00EC61D7" w:rsidRDefault="00720A4A" w:rsidP="00720A4A">
      <w:pPr>
        <w:pStyle w:val="enumlev1"/>
        <w:jc w:val="both"/>
        <w:rPr>
          <w:lang w:eastAsia="zh-CN"/>
        </w:rPr>
      </w:pPr>
      <w:r w:rsidRPr="00720A4A">
        <w:rPr>
          <w:rFonts w:asciiTheme="minorHAnsi" w:hAnsiTheme="minorHAnsi" w:cstheme="minorHAnsi"/>
          <w:lang w:eastAsia="zh-CN"/>
        </w:rPr>
        <w:t>–</w:t>
      </w:r>
      <w:r w:rsidRPr="00720A4A">
        <w:rPr>
          <w:rFonts w:asciiTheme="minorHAnsi" w:hAnsiTheme="minorHAnsi" w:cstheme="minorHAnsi"/>
          <w:lang w:eastAsia="zh-CN"/>
        </w:rPr>
        <w:tab/>
      </w:r>
      <w:r w:rsidR="00DF2EA9">
        <w:rPr>
          <w:lang w:eastAsia="zh-CN"/>
        </w:rPr>
        <w:t>Methodology for calculating units for non-GSO satellite systems</w:t>
      </w:r>
      <w:r>
        <w:rPr>
          <w:lang w:eastAsia="zh-CN"/>
        </w:rPr>
        <w:t>.</w:t>
      </w:r>
    </w:p>
    <w:p w14:paraId="56F68A19" w14:textId="77777777" w:rsidR="00EC61D7" w:rsidRDefault="00DF2EA9" w:rsidP="00720A4A">
      <w:pPr>
        <w:jc w:val="both"/>
      </w:pPr>
      <w:r>
        <w:t>BR provided the following proposal to address this study item:</w:t>
      </w:r>
    </w:p>
    <w:p w14:paraId="4B1CD479" w14:textId="5A0E8342" w:rsidR="00EC61D7" w:rsidRDefault="00720A4A" w:rsidP="00720A4A">
      <w:pPr>
        <w:pStyle w:val="enumlev1"/>
        <w:jc w:val="both"/>
        <w:rPr>
          <w:lang w:eastAsia="zh-CN"/>
        </w:rPr>
      </w:pPr>
      <w:r w:rsidRPr="00720A4A">
        <w:rPr>
          <w:rFonts w:asciiTheme="minorHAnsi" w:hAnsiTheme="minorHAnsi" w:cstheme="minorHAnsi"/>
          <w:lang w:eastAsia="zh-CN"/>
        </w:rPr>
        <w:t>–</w:t>
      </w:r>
      <w:r w:rsidRPr="00720A4A">
        <w:rPr>
          <w:rFonts w:asciiTheme="minorHAnsi" w:hAnsiTheme="minorHAnsi" w:cstheme="minorHAnsi"/>
          <w:lang w:eastAsia="zh-CN"/>
        </w:rPr>
        <w:tab/>
      </w:r>
      <w:r w:rsidR="00DF2EA9">
        <w:rPr>
          <w:lang w:eastAsia="zh-CN"/>
        </w:rPr>
        <w:t>Raise the threshold number of units at which the fee ceiling starts from 75</w:t>
      </w:r>
      <w:r w:rsidR="000F586F">
        <w:rPr>
          <w:lang w:eastAsia="zh-CN"/>
        </w:rPr>
        <w:t> </w:t>
      </w:r>
      <w:r w:rsidR="00DF2EA9">
        <w:rPr>
          <w:lang w:eastAsia="zh-CN"/>
        </w:rPr>
        <w:t>000 to 500</w:t>
      </w:r>
      <w:r>
        <w:rPr>
          <w:lang w:eastAsia="zh-CN"/>
        </w:rPr>
        <w:t> </w:t>
      </w:r>
      <w:r w:rsidR="00DF2EA9">
        <w:rPr>
          <w:lang w:eastAsia="zh-CN"/>
        </w:rPr>
        <w:t>000.</w:t>
      </w:r>
    </w:p>
    <w:p w14:paraId="2C0FF54F" w14:textId="07E70FFE" w:rsidR="00EC61D7" w:rsidRDefault="00720A4A" w:rsidP="00720A4A">
      <w:pPr>
        <w:pStyle w:val="enumlev1"/>
        <w:jc w:val="both"/>
        <w:rPr>
          <w:lang w:eastAsia="zh-CN"/>
        </w:rPr>
      </w:pPr>
      <w:r w:rsidRPr="00720A4A">
        <w:rPr>
          <w:rFonts w:asciiTheme="minorHAnsi" w:hAnsiTheme="minorHAnsi" w:cstheme="minorHAnsi"/>
          <w:lang w:eastAsia="zh-CN"/>
        </w:rPr>
        <w:t>–</w:t>
      </w:r>
      <w:r w:rsidRPr="00720A4A">
        <w:rPr>
          <w:rFonts w:asciiTheme="minorHAnsi" w:hAnsiTheme="minorHAnsi" w:cstheme="minorHAnsi"/>
          <w:lang w:eastAsia="zh-CN"/>
        </w:rPr>
        <w:tab/>
      </w:r>
      <w:r w:rsidR="00DF2EA9">
        <w:rPr>
          <w:lang w:eastAsia="zh-CN"/>
        </w:rPr>
        <w:t xml:space="preserve">Insert in the computation of units the number of different sets of orbital planes and the number of forms of coordination per frequency range for categories C and N. </w:t>
      </w:r>
    </w:p>
    <w:p w14:paraId="7B4298E2" w14:textId="77777777" w:rsidR="00EC61D7" w:rsidRDefault="00DF2EA9" w:rsidP="00720A4A">
      <w:pPr>
        <w:tabs>
          <w:tab w:val="left" w:pos="851"/>
        </w:tabs>
        <w:snapToGrid w:val="0"/>
        <w:spacing w:beforeLines="50"/>
        <w:jc w:val="both"/>
        <w:rPr>
          <w:lang w:eastAsia="zh-CN"/>
        </w:rPr>
      </w:pPr>
      <w:r>
        <w:rPr>
          <w:rFonts w:hint="eastAsia"/>
          <w:lang w:eastAsia="zh-CN"/>
        </w:rPr>
        <w:t>D</w:t>
      </w:r>
      <w:r>
        <w:rPr>
          <w:lang w:eastAsia="zh-CN"/>
        </w:rPr>
        <w:t>uring the third meeting of the Expert Group on Decision 482, BR also provided some specific examples of how the new units would be calculated.</w:t>
      </w:r>
    </w:p>
    <w:p w14:paraId="44F0175A" w14:textId="77777777" w:rsidR="00EC61D7" w:rsidRDefault="00DF2EA9" w:rsidP="00720A4A">
      <w:pPr>
        <w:pStyle w:val="Figure"/>
        <w:rPr>
          <w:lang w:eastAsia="zh-CN"/>
        </w:rPr>
      </w:pPr>
      <w:r>
        <w:rPr>
          <w:noProof/>
          <w:lang w:val="en-US" w:eastAsia="zh-CN"/>
        </w:rPr>
        <w:drawing>
          <wp:inline distT="0" distB="0" distL="0" distR="0" wp14:anchorId="3E516FBC" wp14:editId="1ABDD7B3">
            <wp:extent cx="5455285" cy="16992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11010" cy="1716906"/>
                    </a:xfrm>
                    <a:prstGeom prst="rect">
                      <a:avLst/>
                    </a:prstGeom>
                    <a:noFill/>
                  </pic:spPr>
                </pic:pic>
              </a:graphicData>
            </a:graphic>
          </wp:inline>
        </w:drawing>
      </w:r>
    </w:p>
    <w:p w14:paraId="49BCBE46" w14:textId="0F41DF81" w:rsidR="00EC61D7" w:rsidRDefault="00DF2EA9" w:rsidP="00720A4A">
      <w:pPr>
        <w:jc w:val="both"/>
        <w:rPr>
          <w:lang w:eastAsia="zh-CN"/>
        </w:rPr>
      </w:pPr>
      <w:r>
        <w:rPr>
          <w:rFonts w:hint="eastAsia"/>
          <w:lang w:eastAsia="zh-CN"/>
        </w:rPr>
        <w:t>C</w:t>
      </w:r>
      <w:r>
        <w:rPr>
          <w:lang w:eastAsia="zh-CN"/>
        </w:rPr>
        <w:t xml:space="preserve">hina is in favour of putting more focus on this very important item related to complex and large non-GSO satellite </w:t>
      </w:r>
      <w:r w:rsidR="000F586F">
        <w:rPr>
          <w:lang w:eastAsia="zh-CN"/>
        </w:rPr>
        <w:t>systems</w:t>
      </w:r>
      <w:r>
        <w:rPr>
          <w:lang w:eastAsia="zh-CN"/>
        </w:rPr>
        <w:t xml:space="preserve"> since it requires a substantial amount </w:t>
      </w:r>
      <w:r w:rsidR="000F586F">
        <w:rPr>
          <w:lang w:eastAsia="zh-CN"/>
        </w:rPr>
        <w:t xml:space="preserve">of </w:t>
      </w:r>
      <w:r>
        <w:rPr>
          <w:lang w:eastAsia="zh-CN"/>
        </w:rPr>
        <w:t xml:space="preserve">resources </w:t>
      </w:r>
      <w:r w:rsidR="000F586F">
        <w:rPr>
          <w:lang w:eastAsia="zh-CN"/>
        </w:rPr>
        <w:t xml:space="preserve">from </w:t>
      </w:r>
      <w:r>
        <w:rPr>
          <w:lang w:eastAsia="zh-CN"/>
        </w:rPr>
        <w:t>BR to process them.</w:t>
      </w:r>
    </w:p>
    <w:p w14:paraId="68DC5074" w14:textId="39A7ADF0" w:rsidR="00EC61D7" w:rsidRDefault="00DF2EA9" w:rsidP="00720A4A">
      <w:pPr>
        <w:jc w:val="both"/>
        <w:rPr>
          <w:lang w:eastAsia="zh-CN"/>
        </w:rPr>
      </w:pPr>
      <w:r>
        <w:rPr>
          <w:lang w:eastAsia="zh-CN"/>
        </w:rPr>
        <w:lastRenderedPageBreak/>
        <w:t>Noting the complexity of this item and the profound impact of introducing the new methodology for calculating units for non-GSO satellite systems, further study is needed in order to obtain greater clarity before considering the update. China sincerely hopes that a decision could be reached on this item f</w:t>
      </w:r>
      <w:r w:rsidR="00BB7EDA">
        <w:rPr>
          <w:lang w:eastAsia="zh-CN"/>
        </w:rPr>
        <w:t>.</w:t>
      </w:r>
      <w:r>
        <w:rPr>
          <w:lang w:eastAsia="zh-CN"/>
        </w:rPr>
        <w:t xml:space="preserve"> at the upcoming meeting in April</w:t>
      </w:r>
      <w:r>
        <w:rPr>
          <w:rFonts w:hint="eastAsia"/>
          <w:lang w:eastAsia="zh-CN"/>
        </w:rPr>
        <w:t>.</w:t>
      </w:r>
      <w:r>
        <w:rPr>
          <w:lang w:eastAsia="zh-CN"/>
        </w:rPr>
        <w:t xml:space="preserve"> However, if it fails to do that, a request could be sent to </w:t>
      </w:r>
      <w:r>
        <w:t>the 2025 session of the ITU Council</w:t>
      </w:r>
      <w:r>
        <w:rPr>
          <w:lang w:eastAsia="zh-CN"/>
        </w:rPr>
        <w:t xml:space="preserve"> to postpone the study of this item until 2026.</w:t>
      </w:r>
    </w:p>
    <w:p w14:paraId="670767DA" w14:textId="758317F2" w:rsidR="00EC61D7" w:rsidRPr="008052FA" w:rsidRDefault="008052FA" w:rsidP="008052FA">
      <w:pPr>
        <w:pStyle w:val="enumlev1"/>
        <w:jc w:val="both"/>
        <w:rPr>
          <w:b/>
          <w:bCs/>
        </w:rPr>
      </w:pPr>
      <w:r>
        <w:rPr>
          <w:b/>
          <w:bCs/>
        </w:rPr>
        <w:tab/>
      </w:r>
      <w:r w:rsidR="00DF2EA9" w:rsidRPr="008052FA">
        <w:rPr>
          <w:b/>
          <w:bCs/>
        </w:rPr>
        <w:t xml:space="preserve">g. </w:t>
      </w:r>
      <w:r w:rsidR="00DF2EA9" w:rsidRPr="008052FA">
        <w:rPr>
          <w:b/>
          <w:bCs/>
        </w:rPr>
        <w:tab/>
        <w:t>Consider the introduction of units in categories A1 and N4, with a different fee being charged for more complex or larger systems, depending on the number of units.</w:t>
      </w:r>
    </w:p>
    <w:p w14:paraId="2227FDC0" w14:textId="7081D82A" w:rsidR="00EC61D7" w:rsidRDefault="00DF2EA9" w:rsidP="008052FA">
      <w:pPr>
        <w:jc w:val="both"/>
      </w:pPr>
      <w:r>
        <w:t>It is noted that filings for satellite systems not subject to coordination have evolved considerably</w:t>
      </w:r>
      <w:r w:rsidR="008052FA">
        <w:t>;</w:t>
      </w:r>
      <w:r>
        <w:t xml:space="preserve"> those filings have not only grown in number but </w:t>
      </w:r>
      <w:r>
        <w:rPr>
          <w:rFonts w:hint="eastAsia"/>
          <w:lang w:val="en-US" w:eastAsia="zh-CN"/>
        </w:rPr>
        <w:t>also</w:t>
      </w:r>
      <w:r>
        <w:t xml:space="preserve"> contain a large set of frequency assignments covering a lot of possible frequency bands allocated to space services. After carefully </w:t>
      </w:r>
      <w:r w:rsidR="008052FA">
        <w:t>studying</w:t>
      </w:r>
      <w:r>
        <w:t xml:space="preserve"> the data on processing satellite network filings provided by BR, China would like to reiterate the following views:</w:t>
      </w:r>
    </w:p>
    <w:p w14:paraId="733E6346" w14:textId="1ED7878A" w:rsidR="00EC61D7" w:rsidRDefault="008052FA" w:rsidP="008052FA">
      <w:pPr>
        <w:pStyle w:val="enumlev1"/>
        <w:jc w:val="both"/>
        <w:rPr>
          <w:lang w:eastAsia="zh-CN"/>
        </w:rPr>
      </w:pPr>
      <w:r w:rsidRPr="00720A4A">
        <w:rPr>
          <w:rFonts w:asciiTheme="minorHAnsi" w:hAnsiTheme="minorHAnsi" w:cstheme="minorHAnsi"/>
          <w:lang w:eastAsia="zh-CN"/>
        </w:rPr>
        <w:t>–</w:t>
      </w:r>
      <w:r w:rsidRPr="00720A4A">
        <w:rPr>
          <w:rFonts w:asciiTheme="minorHAnsi" w:hAnsiTheme="minorHAnsi" w:cstheme="minorHAnsi"/>
          <w:lang w:eastAsia="zh-CN"/>
        </w:rPr>
        <w:tab/>
      </w:r>
      <w:r w:rsidR="00DF2EA9">
        <w:rPr>
          <w:lang w:eastAsia="zh-CN"/>
        </w:rPr>
        <w:t>China supports to consider the introduction of units in categories A1 and N4, with a different fee being charged for more complex or larger systems, depending on the number of units. For submissions falling in the A1 category, units could be defined as the product of the number of frequency ranges, the number of classes of stations, and the number of emissions summed up for all frequency groups. For submissions falling in the N4 category, units could be defined as the product of the number of frequency assi</w:t>
      </w:r>
      <w:r w:rsidR="00DF2EA9">
        <w:rPr>
          <w:lang w:eastAsia="zh-CN"/>
        </w:rPr>
        <w:t>gnments, the number of classes of stations, and the number of emissions summed up for all frequency groups.</w:t>
      </w:r>
    </w:p>
    <w:p w14:paraId="3B735AEF" w14:textId="4D77839C" w:rsidR="00EC61D7" w:rsidRDefault="008052FA" w:rsidP="008052FA">
      <w:pPr>
        <w:pStyle w:val="enumlev1"/>
        <w:jc w:val="both"/>
        <w:rPr>
          <w:lang w:eastAsia="zh-CN"/>
        </w:rPr>
      </w:pPr>
      <w:r w:rsidRPr="00720A4A">
        <w:rPr>
          <w:rFonts w:asciiTheme="minorHAnsi" w:hAnsiTheme="minorHAnsi" w:cstheme="minorHAnsi"/>
          <w:lang w:eastAsia="zh-CN"/>
        </w:rPr>
        <w:t>–</w:t>
      </w:r>
      <w:r w:rsidRPr="00720A4A">
        <w:rPr>
          <w:rFonts w:asciiTheme="minorHAnsi" w:hAnsiTheme="minorHAnsi" w:cstheme="minorHAnsi"/>
          <w:lang w:eastAsia="zh-CN"/>
        </w:rPr>
        <w:tab/>
      </w:r>
      <w:r w:rsidR="00DF2EA9">
        <w:rPr>
          <w:lang w:eastAsia="zh-CN"/>
        </w:rPr>
        <w:t>When considering the introduction of units in categories A1 and N4, proposals for start fee and flat fee should avoid significant changes for the current fee of the small non-GSO satellite system.</w:t>
      </w:r>
    </w:p>
    <w:p w14:paraId="537448E2" w14:textId="4BBC8D50" w:rsidR="00EC61D7" w:rsidRDefault="008052FA" w:rsidP="008052FA">
      <w:pPr>
        <w:pStyle w:val="enumlev1"/>
        <w:jc w:val="both"/>
        <w:rPr>
          <w:lang w:eastAsia="zh-CN"/>
        </w:rPr>
      </w:pPr>
      <w:r w:rsidRPr="00720A4A">
        <w:rPr>
          <w:rFonts w:asciiTheme="minorHAnsi" w:hAnsiTheme="minorHAnsi" w:cstheme="minorHAnsi"/>
          <w:lang w:eastAsia="zh-CN"/>
        </w:rPr>
        <w:t>–</w:t>
      </w:r>
      <w:r w:rsidRPr="00720A4A">
        <w:rPr>
          <w:rFonts w:asciiTheme="minorHAnsi" w:hAnsiTheme="minorHAnsi" w:cstheme="minorHAnsi"/>
          <w:lang w:eastAsia="zh-CN"/>
        </w:rPr>
        <w:tab/>
      </w:r>
      <w:r w:rsidR="00DF2EA9">
        <w:rPr>
          <w:rFonts w:hint="eastAsia"/>
          <w:lang w:eastAsia="zh-CN"/>
        </w:rPr>
        <w:t>F</w:t>
      </w:r>
      <w:r w:rsidR="00DF2EA9">
        <w:rPr>
          <w:lang w:eastAsia="zh-CN"/>
        </w:rPr>
        <w:t>or categor</w:t>
      </w:r>
      <w:r>
        <w:rPr>
          <w:lang w:eastAsia="zh-CN"/>
        </w:rPr>
        <w:t>ies</w:t>
      </w:r>
      <w:r w:rsidR="00DF2EA9">
        <w:rPr>
          <w:lang w:eastAsia="zh-CN"/>
        </w:rPr>
        <w:t xml:space="preserve"> A1 and N4, </w:t>
      </w:r>
      <w:r>
        <w:rPr>
          <w:lang w:eastAsia="zh-CN"/>
        </w:rPr>
        <w:t xml:space="preserve">the </w:t>
      </w:r>
      <w:r w:rsidR="00DF2EA9">
        <w:rPr>
          <w:lang w:eastAsia="zh-CN"/>
        </w:rPr>
        <w:t>start fee and flat fee proposed by BR could be accepted.</w:t>
      </w:r>
    </w:p>
    <w:p w14:paraId="2F1CD993" w14:textId="77777777" w:rsidR="00EC61D7" w:rsidRDefault="00DF2EA9" w:rsidP="008052FA">
      <w:pPr>
        <w:jc w:val="both"/>
        <w:rPr>
          <w:lang w:eastAsia="zh-CN"/>
        </w:rPr>
      </w:pPr>
      <w:r>
        <w:rPr>
          <w:rFonts w:hint="eastAsia"/>
          <w:lang w:eastAsia="zh-CN"/>
        </w:rPr>
        <w:t>N</w:t>
      </w:r>
      <w:r>
        <w:rPr>
          <w:lang w:eastAsia="zh-CN"/>
        </w:rPr>
        <w:t xml:space="preserve">oting that there is no big difficulty </w:t>
      </w:r>
      <w:r>
        <w:rPr>
          <w:rFonts w:hint="eastAsia"/>
          <w:lang w:val="en-US" w:eastAsia="zh-CN"/>
        </w:rPr>
        <w:t>in reaching an agreement</w:t>
      </w:r>
      <w:r>
        <w:t xml:space="preserve"> </w:t>
      </w:r>
      <w:r>
        <w:rPr>
          <w:lang w:eastAsia="zh-CN"/>
        </w:rPr>
        <w:t xml:space="preserve">on this study item during the </w:t>
      </w:r>
      <w:r>
        <w:t xml:space="preserve">third meeting of the Expert Group on Decision 482 but more time is needed, China proposes to have further discussion on this item during the fourth meeting and reflect the result in the </w:t>
      </w:r>
      <w:r>
        <w:rPr>
          <w:rFonts w:asciiTheme="minorHAnsi" w:eastAsia="SimSun" w:hAnsiTheme="minorHAnsi"/>
          <w:szCs w:val="24"/>
          <w:lang w:val="en-AU" w:eastAsia="en-AU"/>
        </w:rPr>
        <w:t>possible amendments to the Annex to Council Decision 482</w:t>
      </w:r>
      <w:r>
        <w:t>.</w:t>
      </w:r>
    </w:p>
    <w:p w14:paraId="00D39D38" w14:textId="77777777" w:rsidR="00EC61D7" w:rsidRDefault="00DF2EA9" w:rsidP="008052FA">
      <w:pPr>
        <w:rPr>
          <w:lang w:eastAsia="zh-CN"/>
        </w:rPr>
      </w:pPr>
      <w:r>
        <w:rPr>
          <w:lang w:eastAsia="zh-CN"/>
        </w:rPr>
        <w:t>(…)</w:t>
      </w:r>
    </w:p>
    <w:p w14:paraId="51432564" w14:textId="3B454EA2" w:rsidR="00EC61D7" w:rsidRDefault="00DF2EA9" w:rsidP="008052FA">
      <w:pPr>
        <w:pStyle w:val="Heading1"/>
      </w:pPr>
      <w:r>
        <w:t>3</w:t>
      </w:r>
      <w:r>
        <w:tab/>
      </w:r>
      <w:r>
        <w:t>Conclusion</w:t>
      </w:r>
    </w:p>
    <w:p w14:paraId="17FE4213" w14:textId="1AD6338E" w:rsidR="00EC61D7" w:rsidRDefault="00DF2EA9" w:rsidP="008052FA">
      <w:pPr>
        <w:jc w:val="both"/>
        <w:rPr>
          <w:lang w:val="en-AU" w:eastAsia="en-AU"/>
        </w:rPr>
      </w:pPr>
      <w:r>
        <w:rPr>
          <w:lang w:val="en-AU" w:eastAsia="en-AU"/>
        </w:rPr>
        <w:t xml:space="preserve">Regarding revisions to Decision 482 to ensure that costs associated with the processing of satellite network filings are appropriately recovered, China proposes that </w:t>
      </w:r>
      <w:r>
        <w:rPr>
          <w:lang w:val="en-AU" w:eastAsia="en-AU"/>
        </w:rPr>
        <w:t>the Expert Group could consider the above comments.</w:t>
      </w:r>
    </w:p>
    <w:bookmarkEnd w:id="3"/>
    <w:bookmarkEnd w:id="4"/>
    <w:bookmarkEnd w:id="5"/>
    <w:bookmarkEnd w:id="10"/>
    <w:p w14:paraId="0E1DD849" w14:textId="77777777" w:rsidR="00EC61D7" w:rsidRDefault="00EC61D7" w:rsidP="008052FA">
      <w:pPr>
        <w:pStyle w:val="Reasons"/>
      </w:pPr>
    </w:p>
    <w:p w14:paraId="29FF32ED" w14:textId="77777777" w:rsidR="00EC61D7" w:rsidRDefault="00DF2EA9">
      <w:pPr>
        <w:tabs>
          <w:tab w:val="clear" w:pos="567"/>
          <w:tab w:val="clear" w:pos="1134"/>
          <w:tab w:val="clear" w:pos="1701"/>
          <w:tab w:val="clear" w:pos="2268"/>
          <w:tab w:val="clear" w:pos="2835"/>
        </w:tabs>
        <w:overflowPunct/>
        <w:autoSpaceDE/>
        <w:autoSpaceDN/>
        <w:adjustRightInd/>
        <w:spacing w:before="0"/>
        <w:jc w:val="center"/>
        <w:textAlignment w:val="auto"/>
      </w:pPr>
      <w:r>
        <w:t>______________</w:t>
      </w:r>
    </w:p>
    <w:sectPr w:rsidR="00EC61D7">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88E9" w14:textId="77777777" w:rsidR="00DF2EA9" w:rsidRDefault="00DF2EA9">
      <w:pPr>
        <w:spacing w:before="0"/>
      </w:pPr>
      <w:r>
        <w:separator/>
      </w:r>
    </w:p>
  </w:endnote>
  <w:endnote w:type="continuationSeparator" w:id="0">
    <w:p w14:paraId="22A717F2" w14:textId="77777777" w:rsidR="00DF2EA9" w:rsidRDefault="00DF2E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C61D7" w14:paraId="3F72D867" w14:textId="77777777">
      <w:trPr>
        <w:jc w:val="center"/>
      </w:trPr>
      <w:tc>
        <w:tcPr>
          <w:tcW w:w="1803" w:type="dxa"/>
          <w:vAlign w:val="center"/>
        </w:tcPr>
        <w:p w14:paraId="7F368465" w14:textId="77777777" w:rsidR="00EC61D7" w:rsidRDefault="00EC61D7">
          <w:pPr>
            <w:pStyle w:val="Header"/>
            <w:jc w:val="left"/>
            <w:rPr>
              <w:rFonts w:eastAsiaTheme="minorHAnsi" w:cstheme="minorBidi"/>
              <w:color w:val="7F7F7F" w:themeColor="text1" w:themeTint="80"/>
            </w:rPr>
          </w:pPr>
        </w:p>
      </w:tc>
      <w:tc>
        <w:tcPr>
          <w:tcW w:w="8261" w:type="dxa"/>
        </w:tcPr>
        <w:p w14:paraId="69821BD6" w14:textId="660D8AFF" w:rsidR="00EC61D7" w:rsidRDefault="00DF2EA9">
          <w:pPr>
            <w:pStyle w:val="Header"/>
            <w:tabs>
              <w:tab w:val="left" w:pos="6309"/>
              <w:tab w:val="right" w:pos="8505"/>
              <w:tab w:val="right" w:pos="9639"/>
            </w:tabs>
            <w:jc w:val="left"/>
            <w:rPr>
              <w:rFonts w:ascii="Arial" w:eastAsiaTheme="minorHAnsi" w:hAnsi="Arial" w:cs="Arial"/>
              <w:b/>
              <w:bCs/>
              <w:color w:val="7F7F7F" w:themeColor="text1" w:themeTint="80"/>
              <w:szCs w:val="18"/>
              <w:lang w:val="es-ES"/>
            </w:rPr>
          </w:pPr>
          <w:r>
            <w:rPr>
              <w:rFonts w:eastAsiaTheme="minorHAnsi" w:cstheme="minorBidi"/>
              <w:bCs/>
              <w:color w:val="7F7F7F" w:themeColor="text1" w:themeTint="80"/>
              <w:lang w:val="fr-CH"/>
            </w:rPr>
            <w:tab/>
          </w:r>
          <w:r>
            <w:rPr>
              <w:rFonts w:eastAsiaTheme="minorHAnsi" w:cstheme="minorBidi"/>
              <w:bCs/>
              <w:color w:val="7F7F7F" w:themeColor="text1" w:themeTint="80"/>
            </w:rPr>
            <w:t>EG-DEC482-4</w:t>
          </w:r>
          <w:r>
            <w:rPr>
              <w:rFonts w:eastAsiaTheme="minorHAnsi" w:cstheme="minorBidi"/>
              <w:bCs/>
              <w:color w:val="7F7F7F" w:themeColor="text1" w:themeTint="80"/>
              <w:lang w:val="es-ES"/>
            </w:rPr>
            <w:t>/</w:t>
          </w:r>
          <w:r w:rsidR="00507C71">
            <w:rPr>
              <w:rFonts w:eastAsiaTheme="minorHAnsi" w:cstheme="minorBidi"/>
              <w:bCs/>
              <w:color w:val="7F7F7F" w:themeColor="text1" w:themeTint="80"/>
              <w:lang w:val="es-ES"/>
            </w:rPr>
            <w:t>2</w:t>
          </w:r>
          <w:r>
            <w:rPr>
              <w:rFonts w:eastAsiaTheme="minorHAnsi" w:cstheme="minorBidi"/>
              <w:bCs/>
              <w:color w:val="7F7F7F" w:themeColor="text1" w:themeTint="80"/>
              <w:lang w:val="es-ES"/>
            </w:rPr>
            <w:t>-E</w:t>
          </w:r>
          <w:r>
            <w:rPr>
              <w:rFonts w:eastAsiaTheme="minorHAnsi" w:cstheme="minorBidi"/>
              <w:bCs/>
              <w:color w:val="7F7F7F" w:themeColor="text1" w:themeTint="80"/>
              <w:lang w:val="es-ES"/>
            </w:rPr>
            <w:tab/>
          </w:r>
          <w:r>
            <w:rPr>
              <w:rFonts w:eastAsiaTheme="minorHAnsi" w:cstheme="minorBidi"/>
              <w:color w:val="7F7F7F" w:themeColor="text1" w:themeTint="80"/>
            </w:rPr>
            <w:fldChar w:fldCharType="begin"/>
          </w:r>
          <w:r>
            <w:rPr>
              <w:rFonts w:eastAsiaTheme="minorHAnsi" w:cstheme="minorBidi"/>
              <w:color w:val="7F7F7F" w:themeColor="text1" w:themeTint="80"/>
              <w:lang w:val="es-ES"/>
            </w:rPr>
            <w:instrText>PAGE</w:instrText>
          </w:r>
          <w:r>
            <w:rPr>
              <w:rFonts w:eastAsiaTheme="minorHAnsi" w:cstheme="minorBidi"/>
              <w:color w:val="7F7F7F" w:themeColor="text1" w:themeTint="80"/>
            </w:rPr>
            <w:fldChar w:fldCharType="separate"/>
          </w:r>
          <w:r>
            <w:rPr>
              <w:rFonts w:eastAsiaTheme="minorHAnsi" w:cstheme="minorBidi"/>
              <w:color w:val="7F7F7F" w:themeColor="text1" w:themeTint="80"/>
              <w:lang w:val="es-ES"/>
            </w:rPr>
            <w:t>3</w:t>
          </w:r>
          <w:r>
            <w:rPr>
              <w:rFonts w:eastAsiaTheme="minorHAnsi" w:cstheme="minorBidi"/>
              <w:color w:val="7F7F7F" w:themeColor="text1" w:themeTint="80"/>
            </w:rPr>
            <w:fldChar w:fldCharType="end"/>
          </w:r>
        </w:p>
      </w:tc>
    </w:tr>
  </w:tbl>
  <w:p w14:paraId="33E4C455" w14:textId="77777777" w:rsidR="00EC61D7" w:rsidRDefault="00EC61D7">
    <w:pPr>
      <w:pStyle w:val="Header"/>
      <w:tabs>
        <w:tab w:val="left" w:pos="8080"/>
        <w:tab w:val="right" w:pos="9072"/>
      </w:tabs>
      <w:jc w:val="left"/>
      <w:rPr>
        <w:bCs/>
        <w:color w:val="7F7F7F" w:themeColor="text1" w:themeTint="8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C61D7" w14:paraId="392ECDE6" w14:textId="77777777">
      <w:trPr>
        <w:jc w:val="center"/>
      </w:trPr>
      <w:tc>
        <w:tcPr>
          <w:tcW w:w="3107" w:type="dxa"/>
          <w:vAlign w:val="center"/>
        </w:tcPr>
        <w:p w14:paraId="0719A166" w14:textId="77777777" w:rsidR="00EC61D7" w:rsidRPr="00507C71" w:rsidRDefault="00DF2EA9">
          <w:pPr>
            <w:pStyle w:val="Header"/>
            <w:jc w:val="left"/>
            <w:rPr>
              <w:rStyle w:val="Hyperlink"/>
              <w:u w:val="none"/>
            </w:rPr>
          </w:pPr>
          <w:hyperlink r:id="rId1" w:history="1">
            <w:r w:rsidRPr="00507C71">
              <w:rPr>
                <w:rStyle w:val="Hyperlink"/>
                <w:u w:val="none"/>
              </w:rPr>
              <w:t>council.itu.int/working-groups</w:t>
            </w:r>
          </w:hyperlink>
        </w:p>
      </w:tc>
      <w:tc>
        <w:tcPr>
          <w:tcW w:w="6957" w:type="dxa"/>
        </w:tcPr>
        <w:p w14:paraId="7D517628" w14:textId="6BD9EFB9" w:rsidR="00EC61D7" w:rsidRDefault="00DF2EA9">
          <w:pPr>
            <w:pStyle w:val="Header"/>
            <w:tabs>
              <w:tab w:val="left" w:pos="5008"/>
              <w:tab w:val="right" w:pos="8505"/>
              <w:tab w:val="right" w:pos="9639"/>
            </w:tabs>
            <w:jc w:val="left"/>
            <w:rPr>
              <w:rFonts w:ascii="Arial" w:eastAsiaTheme="minorHAnsi" w:hAnsi="Arial" w:cs="Arial"/>
              <w:b/>
              <w:bCs/>
              <w:color w:val="7F7F7F" w:themeColor="text1" w:themeTint="80"/>
              <w:szCs w:val="18"/>
              <w:lang w:val="es-ES"/>
            </w:rPr>
          </w:pPr>
          <w:r>
            <w:rPr>
              <w:rFonts w:eastAsiaTheme="minorHAnsi" w:cstheme="minorBidi"/>
              <w:bCs/>
              <w:color w:val="7F7F7F" w:themeColor="text1" w:themeTint="80"/>
            </w:rPr>
            <w:tab/>
            <w:t>EG-DEC482-4</w:t>
          </w:r>
          <w:r>
            <w:rPr>
              <w:rFonts w:eastAsiaTheme="minorHAnsi" w:cstheme="minorBidi"/>
              <w:bCs/>
              <w:color w:val="7F7F7F" w:themeColor="text1" w:themeTint="80"/>
              <w:lang w:val="es-ES"/>
            </w:rPr>
            <w:t>/</w:t>
          </w:r>
          <w:r w:rsidR="00507C71">
            <w:rPr>
              <w:rFonts w:eastAsiaTheme="minorHAnsi" w:cstheme="minorBidi"/>
              <w:bCs/>
              <w:color w:val="7F7F7F" w:themeColor="text1" w:themeTint="80"/>
              <w:lang w:val="es-ES"/>
            </w:rPr>
            <w:t>2</w:t>
          </w:r>
          <w:r>
            <w:rPr>
              <w:rFonts w:eastAsiaTheme="minorHAnsi" w:cstheme="minorBidi"/>
              <w:bCs/>
              <w:color w:val="7F7F7F" w:themeColor="text1" w:themeTint="80"/>
              <w:lang w:val="es-ES"/>
            </w:rPr>
            <w:t>-E</w:t>
          </w:r>
          <w:r>
            <w:rPr>
              <w:rFonts w:eastAsiaTheme="minorHAnsi" w:cstheme="minorBidi"/>
              <w:bCs/>
              <w:color w:val="7F7F7F" w:themeColor="text1" w:themeTint="80"/>
              <w:lang w:val="es-ES"/>
            </w:rPr>
            <w:tab/>
          </w:r>
          <w:r>
            <w:rPr>
              <w:rFonts w:eastAsiaTheme="minorHAnsi" w:cstheme="minorBidi"/>
              <w:color w:val="7F7F7F" w:themeColor="text1" w:themeTint="80"/>
            </w:rPr>
            <w:fldChar w:fldCharType="begin"/>
          </w:r>
          <w:r>
            <w:rPr>
              <w:rFonts w:eastAsiaTheme="minorHAnsi" w:cstheme="minorBidi"/>
              <w:color w:val="7F7F7F" w:themeColor="text1" w:themeTint="80"/>
              <w:lang w:val="es-ES"/>
            </w:rPr>
            <w:instrText>PAGE</w:instrText>
          </w:r>
          <w:r>
            <w:rPr>
              <w:rFonts w:eastAsiaTheme="minorHAnsi" w:cstheme="minorBidi"/>
              <w:color w:val="7F7F7F" w:themeColor="text1" w:themeTint="80"/>
            </w:rPr>
            <w:fldChar w:fldCharType="separate"/>
          </w:r>
          <w:r>
            <w:rPr>
              <w:rFonts w:eastAsiaTheme="minorHAnsi" w:cstheme="minorBidi"/>
              <w:color w:val="7F7F7F" w:themeColor="text1" w:themeTint="80"/>
              <w:lang w:val="es-ES"/>
            </w:rPr>
            <w:t>1</w:t>
          </w:r>
          <w:r>
            <w:rPr>
              <w:rFonts w:eastAsiaTheme="minorHAnsi" w:cstheme="minorBidi"/>
              <w:color w:val="7F7F7F" w:themeColor="text1" w:themeTint="80"/>
            </w:rPr>
            <w:fldChar w:fldCharType="end"/>
          </w:r>
        </w:p>
      </w:tc>
    </w:tr>
  </w:tbl>
  <w:p w14:paraId="539DC3A6" w14:textId="77777777" w:rsidR="00EC61D7" w:rsidRDefault="00EC61D7">
    <w:pPr>
      <w:pStyle w:val="Header"/>
      <w:tabs>
        <w:tab w:val="left" w:pos="8080"/>
        <w:tab w:val="right" w:pos="9072"/>
      </w:tabs>
      <w:jc w:val="right"/>
      <w:rPr>
        <w:bCs/>
        <w:color w:val="7F7F7F" w:themeColor="text1" w:themeTint="8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1D86" w14:textId="77777777" w:rsidR="00EC61D7" w:rsidRDefault="00DF2EA9">
      <w:pPr>
        <w:spacing w:before="0"/>
      </w:pPr>
      <w:r>
        <w:separator/>
      </w:r>
    </w:p>
  </w:footnote>
  <w:footnote w:type="continuationSeparator" w:id="0">
    <w:p w14:paraId="030446B0" w14:textId="77777777" w:rsidR="00EC61D7" w:rsidRDefault="00DF2EA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C61D7" w14:paraId="4FCC4E06" w14:textId="77777777">
      <w:trPr>
        <w:trHeight w:val="1304"/>
        <w:jc w:val="center"/>
      </w:trPr>
      <w:tc>
        <w:tcPr>
          <w:tcW w:w="6546" w:type="dxa"/>
        </w:tcPr>
        <w:p w14:paraId="1AA2F937" w14:textId="77777777" w:rsidR="00EC61D7" w:rsidRDefault="00DF2EA9">
          <w:pPr>
            <w:pStyle w:val="Header"/>
            <w:jc w:val="left"/>
            <w:rPr>
              <w:rFonts w:ascii="Arial" w:eastAsiaTheme="minorHAnsi" w:hAnsi="Arial" w:cs="Arial"/>
              <w:b/>
              <w:bCs/>
              <w:color w:val="009CD6"/>
              <w:sz w:val="36"/>
              <w:szCs w:val="36"/>
              <w14:textFill>
                <w14:solidFill>
                  <w14:srgbClr w14:val="009CD6">
                    <w14:lumMod w14:val="50000"/>
                    <w14:lumOff w14:val="50000"/>
                  </w14:srgbClr>
                </w14:solidFill>
              </w14:textFill>
            </w:rPr>
          </w:pPr>
          <w:bookmarkStart w:id="11" w:name="_Hlk133422111"/>
          <w:r>
            <w:rPr>
              <w:rFonts w:ascii="Arial" w:eastAsiaTheme="minorHAnsi" w:hAnsi="Arial" w:cs="Arial"/>
              <w:b/>
              <w:bCs/>
              <w:noProof/>
              <w:color w:val="009CD6"/>
              <w:sz w:val="36"/>
              <w:szCs w:val="36"/>
              <w:lang w:val="en-US" w:eastAsia="zh-CN"/>
              <w14:textFill>
                <w14:solidFill>
                  <w14:srgbClr w14:val="009CD6">
                    <w14:lumMod w14:val="50000"/>
                    <w14:lumOff w14:val="50000"/>
                  </w14:srgbClr>
                </w14:solidFill>
              </w14:textFill>
            </w:rPr>
            <w:drawing>
              <wp:inline distT="0" distB="0" distL="0" distR="0" wp14:anchorId="22CBE553" wp14:editId="032976F3">
                <wp:extent cx="3671570" cy="611505"/>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93F6A33" w14:textId="77777777" w:rsidR="00EC61D7" w:rsidRDefault="00EC61D7">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10DA21B6" w14:textId="77777777" w:rsidR="00EC61D7" w:rsidRDefault="00EC61D7">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1B4C0E46" w14:textId="77777777" w:rsidR="00EC61D7" w:rsidRDefault="00DF2EA9">
          <w:pPr>
            <w:pStyle w:val="Header"/>
            <w:jc w:val="right"/>
            <w:rPr>
              <w:rFonts w:ascii="Arial" w:eastAsiaTheme="minorHAnsi" w:hAnsi="Arial" w:cs="Arial"/>
              <w:color w:val="009CD6"/>
              <w:szCs w:val="18"/>
              <w14:textFill>
                <w14:solidFill>
                  <w14:srgbClr w14:val="009CD6">
                    <w14:lumMod w14:val="50000"/>
                    <w14:lumOff w14:val="50000"/>
                  </w14:srgbClr>
                </w14:solidFill>
              </w14:textFill>
            </w:rPr>
          </w:pPr>
          <w:r>
            <w:rPr>
              <w:rFonts w:ascii="Arial" w:eastAsiaTheme="minorHAnsi" w:hAnsi="Arial" w:cs="Arial"/>
              <w:b/>
              <w:bCs/>
              <w:color w:val="009CD6"/>
              <w:szCs w:val="18"/>
              <w14:textFill>
                <w14:solidFill>
                  <w14:srgbClr w14:val="009CD6">
                    <w14:lumMod w14:val="50000"/>
                    <w14:lumOff w14:val="50000"/>
                  </w14:srgbClr>
                </w14:solidFill>
              </w14:textFill>
            </w:rPr>
            <w:t xml:space="preserve"> </w:t>
          </w:r>
        </w:p>
      </w:tc>
    </w:tr>
  </w:tbl>
  <w:bookmarkEnd w:id="11"/>
  <w:p w14:paraId="6BDA17AA" w14:textId="77777777" w:rsidR="00EC61D7" w:rsidRDefault="00DF2EA9">
    <w:pPr>
      <w:pStyle w:val="Header"/>
      <w:rPr>
        <w:color w:val="7F7F7F" w:themeColor="text1" w:themeTint="80"/>
      </w:rPr>
    </w:pPr>
    <w:r>
      <w:rPr>
        <w:rFonts w:ascii="Arial" w:eastAsiaTheme="minorHAnsi" w:hAnsi="Arial" w:cs="Arial"/>
        <w:b/>
        <w:bCs/>
        <w:noProof/>
        <w:color w:val="009CD6"/>
        <w:szCs w:val="18"/>
        <w:lang w:val="en-US" w:eastAsia="zh-CN"/>
        <w14:textFill>
          <w14:solidFill>
            <w14:srgbClr w14:val="009CD6">
              <w14:lumMod w14:val="50000"/>
              <w14:lumOff w14:val="50000"/>
            </w14:srgbClr>
          </w14:solidFill>
        </w14:textFill>
      </w:rPr>
      <mc:AlternateContent>
        <mc:Choice Requires="wps">
          <w:drawing>
            <wp:anchor distT="0" distB="0" distL="114300" distR="114300" simplePos="0" relativeHeight="251660288" behindDoc="0" locked="0" layoutInCell="1" allowOverlap="1" wp14:anchorId="68C4FAED" wp14:editId="67DB4E35">
              <wp:simplePos x="0" y="0"/>
              <wp:positionH relativeFrom="column">
                <wp:posOffset>1201420</wp:posOffset>
              </wp:positionH>
              <wp:positionV relativeFrom="paragraph">
                <wp:posOffset>-829945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ln>
                    </wps:spPr>
                    <wps:txbx>
                      <w:txbxContent>
                        <w:p w14:paraId="509839A3" w14:textId="77777777" w:rsidR="00EC61D7" w:rsidRDefault="00DF2EA9">
                          <w:pPr>
                            <w:spacing w:before="0"/>
                            <w:ind w:left="-57"/>
                          </w:pPr>
                          <w:r>
                            <w:rPr>
                              <w:b/>
                              <w:bCs/>
                              <w:szCs w:val="24"/>
                            </w:rPr>
                            <w:t xml:space="preserve">Expert Group </w:t>
                          </w:r>
                          <w:r>
                            <w:rPr>
                              <w:b/>
                              <w:bCs/>
                              <w:szCs w:val="24"/>
                            </w:rPr>
                            <w:br/>
                            <w:t>on Decision 482</w:t>
                          </w:r>
                          <w:r>
                            <w:br/>
                          </w:r>
                          <w:r>
                            <w:rPr>
                              <w:sz w:val="20"/>
                            </w:rPr>
                            <w:t>Fourth meeting – From 10 to 11 April 2025</w:t>
                          </w:r>
                        </w:p>
                      </w:txbxContent>
                    </wps:txbx>
                    <wps:bodyPr rot="0" vert="horz" wrap="square" lIns="36000" tIns="45720" rIns="91440" bIns="45720" anchor="t" anchorCtr="0">
                      <a:spAutoFit/>
                    </wps:bodyPr>
                  </wps:wsp>
                </a:graphicData>
              </a:graphic>
            </wp:anchor>
          </w:drawing>
        </mc:Choice>
        <mc:Fallback>
          <w:pict>
            <v:shapetype w14:anchorId="68C4FAED" id="_x0000_t202" coordsize="21600,21600" o:spt="202" path="m,l,21600r21600,l21600,xe">
              <v:stroke joinstyle="miter"/>
              <v:path gradientshapeok="t" o:connecttype="rect"/>
            </v:shapetype>
            <v:shape id="Text Box 2" o:spid="_x0000_s1026" type="#_x0000_t202" style="position:absolute;left:0;text-align:left;margin-left:94.6pt;margin-top:-65.35pt;width:314.9pt;height:3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eOBQIAAN0DAAAOAAAAZHJzL2Uyb0RvYy54bWysU8tu2zAQvBfoPxC817L8iGPBcpA6cFEg&#10;TQuk+QCKoiyiFJdd0pbcr++SdpwgvQXVgeBqucOd2eHqZugMOyj0GmzJ89GYM2Ul1NruSv70c/vp&#10;mjMfhK2FAatKflSe36w/flj1rlATaMHUChmBWF/0ruRtCK7IMi9b1Qk/AqcsJRvATgQKcZfVKHpC&#10;70w2GY+vsh6wdghSeU9/705Jvk74TaNk+N40XgVmSk69hbRiWqu4ZuuVKHYoXKvluQ3xji46oS1d&#10;eoG6E0GwPep/oDotETw0YSShy6BptFSJA7HJx2/YPLbCqcSFxPHuIpP/f7Dy4fDofiALw2cYaICJ&#10;hHf3IH95ZmHTCrtTt4jQt0rUdHEeJct654tzaZTaFz6CVP03qGnIYh8gAQ0NdlEV4skInQZwvIiu&#10;hsAk/Zwul8vJlFKScrNFni/SVDJRPFc79OGLgo7FTcmRhprQxeHeh9iNKJ6PxMs8GF1vtTEpiEZS&#10;G4PsIMgC1e7U/5tTxrK+5Mv5ZJ6ALcTyZI1OB/Kn0V3Jr8fxS/RFYexZhUj8JEEYqoFqohoV1EfS&#10;A+HkN3oftGkB/3DWk9dK7n/vBSrOzFdLmk6vIjALKZjNFxMKMAXLfDajoHqdEVYSVMkDZ6ftJiRD&#10;J7rulrTf6iTLSyfnXslDSa2z36NJX8fp1MurXP8FAAD//wMAUEsDBBQABgAIAAAAIQDjMEBq4QAA&#10;AAwBAAAPAAAAZHJzL2Rvd25yZXYueG1sTI9LT8MwEITvSPwHa5G4tXaKGtIQp0KVOBUOBITg5sSb&#10;hxo/FLtt+u9ZTvQ4s59mZ4rtbEZ2wikMzkpIlgIY2sbpwXYSPj9eFhmwEJXVanQWJVwwwLa8vSlU&#10;rt3ZvuOpih2jEBtyJaGP0eech6ZHo8LSebR0a91kVCQ5dVxP6kzhZuQrIVJu1GDpQ6887npsDtXR&#10;SMiaw49ov3eZr14vaevr/dtXupfy/m5+fgIWcY7/MPzVp+pQUqfaHa0ObCSdbVaESlgkD+IRGCFZ&#10;sqF5NVnrdA28LPj1iPIXAAD//wMAUEsBAi0AFAAGAAgAAAAhALaDOJL+AAAA4QEAABMAAAAAAAAA&#10;AAAAAAAAAAAAAFtDb250ZW50X1R5cGVzXS54bWxQSwECLQAUAAYACAAAACEAOP0h/9YAAACUAQAA&#10;CwAAAAAAAAAAAAAAAAAvAQAAX3JlbHMvLnJlbHNQSwECLQAUAAYACAAAACEAAGV3jgUCAADdAwAA&#10;DgAAAAAAAAAAAAAAAAAuAgAAZHJzL2Uyb0RvYy54bWxQSwECLQAUAAYACAAAACEA4zBAauEAAAAM&#10;AQAADwAAAAAAAAAAAAAAAABfBAAAZHJzL2Rvd25yZXYueG1sUEsFBgAAAAAEAAQA8wAAAG0FAAAA&#10;AA==&#10;" fillcolor="white [3212]" stroked="f">
              <v:textbox style="mso-fit-shape-to-text:t" inset="1mm">
                <w:txbxContent>
                  <w:p w14:paraId="509839A3" w14:textId="77777777" w:rsidR="00EC61D7" w:rsidRDefault="00DF2EA9">
                    <w:pPr>
                      <w:spacing w:before="0"/>
                      <w:ind w:left="-57"/>
                    </w:pPr>
                    <w:r>
                      <w:rPr>
                        <w:b/>
                        <w:bCs/>
                        <w:szCs w:val="24"/>
                      </w:rPr>
                      <w:t xml:space="preserve">Expert Group </w:t>
                    </w:r>
                    <w:r>
                      <w:rPr>
                        <w:b/>
                        <w:bCs/>
                        <w:szCs w:val="24"/>
                      </w:rPr>
                      <w:br/>
                      <w:t>on Decision 482</w:t>
                    </w:r>
                    <w:r>
                      <w:br/>
                    </w:r>
                    <w:r>
                      <w:rPr>
                        <w:sz w:val="20"/>
                      </w:rPr>
                      <w:t>Fourth meeting – From 10 to 11 April 2025</w:t>
                    </w:r>
                  </w:p>
                </w:txbxContent>
              </v:textbox>
            </v:shape>
          </w:pict>
        </mc:Fallback>
      </mc:AlternateContent>
    </w:r>
    <w:r>
      <w:rPr>
        <w:rFonts w:ascii="Avenir Nxt2 W1G Medium" w:eastAsia="Avenir Nxt2 W1G Medium" w:hAnsi="Avenir Nxt2 W1G Medium" w:cs="Avenir Nxt2 W1G Medium"/>
        <w:noProof/>
        <w:color w:val="7F7F7F" w:themeColor="text1" w:themeTint="80"/>
        <w:lang w:val="en-US" w:eastAsia="zh-CN"/>
      </w:rPr>
      <mc:AlternateContent>
        <mc:Choice Requires="wps">
          <w:drawing>
            <wp:anchor distT="0" distB="0" distL="114300" distR="114300" simplePos="0" relativeHeight="251659264" behindDoc="0" locked="0" layoutInCell="1" allowOverlap="1" wp14:anchorId="63543E9D" wp14:editId="31F2F47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1.15pt;margin-top:43.75pt;height:34pt;width:7.35pt;mso-position-horizontal-relative:page;mso-position-vertical-relative:page;z-index:251659264;mso-width-relative:page;mso-height-relative:page;" fillcolor="#009CD5" filled="t" stroked="f" coordsize="21600,21600" o:gfxdata="UEsDBAoAAAAAAIdO4kAAAAAAAAAAAAAAAAAEAAAAZHJzL1BLAwQUAAAACACHTuJAX1djFNcAAAAH&#10;AQAADwAAAGRycy9kb3ducmV2LnhtbE2PvU7DQBCEeyTe4bRIdOQcI+PIeJ0CQRGFAkKadBffYht8&#10;e8Z3+ePp2VShGq1mNPNtOT+6Xu1pDJ1nhOkkAUVce9txg7D+eLmbgQrRsDW9Z0I4UYB5dX1VmsL6&#10;A7/TfhUbJSUcCoPQxjgUWoe6JWfCxA/E4n360Zko59hoO5qDlLtep0nyoJ3pWBZaM9BTS/X3aucQ&#10;4iZt8tPbMqbr5+XP69di0f3aDeLtzTR5BBXpGC9hOOMLOlTCtPU7tkH1COm9BBFmeQbqbOfy2VY0&#10;yzLQVan/81d/UEsDBBQAAAAIAIdO4kBR2/FNEgIAACcEAAAOAAAAZHJzL2Uyb0RvYy54bWytU8tu&#10;2zAQvBfoPxC815L8aGPBchDYSFEgbYKm/QCaoiSiFJdd0pbTr++Sclw3veTQC8Hl7g5nhsvV9bE3&#10;7KDQa7AVLyY5Z8pKqLVtK/792+27K858ELYWBqyq+JPy/Hr99s1qcKWaQgemVsgIxPpycBXvQnBl&#10;lnnZqV74CThlKdkA9iJQiG1WoxgIvTfZNM/fZwNg7RCk8p5Ot2OSnxDxNYDQNFqqLch9r2wYUVEZ&#10;EUiS77TzfJ3YNo2S4b5pvArMVJyUhrTSJbTfxTVbr0TZonCdlicK4jUUXmjqhbZ06RlqK4Jge9T/&#10;QPVaInhowkRCn41CkiOkoshfePPYCaeSFrLau7Pp/v/Byi+HB2S6rviCMyt6evCvZJqwrVFsEe0Z&#10;nC+p6tE9YBTo3R3IH55Z2HRUpW4QYeiUqIlUEeuzvxpi4KmV7YbPUBO62AdITh0b7CMgecCO6UGe&#10;zg+ijoFJOlzOZnPiJSkznxVXeXqvTJTPvQ59+KigZ3FTcSTmCVsc7nyIXET5XJK4g9H1rTYmBdju&#10;NgbZQcTRyJebbZJLLf6yzNhYbCG2jYjxJImMukZ/dlA/kUaEcb7od9GmA/zF2UCzVXH/cy9QcWY+&#10;WfJpWczncRhTMF98mFKAl5ndZUZYSVAVD5yN200YB3jvULcd3VQk0RZuyNtGJ+HR95HViSzNT/Lj&#10;NOtxQC/jVPXnf6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9XYxTXAAAABwEAAA8AAAAAAAAA&#10;AQAgAAAAIgAAAGRycy9kb3ducmV2LnhtbFBLAQIUABQAAAAIAIdO4kBR2/FNEgIAACcEAAAOAAAA&#10;AAAAAAEAIAAAACYBAABkcnMvZTJvRG9jLnhtbFBLBQYAAAAABgAGAFkBAACqBQ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54CC"/>
    <w:multiLevelType w:val="multilevel"/>
    <w:tmpl w:val="18CB54CC"/>
    <w:lvl w:ilvl="0">
      <w:start w:val="1"/>
      <w:numFmt w:val="bullet"/>
      <w:lvlText w:val="-"/>
      <w:lvlJc w:val="left"/>
      <w:pPr>
        <w:ind w:left="987" w:hanging="420"/>
      </w:pPr>
      <w:rPr>
        <w:rFonts w:ascii="Verdana" w:hAnsi="Verdana"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16cid:durableId="14512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78"/>
    <w:rsid w:val="00003A6D"/>
    <w:rsid w:val="000041A9"/>
    <w:rsid w:val="00004C8C"/>
    <w:rsid w:val="000120E4"/>
    <w:rsid w:val="000210D4"/>
    <w:rsid w:val="000525A1"/>
    <w:rsid w:val="00063016"/>
    <w:rsid w:val="00066795"/>
    <w:rsid w:val="00076AF6"/>
    <w:rsid w:val="00085CF2"/>
    <w:rsid w:val="000A1525"/>
    <w:rsid w:val="000B1705"/>
    <w:rsid w:val="000D75B2"/>
    <w:rsid w:val="000E0844"/>
    <w:rsid w:val="000F586F"/>
    <w:rsid w:val="000F6AB8"/>
    <w:rsid w:val="001121F5"/>
    <w:rsid w:val="00130599"/>
    <w:rsid w:val="00131E18"/>
    <w:rsid w:val="001400DC"/>
    <w:rsid w:val="00140CE1"/>
    <w:rsid w:val="00147C54"/>
    <w:rsid w:val="0017539C"/>
    <w:rsid w:val="00175AC2"/>
    <w:rsid w:val="0017609F"/>
    <w:rsid w:val="001A0875"/>
    <w:rsid w:val="001A7D1D"/>
    <w:rsid w:val="001B0595"/>
    <w:rsid w:val="001B51DD"/>
    <w:rsid w:val="001B5B3E"/>
    <w:rsid w:val="001C628E"/>
    <w:rsid w:val="001D62DF"/>
    <w:rsid w:val="001E0F7B"/>
    <w:rsid w:val="001E0FBE"/>
    <w:rsid w:val="001E5FE7"/>
    <w:rsid w:val="00205D4E"/>
    <w:rsid w:val="002119FD"/>
    <w:rsid w:val="002130E0"/>
    <w:rsid w:val="00217D51"/>
    <w:rsid w:val="00227AAB"/>
    <w:rsid w:val="002426D3"/>
    <w:rsid w:val="00244F7F"/>
    <w:rsid w:val="00254BD3"/>
    <w:rsid w:val="0025570E"/>
    <w:rsid w:val="002608B7"/>
    <w:rsid w:val="00264425"/>
    <w:rsid w:val="00265875"/>
    <w:rsid w:val="0027303B"/>
    <w:rsid w:val="0028109B"/>
    <w:rsid w:val="002A1121"/>
    <w:rsid w:val="002A2188"/>
    <w:rsid w:val="002B1F58"/>
    <w:rsid w:val="002C1C7A"/>
    <w:rsid w:val="002C54E2"/>
    <w:rsid w:val="002E0AC3"/>
    <w:rsid w:val="002F2D06"/>
    <w:rsid w:val="0030160F"/>
    <w:rsid w:val="00301AEE"/>
    <w:rsid w:val="003145DF"/>
    <w:rsid w:val="00320223"/>
    <w:rsid w:val="00322D0D"/>
    <w:rsid w:val="003368E0"/>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A2150"/>
    <w:rsid w:val="004B51C8"/>
    <w:rsid w:val="004D1851"/>
    <w:rsid w:val="004D599D"/>
    <w:rsid w:val="004E06D1"/>
    <w:rsid w:val="004E257D"/>
    <w:rsid w:val="004E2EA5"/>
    <w:rsid w:val="004E3AEB"/>
    <w:rsid w:val="00500CA4"/>
    <w:rsid w:val="0050223C"/>
    <w:rsid w:val="00507C71"/>
    <w:rsid w:val="005170FD"/>
    <w:rsid w:val="005243FF"/>
    <w:rsid w:val="00524E9C"/>
    <w:rsid w:val="005311D6"/>
    <w:rsid w:val="00536422"/>
    <w:rsid w:val="0054526E"/>
    <w:rsid w:val="005536C2"/>
    <w:rsid w:val="00564FBC"/>
    <w:rsid w:val="005800BC"/>
    <w:rsid w:val="00582442"/>
    <w:rsid w:val="005A335D"/>
    <w:rsid w:val="005B0869"/>
    <w:rsid w:val="005C13D4"/>
    <w:rsid w:val="005E2BD5"/>
    <w:rsid w:val="005E4F47"/>
    <w:rsid w:val="005F3269"/>
    <w:rsid w:val="00615961"/>
    <w:rsid w:val="00623AE3"/>
    <w:rsid w:val="006261F4"/>
    <w:rsid w:val="00645B44"/>
    <w:rsid w:val="006465E4"/>
    <w:rsid w:val="0064737F"/>
    <w:rsid w:val="00651D48"/>
    <w:rsid w:val="006535F1"/>
    <w:rsid w:val="00655443"/>
    <w:rsid w:val="0065557D"/>
    <w:rsid w:val="00660D50"/>
    <w:rsid w:val="00662984"/>
    <w:rsid w:val="00663050"/>
    <w:rsid w:val="006716BB"/>
    <w:rsid w:val="006973C8"/>
    <w:rsid w:val="006A4862"/>
    <w:rsid w:val="006A7CD3"/>
    <w:rsid w:val="006B1859"/>
    <w:rsid w:val="006B6680"/>
    <w:rsid w:val="006B6DCC"/>
    <w:rsid w:val="00701C70"/>
    <w:rsid w:val="00702DEF"/>
    <w:rsid w:val="00706861"/>
    <w:rsid w:val="00720A4A"/>
    <w:rsid w:val="007247CF"/>
    <w:rsid w:val="00726B8C"/>
    <w:rsid w:val="00727C44"/>
    <w:rsid w:val="0075051B"/>
    <w:rsid w:val="0077110E"/>
    <w:rsid w:val="00773C39"/>
    <w:rsid w:val="00775655"/>
    <w:rsid w:val="00780525"/>
    <w:rsid w:val="007849D5"/>
    <w:rsid w:val="00793188"/>
    <w:rsid w:val="00794D34"/>
    <w:rsid w:val="008052FA"/>
    <w:rsid w:val="00806E3C"/>
    <w:rsid w:val="00813E5E"/>
    <w:rsid w:val="00816C2C"/>
    <w:rsid w:val="0083581B"/>
    <w:rsid w:val="0084696B"/>
    <w:rsid w:val="00860EED"/>
    <w:rsid w:val="00863874"/>
    <w:rsid w:val="00864AFF"/>
    <w:rsid w:val="00865925"/>
    <w:rsid w:val="008734C9"/>
    <w:rsid w:val="00877BF2"/>
    <w:rsid w:val="00884F3A"/>
    <w:rsid w:val="00891503"/>
    <w:rsid w:val="008A2F06"/>
    <w:rsid w:val="008B4A6A"/>
    <w:rsid w:val="008C7E27"/>
    <w:rsid w:val="008E2FEF"/>
    <w:rsid w:val="008F3822"/>
    <w:rsid w:val="008F557C"/>
    <w:rsid w:val="008F7448"/>
    <w:rsid w:val="0090147A"/>
    <w:rsid w:val="009025BC"/>
    <w:rsid w:val="0090389B"/>
    <w:rsid w:val="009173EF"/>
    <w:rsid w:val="00932906"/>
    <w:rsid w:val="00961860"/>
    <w:rsid w:val="00961B0B"/>
    <w:rsid w:val="00962D33"/>
    <w:rsid w:val="009A715F"/>
    <w:rsid w:val="009B38C3"/>
    <w:rsid w:val="009E17BD"/>
    <w:rsid w:val="009E485A"/>
    <w:rsid w:val="00A04CEC"/>
    <w:rsid w:val="00A27F92"/>
    <w:rsid w:val="00A32257"/>
    <w:rsid w:val="00A36D20"/>
    <w:rsid w:val="00A43C03"/>
    <w:rsid w:val="00A46CD0"/>
    <w:rsid w:val="00A514A4"/>
    <w:rsid w:val="00A52C84"/>
    <w:rsid w:val="00A55167"/>
    <w:rsid w:val="00A55622"/>
    <w:rsid w:val="00A83502"/>
    <w:rsid w:val="00AD15B3"/>
    <w:rsid w:val="00AD3606"/>
    <w:rsid w:val="00AD4A3D"/>
    <w:rsid w:val="00AF6E49"/>
    <w:rsid w:val="00B04A67"/>
    <w:rsid w:val="00B0583C"/>
    <w:rsid w:val="00B248BC"/>
    <w:rsid w:val="00B358B2"/>
    <w:rsid w:val="00B40A81"/>
    <w:rsid w:val="00B44910"/>
    <w:rsid w:val="00B72267"/>
    <w:rsid w:val="00B73A6D"/>
    <w:rsid w:val="00B73DD1"/>
    <w:rsid w:val="00B76EB6"/>
    <w:rsid w:val="00B7737B"/>
    <w:rsid w:val="00B824C8"/>
    <w:rsid w:val="00B849D3"/>
    <w:rsid w:val="00B84B9D"/>
    <w:rsid w:val="00BA3A51"/>
    <w:rsid w:val="00BB7EDA"/>
    <w:rsid w:val="00BC251A"/>
    <w:rsid w:val="00BD032B"/>
    <w:rsid w:val="00BD0614"/>
    <w:rsid w:val="00BD094B"/>
    <w:rsid w:val="00BD3284"/>
    <w:rsid w:val="00BE2640"/>
    <w:rsid w:val="00C01189"/>
    <w:rsid w:val="00C374DE"/>
    <w:rsid w:val="00C47AD4"/>
    <w:rsid w:val="00C52D81"/>
    <w:rsid w:val="00C55198"/>
    <w:rsid w:val="00C725C6"/>
    <w:rsid w:val="00C922C7"/>
    <w:rsid w:val="00C93540"/>
    <w:rsid w:val="00CA6393"/>
    <w:rsid w:val="00CB18FF"/>
    <w:rsid w:val="00CB24AA"/>
    <w:rsid w:val="00CD0C08"/>
    <w:rsid w:val="00CD3C91"/>
    <w:rsid w:val="00CE03FB"/>
    <w:rsid w:val="00CE433C"/>
    <w:rsid w:val="00CF0161"/>
    <w:rsid w:val="00CF33F3"/>
    <w:rsid w:val="00D06183"/>
    <w:rsid w:val="00D143DF"/>
    <w:rsid w:val="00D22C42"/>
    <w:rsid w:val="00D33078"/>
    <w:rsid w:val="00D45669"/>
    <w:rsid w:val="00D464CC"/>
    <w:rsid w:val="00D522F6"/>
    <w:rsid w:val="00D6229A"/>
    <w:rsid w:val="00D65041"/>
    <w:rsid w:val="00D67039"/>
    <w:rsid w:val="00D86E6C"/>
    <w:rsid w:val="00DB00D5"/>
    <w:rsid w:val="00DB1936"/>
    <w:rsid w:val="00DB384B"/>
    <w:rsid w:val="00DF0189"/>
    <w:rsid w:val="00DF2EA9"/>
    <w:rsid w:val="00E06FD5"/>
    <w:rsid w:val="00E10E80"/>
    <w:rsid w:val="00E124F0"/>
    <w:rsid w:val="00E227F3"/>
    <w:rsid w:val="00E4728B"/>
    <w:rsid w:val="00E545C6"/>
    <w:rsid w:val="00E60F04"/>
    <w:rsid w:val="00E63EFF"/>
    <w:rsid w:val="00E65B24"/>
    <w:rsid w:val="00E854E4"/>
    <w:rsid w:val="00E85B67"/>
    <w:rsid w:val="00E86DBF"/>
    <w:rsid w:val="00E92F76"/>
    <w:rsid w:val="00EB0D6F"/>
    <w:rsid w:val="00EB2232"/>
    <w:rsid w:val="00EC5337"/>
    <w:rsid w:val="00EC61D7"/>
    <w:rsid w:val="00EC7C07"/>
    <w:rsid w:val="00EE49E8"/>
    <w:rsid w:val="00EF40E2"/>
    <w:rsid w:val="00F10B59"/>
    <w:rsid w:val="00F16BAB"/>
    <w:rsid w:val="00F2150A"/>
    <w:rsid w:val="00F231D8"/>
    <w:rsid w:val="00F30FC2"/>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C255B"/>
    <w:rsid w:val="00FE4077"/>
    <w:rsid w:val="00FE48B6"/>
    <w:rsid w:val="00FE500D"/>
    <w:rsid w:val="00FE77D2"/>
    <w:rsid w:val="7CC529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3D9F8"/>
  <w15:docId w15:val="{76078FA0-B54F-4D61-91E8-0B8F88C6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6" w:qFormat="1"/>
    <w:lsdException w:name="index 8" w:semiHidden="1" w:unhideWhenUsed="1"/>
    <w:lsdException w:name="index 9" w:semiHidden="1" w:unhideWhenUsed="1"/>
    <w:lsdException w:name="toc 2" w:qFormat="1"/>
    <w:lsdException w:name="toc 4" w:qFormat="1"/>
    <w:lsdException w:name="toc 5" w:qFormat="1"/>
    <w:lsdException w:name="toc 7" w:qFormat="1"/>
    <w:lsdException w:name="toc 8" w:qFormat="1"/>
    <w:lsdException w:name="annotation text" w:semiHidden="1" w:unhideWhenUsed="1"/>
    <w:lsdException w:name="header" w:uiPriority="9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NormalIndent">
    <w:name w:val="Normal Indent"/>
    <w:basedOn w:val="Normal"/>
    <w:pPr>
      <w:ind w:left="567"/>
    </w:pPr>
  </w:style>
  <w:style w:type="paragraph" w:styleId="Index5">
    <w:name w:val="index 5"/>
    <w:basedOn w:val="Normal"/>
    <w:next w:val="Normal"/>
    <w:pPr>
      <w:ind w:left="1132"/>
    </w:pPr>
  </w:style>
  <w:style w:type="paragraph" w:styleId="Index6">
    <w:name w:val="index 6"/>
    <w:basedOn w:val="Normal"/>
    <w:next w:val="Normal"/>
    <w:qFormat/>
    <w:pPr>
      <w:ind w:left="1415"/>
    </w:pPr>
  </w:style>
  <w:style w:type="paragraph" w:styleId="Index4">
    <w:name w:val="index 4"/>
    <w:basedOn w:val="Normal"/>
    <w:next w:val="Normal"/>
    <w:pPr>
      <w:ind w:left="849"/>
    </w:pPr>
  </w:style>
  <w:style w:type="paragraph" w:styleId="TOC5">
    <w:name w:val="toc 5"/>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3">
    <w:name w:val="index 3"/>
    <w:basedOn w:val="Normal"/>
    <w:next w:val="Normal"/>
    <w:pPr>
      <w:ind w:left="566"/>
    </w:pPr>
  </w:style>
  <w:style w:type="paragraph" w:styleId="Footer">
    <w:name w:val="footer"/>
    <w:basedOn w:val="Normal"/>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link w:val="HeaderChar"/>
    <w:uiPriority w:val="99"/>
    <w:pPr>
      <w:tabs>
        <w:tab w:val="clear" w:pos="567"/>
        <w:tab w:val="clear" w:pos="1134"/>
        <w:tab w:val="clear" w:pos="1701"/>
        <w:tab w:val="clear" w:pos="2268"/>
        <w:tab w:val="clear" w:pos="2835"/>
      </w:tabs>
      <w:spacing w:before="0"/>
      <w:jc w:val="center"/>
    </w:pPr>
    <w:rPr>
      <w:color w:val="7F7F7F" w:themeColor="text1" w:themeTint="80"/>
      <w:sz w:val="18"/>
    </w:rPr>
  </w:style>
  <w:style w:type="paragraph" w:styleId="TOC1">
    <w:name w:val="toc 1"/>
    <w:basedOn w:val="Normal"/>
    <w:next w:val="Normal"/>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 w:val="left" w:pos="964"/>
        <w:tab w:val="left" w:pos="8789"/>
        <w:tab w:val="right" w:pos="9639"/>
      </w:tabs>
      <w:ind w:left="964" w:hanging="964"/>
    </w:pPr>
  </w:style>
  <w:style w:type="paragraph" w:styleId="IndexHeading">
    <w:name w:val="index heading"/>
    <w:basedOn w:val="Normal"/>
    <w:next w:val="Index1"/>
  </w:style>
  <w:style w:type="paragraph" w:styleId="Index1">
    <w:name w:val="index 1"/>
    <w:basedOn w:val="Normal"/>
    <w:next w:val="Normal"/>
  </w:style>
  <w:style w:type="paragraph" w:styleId="List">
    <w:name w:val="List"/>
    <w:basedOn w:val="Normal"/>
    <w:pPr>
      <w:tabs>
        <w:tab w:val="left" w:pos="2127"/>
      </w:tabs>
      <w:ind w:left="2127" w:hanging="2127"/>
    </w:pPr>
  </w:style>
  <w:style w:type="paragraph" w:styleId="FootnoteText">
    <w:name w:val="footnote text"/>
    <w:basedOn w:val="Normal"/>
    <w:pPr>
      <w:keepLines/>
      <w:tabs>
        <w:tab w:val="left" w:pos="256"/>
      </w:tabs>
      <w:ind w:left="256" w:hanging="256"/>
    </w:pPr>
  </w:style>
  <w:style w:type="paragraph" w:styleId="TOC6">
    <w:name w:val="toc 6"/>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pPr>
      <w:ind w:left="1698"/>
    </w:pPr>
  </w:style>
  <w:style w:type="paragraph" w:styleId="TOC2">
    <w:name w:val="toc 2"/>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9">
    <w:name w:val="toc 9"/>
    <w:basedOn w:val="TOC4"/>
    <w:next w:val="Normal"/>
  </w:style>
  <w:style w:type="paragraph" w:styleId="Index2">
    <w:name w:val="index 2"/>
    <w:basedOn w:val="Normal"/>
    <w:next w:val="Normal"/>
    <w:pPr>
      <w:ind w:left="283"/>
    </w:p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Pr>
      <w:rFonts w:ascii="Calibri" w:hAnsi="Calibri"/>
    </w:rPr>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character" w:styleId="Hyperlink">
    <w:name w:val="Hyperlink"/>
    <w:basedOn w:val="DefaultParagraphFont"/>
    <w:qFormat/>
    <w:rsid w:val="00507C71"/>
    <w:rPr>
      <w:color w:val="0070C0"/>
      <w:u w:val="single"/>
    </w:rPr>
  </w:style>
  <w:style w:type="character" w:styleId="FootnoteReference">
    <w:name w:val="footnote reference"/>
    <w:basedOn w:val="DefaultParagraphFont"/>
    <w:rPr>
      <w:rFonts w:ascii="Calibri" w:hAnsi="Calibri"/>
      <w:position w:val="6"/>
      <w:sz w:val="16"/>
    </w:rPr>
  </w:style>
  <w:style w:type="paragraph" w:customStyle="1" w:styleId="enumlev1">
    <w:name w:val="enumlev1"/>
    <w:basedOn w:val="Normal"/>
    <w:pPr>
      <w:spacing w:before="86"/>
      <w:ind w:left="567" w:hanging="567"/>
    </w:pPr>
  </w:style>
  <w:style w:type="paragraph" w:customStyle="1" w:styleId="enumlev2">
    <w:name w:val="enumlev2"/>
    <w:basedOn w:val="enumlev1"/>
    <w:pPr>
      <w:ind w:left="1134"/>
    </w:pPr>
  </w:style>
  <w:style w:type="paragraph" w:customStyle="1" w:styleId="enumlev3">
    <w:name w:val="enumlev3"/>
    <w:basedOn w:val="enumlev2"/>
    <w:pPr>
      <w:ind w:left="1701"/>
    </w:pPr>
  </w:style>
  <w:style w:type="paragraph" w:customStyle="1" w:styleId="Normalaftertitle">
    <w:name w:val="Normal after title"/>
    <w:basedOn w:val="Normal"/>
    <w:next w:val="Normal"/>
    <w:pPr>
      <w:spacing w:before="240"/>
    </w:pPr>
  </w:style>
  <w:style w:type="character" w:customStyle="1" w:styleId="HeaderChar">
    <w:name w:val="Header Char"/>
    <w:basedOn w:val="DefaultParagraphFont"/>
    <w:link w:val="Header"/>
    <w:uiPriority w:val="99"/>
    <w:rPr>
      <w:rFonts w:ascii="Calibri" w:hAnsi="Calibri"/>
      <w:color w:val="7F7F7F" w:themeColor="text1" w:themeTint="80"/>
      <w:sz w:val="18"/>
      <w:lang w:val="en-GB" w:eastAsia="en-US"/>
    </w:r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pPr>
      <w:framePr w:hSpace="180" w:wrap="around" w:vAnchor="page" w:hAnchor="page" w:x="1821" w:y="2317"/>
      <w:spacing w:before="840"/>
    </w:pPr>
    <w:rPr>
      <w:b/>
      <w:sz w:val="32"/>
      <w:szCs w:val="32"/>
    </w:rPr>
  </w:style>
  <w:style w:type="paragraph" w:customStyle="1" w:styleId="Title1">
    <w:name w:val="Title 1"/>
    <w:basedOn w:val="Source"/>
    <w:next w:val="Title2"/>
    <w:pPr>
      <w:framePr w:wrap="around"/>
      <w:spacing w:before="240"/>
    </w:pPr>
    <w:rPr>
      <w:b w:val="0"/>
    </w:rPr>
  </w:style>
  <w:style w:type="paragraph" w:customStyle="1" w:styleId="Title2">
    <w:name w:val="Title 2"/>
    <w:basedOn w:val="Source"/>
    <w:next w:val="Title3"/>
    <w:pPr>
      <w:framePr w:wrap="around"/>
      <w:spacing w:before="240"/>
    </w:pPr>
    <w:rPr>
      <w:b w:val="0"/>
      <w:caps/>
    </w:rPr>
  </w:style>
  <w:style w:type="paragraph" w:customStyle="1" w:styleId="Title3">
    <w:name w:val="Title 3"/>
    <w:basedOn w:val="Title2"/>
    <w:next w:val="Normalaftertitle"/>
    <w:pPr>
      <w:framePr w:wrap="around"/>
    </w:pPr>
    <w:rPr>
      <w:caps w:val="0"/>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spacing w:before="0"/>
      <w:ind w:left="1134" w:hanging="1134"/>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FirstFooter">
    <w:name w:val="FirstFooter"/>
    <w:basedOn w:val="Footer"/>
    <w:rPr>
      <w:caps w:val="0"/>
    </w:rPr>
  </w:style>
  <w:style w:type="paragraph" w:customStyle="1" w:styleId="Note">
    <w:name w:val="Note"/>
    <w:basedOn w:val="Normal"/>
    <w:pPr>
      <w:tabs>
        <w:tab w:val="clear" w:pos="567"/>
        <w:tab w:val="left" w:pos="851"/>
      </w:tabs>
    </w:pPr>
  </w:style>
  <w:style w:type="paragraph" w:customStyle="1" w:styleId="Headingb">
    <w:name w:val="Heading_b"/>
    <w:basedOn w:val="Heading3"/>
    <w:next w:val="Normal"/>
    <w:pPr>
      <w:spacing w:before="160"/>
      <w:outlineLvl w:val="0"/>
    </w:pPr>
  </w:style>
  <w:style w:type="paragraph" w:customStyle="1" w:styleId="Title4">
    <w:name w:val="Title 4"/>
    <w:basedOn w:val="Title3"/>
    <w:next w:val="Heading1"/>
    <w:pPr>
      <w:framePr w:wrap="around"/>
    </w:pPr>
    <w:rPr>
      <w:b/>
    </w:rPr>
  </w:style>
  <w:style w:type="paragraph" w:customStyle="1" w:styleId="dnum">
    <w:name w:val="dnum"/>
    <w:basedOn w:val="Normal"/>
    <w:pPr>
      <w:framePr w:hSpace="181" w:wrap="around" w:vAnchor="page" w:hAnchor="margin" w:y="852"/>
      <w:shd w:val="solid" w:color="FFFFFF" w:fill="FFFFFF"/>
      <w:tabs>
        <w:tab w:val="left" w:pos="1871"/>
      </w:tabs>
    </w:pPr>
    <w:rPr>
      <w:b/>
      <w:bCs/>
    </w:rPr>
  </w:style>
  <w:style w:type="paragraph" w:customStyle="1" w:styleId="ddate">
    <w:name w:val="ddate"/>
    <w:basedOn w:val="Normal"/>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pPr>
      <w:spacing w:before="720"/>
      <w:jc w:val="center"/>
    </w:pPr>
    <w:rPr>
      <w:caps/>
      <w:sz w:val="28"/>
    </w:rPr>
  </w:style>
  <w:style w:type="paragraph" w:customStyle="1" w:styleId="Annexref">
    <w:name w:val="Annex_ref"/>
    <w:basedOn w:val="Normal"/>
    <w:next w:val="Annextitle"/>
    <w:pPr>
      <w:jc w:val="center"/>
    </w:pPr>
  </w:style>
  <w:style w:type="paragraph" w:customStyle="1" w:styleId="Annextitle">
    <w:name w:val="Annex_title"/>
    <w:basedOn w:val="Normal"/>
    <w:next w:val="Normal"/>
    <w:pPr>
      <w:spacing w:before="240" w:after="240"/>
      <w:jc w:val="center"/>
    </w:pPr>
    <w:rPr>
      <w:b/>
      <w:sz w:val="28"/>
    </w:rPr>
  </w:style>
  <w:style w:type="paragraph" w:customStyle="1" w:styleId="AppendixNo">
    <w:name w:val="Appendix_No"/>
    <w:basedOn w:val="AnnexNo"/>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Call">
    <w:name w:val="Call"/>
    <w:basedOn w:val="Normal"/>
    <w:next w:val="Normal"/>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text"/>
      <w:spacing w:before="120" w:after="160"/>
    </w:pPr>
  </w:style>
  <w:style w:type="paragraph" w:customStyle="1" w:styleId="Figure">
    <w:name w:val="Figure"/>
    <w:basedOn w:val="Normal"/>
    <w:next w:val="Figuretitle"/>
    <w:pPr>
      <w:spacing w:after="240"/>
      <w:jc w:val="center"/>
    </w:pPr>
  </w:style>
  <w:style w:type="paragraph" w:customStyle="1" w:styleId="Figuretitle">
    <w:name w:val="Figure_title"/>
    <w:basedOn w:val="Tabletitle"/>
    <w:next w:val="Normalaftertitle"/>
  </w:style>
  <w:style w:type="paragraph" w:customStyle="1" w:styleId="Tabletitle">
    <w:name w:val="Table_title"/>
    <w:basedOn w:val="TableNo"/>
    <w:next w:val="Tabletext"/>
    <w:pPr>
      <w:tabs>
        <w:tab w:val="left" w:pos="2948"/>
        <w:tab w:val="left" w:pos="4082"/>
      </w:tabs>
      <w:spacing w:before="120" w:after="120"/>
    </w:pPr>
    <w:rPr>
      <w:b/>
      <w:caps w:val="0"/>
    </w:rPr>
  </w:style>
  <w:style w:type="paragraph" w:customStyle="1" w:styleId="TableNo">
    <w:name w:val="Table_No"/>
    <w:basedOn w:val="Normal"/>
    <w:next w:val="Tabletitle"/>
    <w:pPr>
      <w:keepNext/>
      <w:keepLines/>
      <w:spacing w:before="480"/>
      <w:jc w:val="center"/>
    </w:pPr>
    <w:rPr>
      <w:caps/>
    </w:rPr>
  </w:style>
  <w:style w:type="paragraph" w:customStyle="1" w:styleId="Tabletext">
    <w:name w:val="Table_text"/>
    <w:basedOn w:val="Normal"/>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jc w:val="center"/>
    </w:pPr>
    <w:rPr>
      <w:caps/>
    </w:rPr>
  </w:style>
  <w:style w:type="paragraph" w:customStyle="1" w:styleId="Figurewithouttitle">
    <w:name w:val="Figure_without_title"/>
    <w:basedOn w:val="Figure"/>
    <w:next w:val="Normalaftertitle"/>
  </w:style>
  <w:style w:type="paragraph" w:customStyle="1" w:styleId="Headingi">
    <w:name w:val="Heading_i"/>
    <w:basedOn w:val="Heading3"/>
    <w:next w:val="Normal"/>
    <w:pPr>
      <w:spacing w:before="160"/>
      <w:outlineLvl w:val="0"/>
    </w:pPr>
    <w:rPr>
      <w:rFonts w:asciiTheme="minorHAnsi" w:hAnsiTheme="minorHAnsi"/>
      <w:b w:val="0"/>
      <w:i/>
    </w:rPr>
  </w:style>
  <w:style w:type="paragraph" w:customStyle="1" w:styleId="PartNo">
    <w:name w:val="Part_No"/>
    <w:basedOn w:val="AnnexNo"/>
    <w:next w:val="Parttitle"/>
  </w:style>
  <w:style w:type="paragraph" w:customStyle="1" w:styleId="Parttitle">
    <w:name w:val="Part_title"/>
    <w:basedOn w:val="Annextitle"/>
    <w:next w:val="Partref"/>
  </w:style>
  <w:style w:type="paragraph" w:customStyle="1" w:styleId="Partref">
    <w:name w:val="Part_ref"/>
    <w:basedOn w:val="Annexref"/>
    <w:next w:val="Normalaftertitle"/>
  </w:style>
  <w:style w:type="paragraph" w:customStyle="1" w:styleId="RecNo">
    <w:name w:val="Rec_No"/>
    <w:basedOn w:val="Normal"/>
    <w:next w:val="Rectitle"/>
    <w:pPr>
      <w:spacing w:before="720"/>
      <w:jc w:val="center"/>
    </w:pPr>
    <w:rPr>
      <w:caps/>
      <w:sz w:val="28"/>
    </w:rPr>
  </w:style>
  <w:style w:type="paragraph" w:customStyle="1" w:styleId="Rectitle">
    <w:name w:val="Rec_title"/>
    <w:basedOn w:val="Normal"/>
    <w:next w:val="Heading1"/>
    <w:pPr>
      <w:spacing w:before="240"/>
      <w:jc w:val="center"/>
    </w:pPr>
    <w:rPr>
      <w:b/>
      <w:sz w:val="28"/>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567" w:hanging="567"/>
    </w:pPr>
  </w:style>
  <w:style w:type="paragraph" w:customStyle="1" w:styleId="Reftitle">
    <w:name w:val="Ref_title"/>
    <w:basedOn w:val="Normal"/>
    <w:next w:val="Reftext"/>
    <w:pPr>
      <w:spacing w:before="480"/>
      <w:jc w:val="center"/>
    </w:pPr>
    <w:rPr>
      <w:caps/>
      <w:sz w:val="28"/>
    </w:rPr>
  </w:style>
  <w:style w:type="paragraph" w:customStyle="1" w:styleId="Resdate">
    <w:name w:val="Res_date"/>
    <w:basedOn w:val="Recdate"/>
    <w:next w:val="Normalaftertitle"/>
  </w:style>
  <w:style w:type="paragraph" w:customStyle="1" w:styleId="ResNo">
    <w:name w:val="Res_No"/>
    <w:basedOn w:val="AnnexNo"/>
    <w:next w:val="Restitle"/>
  </w:style>
  <w:style w:type="paragraph" w:customStyle="1" w:styleId="Restitle">
    <w:name w:val="Res_title"/>
    <w:basedOn w:val="Annextitle"/>
    <w:next w:val="Normal"/>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Normal"/>
    <w:next w:val="Normalaftertitle"/>
    <w:rPr>
      <w:sz w:val="28"/>
    </w:rPr>
  </w:style>
  <w:style w:type="paragraph" w:customStyle="1" w:styleId="Tablehead">
    <w:name w:val="Table_head"/>
    <w:basedOn w:val="Tabletext"/>
    <w:pPr>
      <w:spacing w:before="80" w:after="80"/>
      <w:jc w:val="center"/>
    </w:pPr>
    <w:rPr>
      <w:b/>
    </w:rPr>
  </w:style>
  <w:style w:type="paragraph" w:customStyle="1" w:styleId="Tablelegend">
    <w:name w:val="Table_legend"/>
    <w:basedOn w:val="Tabletext"/>
    <w:rPr>
      <w:sz w:val="20"/>
    </w:rPr>
  </w:style>
  <w:style w:type="paragraph" w:customStyle="1" w:styleId="Tableref">
    <w:name w:val="Table_ref"/>
    <w:basedOn w:val="Normal"/>
    <w:next w:val="Tabletitle"/>
    <w:pPr>
      <w:keepNext/>
      <w:spacing w:before="567"/>
      <w:jc w:val="center"/>
    </w:pPr>
  </w:style>
  <w:style w:type="paragraph" w:customStyle="1" w:styleId="Artheading">
    <w:name w:val="Art_heading"/>
    <w:basedOn w:val="Normal"/>
    <w:next w:val="Normalaftertitl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style>
  <w:style w:type="paragraph" w:customStyle="1" w:styleId="Chaptitle">
    <w:name w:val="Chap_title"/>
    <w:basedOn w:val="Arttitle"/>
    <w:next w:val="Normal"/>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666666"/>
    </w:rPr>
  </w:style>
  <w:style w:type="paragraph" w:customStyle="1" w:styleId="Reasons">
    <w:name w:val="Reasons"/>
    <w:basedOn w:val="Normal"/>
    <w:qFormat/>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ListParagraph">
    <w:name w:val="List Paragraph"/>
    <w:basedOn w:val="Normal"/>
    <w:uiPriority w:val="99"/>
    <w:pPr>
      <w:ind w:firstLineChars="200" w:firstLine="420"/>
    </w:pPr>
  </w:style>
  <w:style w:type="paragraph" w:styleId="Revision">
    <w:name w:val="Revision"/>
    <w:hidden/>
    <w:uiPriority w:val="99"/>
    <w:unhideWhenUsed/>
    <w:rsid w:val="004A2150"/>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S23-CL-C-0126/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itu.int/md/S25-EG3DEC482-250210-TD-0003/en"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itu.int/md/S25-EG3DEC482-250210-TD-0003/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S25-EG3DEC482-250210-TD-0003/e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23-CL-C-0126/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11060EE-4DE0-4ED9-A3A1-B2D43A0133C6}">
  <ds:schemaRefs>
    <ds:schemaRef ds:uri="http://purl.org/dc/elements/1.1/"/>
    <ds:schemaRef ds:uri="http://www.w3.org/XML/1998/namespace"/>
    <ds:schemaRef ds:uri="1aaea1ea-72e4-4374-b05e-72e2f16fb7a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591CA6EB-5FA1-4FCA-AEA7-4984DAC7CD3C}">
  <ds:schemaRefs/>
</ds:datastoreItem>
</file>

<file path=customXml/itemProps3.xml><?xml version="1.0" encoding="utf-8"?>
<ds:datastoreItem xmlns:ds="http://schemas.openxmlformats.org/officeDocument/2006/customXml" ds:itemID="{A5A20EF3-8F2F-479B-B052-82C3D6D2A1F1}">
  <ds:schemaRefs/>
</ds:datastoreItem>
</file>

<file path=customXml/itemProps4.xml><?xml version="1.0" encoding="utf-8"?>
<ds:datastoreItem xmlns:ds="http://schemas.openxmlformats.org/officeDocument/2006/customXml" ds:itemID="{0600B969-1043-4533-B982-A130C511353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862</Words>
  <Characters>4816</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Proposals for the fourth meeting of Expert Group on Decision 482</vt:lpstr>
    </vt:vector>
  </TitlesOfParts>
  <Company>ITU</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the fourth meeting of Expert Group on Decision 482</dc:title>
  <dc:subject>ITU Expert Group on Decision 482</dc:subject>
  <dc:creator>LRT</dc:creator>
  <cp:keywords>EG-DEC482</cp:keywords>
  <cp:lastModifiedBy>LRT</cp:lastModifiedBy>
  <cp:revision>5</cp:revision>
  <dcterms:created xsi:type="dcterms:W3CDTF">2025-03-28T08:18:00Z</dcterms:created>
  <dcterms:modified xsi:type="dcterms:W3CDTF">2025-03-28T08:34:00Z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0bfe53ae5dde18dfe565619156026bc7c6184d2cd5636ca9a0970c65d5acb47c</vt:lpwstr>
  </property>
  <property fmtid="{D5CDD505-2E9C-101B-9397-08002B2CF9AE}" pid="3" name="ContentTypeId">
    <vt:lpwstr>0x0101001E46BE2403204D4E844191C3480CD35B</vt:lpwstr>
  </property>
  <property fmtid="{D5CDD505-2E9C-101B-9397-08002B2CF9AE}" pid="4" name="KSOProductBuildVer">
    <vt:lpwstr>2052-11.8.0.16981</vt:lpwstr>
  </property>
  <property fmtid="{D5CDD505-2E9C-101B-9397-08002B2CF9AE}" pid="5" name="ICV">
    <vt:lpwstr>5CE446107E3B454388BC005641D7DBF0</vt:lpwstr>
  </property>
</Properties>
</file>