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1C7262" w14:paraId="4DD62155" w14:textId="77777777" w:rsidTr="00AD3606">
        <w:trPr>
          <w:cantSplit/>
          <w:trHeight w:val="23"/>
        </w:trPr>
        <w:tc>
          <w:tcPr>
            <w:tcW w:w="3969" w:type="dxa"/>
            <w:vMerge w:val="restart"/>
            <w:tcMar>
              <w:left w:w="0" w:type="dxa"/>
            </w:tcMar>
          </w:tcPr>
          <w:p w14:paraId="618A5B51"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3DE2FA2" w14:textId="0AE34D67" w:rsidR="00AD3606" w:rsidRPr="00301AEE" w:rsidRDefault="00AD3606" w:rsidP="00472BAD">
            <w:pPr>
              <w:tabs>
                <w:tab w:val="left" w:pos="851"/>
              </w:tabs>
              <w:spacing w:before="0" w:line="240" w:lineRule="atLeast"/>
              <w:jc w:val="right"/>
              <w:rPr>
                <w:b/>
                <w:lang w:val="fr-FR"/>
              </w:rPr>
            </w:pPr>
            <w:r w:rsidRPr="00301AEE">
              <w:rPr>
                <w:b/>
                <w:lang w:val="fr-FR"/>
              </w:rPr>
              <w:t xml:space="preserve">Document </w:t>
            </w:r>
            <w:r w:rsidR="00227AAB" w:rsidRPr="00227AAB">
              <w:rPr>
                <w:b/>
                <w:lang w:val="fr-FR"/>
              </w:rPr>
              <w:t>CWG-WSIS&amp;SDG-4</w:t>
            </w:r>
            <w:r w:rsidR="00C354AF">
              <w:rPr>
                <w:b/>
                <w:lang w:val="fr-FR"/>
              </w:rPr>
              <w:t>3</w:t>
            </w:r>
            <w:r w:rsidR="002F2D06">
              <w:rPr>
                <w:b/>
                <w:lang w:val="fr-FR"/>
              </w:rPr>
              <w:t>/</w:t>
            </w:r>
            <w:r w:rsidR="001C7262">
              <w:rPr>
                <w:b/>
                <w:lang w:val="fr-FR"/>
              </w:rPr>
              <w:t>18</w:t>
            </w:r>
          </w:p>
        </w:tc>
      </w:tr>
      <w:tr w:rsidR="00AD3606" w:rsidRPr="008B774C" w14:paraId="7298C460" w14:textId="77777777" w:rsidTr="00AD3606">
        <w:trPr>
          <w:cantSplit/>
        </w:trPr>
        <w:tc>
          <w:tcPr>
            <w:tcW w:w="3969" w:type="dxa"/>
            <w:vMerge/>
          </w:tcPr>
          <w:p w14:paraId="2AC99EA9"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13D878A3" w14:textId="6B8BD891" w:rsidR="00AD3606" w:rsidRPr="008B774C" w:rsidRDefault="001C7262" w:rsidP="00AD3606">
            <w:pPr>
              <w:tabs>
                <w:tab w:val="left" w:pos="851"/>
              </w:tabs>
              <w:spacing w:before="0"/>
              <w:jc w:val="right"/>
              <w:rPr>
                <w:b/>
              </w:rPr>
            </w:pPr>
            <w:r>
              <w:rPr>
                <w:b/>
                <w:lang w:val="fr-FR"/>
              </w:rPr>
              <w:t xml:space="preserve">27 </w:t>
            </w:r>
            <w:r w:rsidR="00E66F6C">
              <w:rPr>
                <w:b/>
                <w:lang w:val="fr-FR"/>
              </w:rPr>
              <w:t>August 2025</w:t>
            </w:r>
          </w:p>
        </w:tc>
      </w:tr>
      <w:tr w:rsidR="00AD3606" w:rsidRPr="00147C54" w14:paraId="6BDCBE6D" w14:textId="77777777" w:rsidTr="00AD3606">
        <w:trPr>
          <w:cantSplit/>
          <w:trHeight w:val="23"/>
        </w:trPr>
        <w:tc>
          <w:tcPr>
            <w:tcW w:w="3969" w:type="dxa"/>
            <w:vMerge/>
          </w:tcPr>
          <w:p w14:paraId="69B29BCC" w14:textId="77777777" w:rsidR="00AD3606" w:rsidRPr="008B774C" w:rsidRDefault="00AD3606" w:rsidP="00AD3606">
            <w:pPr>
              <w:tabs>
                <w:tab w:val="left" w:pos="851"/>
              </w:tabs>
              <w:spacing w:line="240" w:lineRule="atLeast"/>
              <w:rPr>
                <w:b/>
              </w:rPr>
            </w:pPr>
            <w:bookmarkStart w:id="7" w:name="dorlang" w:colFirst="1" w:colLast="1"/>
            <w:bookmarkEnd w:id="6"/>
          </w:p>
        </w:tc>
        <w:tc>
          <w:tcPr>
            <w:tcW w:w="5245" w:type="dxa"/>
          </w:tcPr>
          <w:p w14:paraId="040FC3F2"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00AB883D" w14:textId="77777777" w:rsidTr="00AD3606">
        <w:trPr>
          <w:cantSplit/>
          <w:trHeight w:val="23"/>
        </w:trPr>
        <w:tc>
          <w:tcPr>
            <w:tcW w:w="3969" w:type="dxa"/>
          </w:tcPr>
          <w:p w14:paraId="0E825F8D" w14:textId="77777777" w:rsidR="00472BAD" w:rsidRPr="00147C54" w:rsidRDefault="00472BAD" w:rsidP="00AD3606">
            <w:pPr>
              <w:tabs>
                <w:tab w:val="left" w:pos="851"/>
              </w:tabs>
              <w:spacing w:line="240" w:lineRule="atLeast"/>
              <w:rPr>
                <w:b/>
              </w:rPr>
            </w:pPr>
          </w:p>
        </w:tc>
        <w:tc>
          <w:tcPr>
            <w:tcW w:w="5245" w:type="dxa"/>
          </w:tcPr>
          <w:p w14:paraId="3A9852C1" w14:textId="77777777" w:rsidR="00472BAD" w:rsidRPr="00147C54" w:rsidRDefault="00472BAD" w:rsidP="00AD3606">
            <w:pPr>
              <w:tabs>
                <w:tab w:val="left" w:pos="851"/>
              </w:tabs>
              <w:spacing w:before="0" w:line="240" w:lineRule="atLeast"/>
              <w:jc w:val="right"/>
              <w:rPr>
                <w:b/>
              </w:rPr>
            </w:pPr>
          </w:p>
        </w:tc>
      </w:tr>
      <w:tr w:rsidR="00AD3606" w:rsidRPr="00147C54" w14:paraId="52871CB7" w14:textId="77777777" w:rsidTr="00AD3606">
        <w:trPr>
          <w:cantSplit/>
        </w:trPr>
        <w:tc>
          <w:tcPr>
            <w:tcW w:w="9214" w:type="dxa"/>
            <w:gridSpan w:val="2"/>
            <w:tcMar>
              <w:left w:w="0" w:type="dxa"/>
            </w:tcMar>
          </w:tcPr>
          <w:p w14:paraId="4F9642A2" w14:textId="76053301" w:rsidR="00AD3606" w:rsidRPr="00147C54" w:rsidRDefault="005536C2" w:rsidP="003C7976">
            <w:pPr>
              <w:pStyle w:val="Source"/>
              <w:framePr w:hSpace="0" w:wrap="auto" w:vAnchor="margin" w:hAnchor="text" w:xAlign="left" w:yAlign="inline"/>
            </w:pPr>
            <w:bookmarkStart w:id="8" w:name="dsource" w:colFirst="0" w:colLast="0"/>
            <w:bookmarkEnd w:id="7"/>
            <w:r w:rsidRPr="00C467D2">
              <w:t xml:space="preserve">Contribution </w:t>
            </w:r>
            <w:r w:rsidR="00C354AF">
              <w:t>by</w:t>
            </w:r>
            <w:r w:rsidRPr="00C467D2">
              <w:t xml:space="preserve"> </w:t>
            </w:r>
            <w:r w:rsidR="00782C7C">
              <w:t>the Russian Federation</w:t>
            </w:r>
            <w:r w:rsidR="003C7976">
              <w:t xml:space="preserve">, </w:t>
            </w:r>
            <w:r w:rsidR="003C7976" w:rsidRPr="003C7976">
              <w:rPr>
                <w:lang w:val="en-US"/>
              </w:rPr>
              <w:t>Belarus (Republic of), and the Kyrgyz Republic</w:t>
            </w:r>
          </w:p>
        </w:tc>
      </w:tr>
      <w:tr w:rsidR="00AD3606" w:rsidRPr="00147C54" w14:paraId="62D1261B" w14:textId="77777777" w:rsidTr="00AD3606">
        <w:trPr>
          <w:cantSplit/>
        </w:trPr>
        <w:tc>
          <w:tcPr>
            <w:tcW w:w="9214" w:type="dxa"/>
            <w:gridSpan w:val="2"/>
            <w:tcMar>
              <w:left w:w="0" w:type="dxa"/>
            </w:tcMar>
          </w:tcPr>
          <w:p w14:paraId="246571F2" w14:textId="1B805A08" w:rsidR="00AD3606" w:rsidRPr="00147C54" w:rsidRDefault="001C7262" w:rsidP="00E4728B">
            <w:pPr>
              <w:pStyle w:val="Subtitle"/>
              <w:framePr w:hSpace="0" w:wrap="auto" w:xAlign="left" w:yAlign="inline"/>
            </w:pPr>
            <w:bookmarkStart w:id="9" w:name="dtitle1" w:colFirst="0" w:colLast="0"/>
            <w:bookmarkEnd w:id="8"/>
            <w:r w:rsidRPr="00215B2D">
              <w:t>PROPOSALS FOR THE OVERALL REVIEW OF THE IMPLEMENTATION OF WSIS OUTCOMES AND FOLLOW-UP</w:t>
            </w:r>
          </w:p>
        </w:tc>
      </w:tr>
      <w:tr w:rsidR="00AD3606" w:rsidRPr="00147C54" w14:paraId="6545B848" w14:textId="77777777" w:rsidTr="00AD3606">
        <w:trPr>
          <w:cantSplit/>
        </w:trPr>
        <w:tc>
          <w:tcPr>
            <w:tcW w:w="9214" w:type="dxa"/>
            <w:gridSpan w:val="2"/>
            <w:tcBorders>
              <w:top w:val="single" w:sz="4" w:space="0" w:color="auto"/>
              <w:bottom w:val="single" w:sz="4" w:space="0" w:color="auto"/>
            </w:tcBorders>
            <w:tcMar>
              <w:left w:w="0" w:type="dxa"/>
            </w:tcMar>
          </w:tcPr>
          <w:p w14:paraId="0CAFC7CF" w14:textId="77777777" w:rsidR="00AD3606" w:rsidRPr="00147C54" w:rsidRDefault="00F16BAB" w:rsidP="00F16BAB">
            <w:pPr>
              <w:spacing w:before="160"/>
              <w:rPr>
                <w:b/>
                <w:bCs/>
                <w:sz w:val="26"/>
                <w:szCs w:val="26"/>
              </w:rPr>
            </w:pPr>
            <w:r w:rsidRPr="00147C54">
              <w:rPr>
                <w:b/>
                <w:bCs/>
                <w:sz w:val="26"/>
                <w:szCs w:val="26"/>
              </w:rPr>
              <w:t>Purpose</w:t>
            </w:r>
          </w:p>
          <w:p w14:paraId="7ED17D76" w14:textId="03D5B63F" w:rsidR="00215B2D" w:rsidRDefault="00215B2D" w:rsidP="00F16BAB">
            <w:pPr>
              <w:spacing w:before="160"/>
            </w:pPr>
            <w:r w:rsidRPr="00215B2D">
              <w:t>This document proposes additions to the Secretary-General's report "Update o</w:t>
            </w:r>
            <w:r>
              <w:rPr>
                <w:lang w:val="en-US"/>
              </w:rPr>
              <w:t>f</w:t>
            </w:r>
            <w:r w:rsidRPr="00215B2D">
              <w:t xml:space="preserve"> the Overall Review of the Implementation of WSIS Outcomes: WSIS+20 Review– WSIS Beyond 2025", </w:t>
            </w:r>
            <w:proofErr w:type="gramStart"/>
            <w:r w:rsidRPr="00215B2D">
              <w:t>taking into account</w:t>
            </w:r>
            <w:proofErr w:type="gramEnd"/>
            <w:r w:rsidRPr="00215B2D">
              <w:t xml:space="preserve"> the outcomes of the WSIS Forum 2025.</w:t>
            </w:r>
          </w:p>
          <w:p w14:paraId="2A416CCD" w14:textId="18D00160" w:rsidR="00AD3606" w:rsidRPr="00147C54" w:rsidRDefault="00AD3606" w:rsidP="00F16BAB">
            <w:pPr>
              <w:spacing w:before="160"/>
              <w:rPr>
                <w:b/>
                <w:bCs/>
                <w:sz w:val="26"/>
                <w:szCs w:val="26"/>
              </w:rPr>
            </w:pPr>
            <w:r w:rsidRPr="00147C54">
              <w:rPr>
                <w:b/>
                <w:bCs/>
                <w:sz w:val="26"/>
                <w:szCs w:val="26"/>
              </w:rPr>
              <w:t>Action required</w:t>
            </w:r>
          </w:p>
          <w:p w14:paraId="2AF7B463" w14:textId="69177282" w:rsidR="0025570E" w:rsidRPr="004405AB" w:rsidRDefault="005536C2" w:rsidP="000F6AB8">
            <w:pPr>
              <w:spacing w:before="160"/>
            </w:pPr>
            <w:r w:rsidRPr="00C467D2">
              <w:rPr>
                <w:szCs w:val="24"/>
              </w:rPr>
              <w:t>The Council Working Group on WSIS and the SDGs is invited to</w:t>
            </w:r>
            <w:r w:rsidRPr="00C467D2">
              <w:rPr>
                <w:b/>
                <w:bCs/>
                <w:szCs w:val="24"/>
              </w:rPr>
              <w:t xml:space="preserve"> </w:t>
            </w:r>
            <w:r w:rsidR="00215B2D" w:rsidRPr="001C7262">
              <w:rPr>
                <w:b/>
                <w:bCs/>
                <w:szCs w:val="24"/>
              </w:rPr>
              <w:t>consider</w:t>
            </w:r>
            <w:r w:rsidR="00215B2D" w:rsidRPr="00215B2D">
              <w:rPr>
                <w:szCs w:val="24"/>
              </w:rPr>
              <w:t xml:space="preserve"> </w:t>
            </w:r>
            <w:r w:rsidRPr="00C467D2">
              <w:rPr>
                <w:szCs w:val="24"/>
              </w:rPr>
              <w:t>this docume</w:t>
            </w:r>
            <w:r w:rsidR="00215B2D">
              <w:rPr>
                <w:szCs w:val="24"/>
              </w:rPr>
              <w:t xml:space="preserve">nt </w:t>
            </w:r>
            <w:r w:rsidR="00215B2D" w:rsidRPr="00215B2D">
              <w:rPr>
                <w:szCs w:val="24"/>
              </w:rPr>
              <w:t xml:space="preserve">and </w:t>
            </w:r>
            <w:proofErr w:type="gramStart"/>
            <w:r w:rsidR="00215B2D" w:rsidRPr="001C7262">
              <w:rPr>
                <w:b/>
                <w:bCs/>
                <w:szCs w:val="24"/>
              </w:rPr>
              <w:t>make a decision</w:t>
            </w:r>
            <w:proofErr w:type="gramEnd"/>
            <w:r w:rsidR="00215B2D" w:rsidRPr="00215B2D">
              <w:rPr>
                <w:szCs w:val="24"/>
              </w:rPr>
              <w:t xml:space="preserve"> on the proposals presented.</w:t>
            </w:r>
          </w:p>
          <w:p w14:paraId="7BD0117A" w14:textId="77777777" w:rsidR="00AD3606" w:rsidRPr="00CD3C91" w:rsidRDefault="00CD3C91" w:rsidP="00CD3C91">
            <w:r>
              <w:t>_______________</w:t>
            </w:r>
          </w:p>
          <w:p w14:paraId="783B7B84" w14:textId="72065971" w:rsidR="00215B2D" w:rsidRDefault="00AD3606" w:rsidP="00215B2D">
            <w:pPr>
              <w:spacing w:before="160"/>
              <w:rPr>
                <w:b/>
                <w:bCs/>
                <w:sz w:val="26"/>
                <w:szCs w:val="26"/>
              </w:rPr>
            </w:pPr>
            <w:r w:rsidRPr="00147C54">
              <w:rPr>
                <w:b/>
                <w:bCs/>
                <w:sz w:val="26"/>
                <w:szCs w:val="26"/>
              </w:rPr>
              <w:t>References</w:t>
            </w:r>
            <w:r w:rsidR="00301AEE">
              <w:rPr>
                <w:b/>
                <w:bCs/>
                <w:sz w:val="26"/>
                <w:szCs w:val="26"/>
              </w:rPr>
              <w:t xml:space="preserve"> </w:t>
            </w:r>
          </w:p>
          <w:p w14:paraId="1CFE5D15" w14:textId="78C28AAC" w:rsidR="00AD3606" w:rsidRPr="001B0595" w:rsidRDefault="00215B2D" w:rsidP="001C7262">
            <w:pPr>
              <w:spacing w:before="160" w:after="160"/>
              <w:rPr>
                <w:i/>
                <w:iCs/>
                <w:sz w:val="22"/>
                <w:szCs w:val="22"/>
              </w:rPr>
            </w:pPr>
            <w:hyperlink r:id="rId11" w:history="1">
              <w:r w:rsidRPr="001C7262">
                <w:rPr>
                  <w:rStyle w:val="Hyperlink"/>
                  <w:i/>
                  <w:iCs/>
                  <w:sz w:val="22"/>
                  <w:szCs w:val="22"/>
                </w:rPr>
                <w:t>CWG-WSIS&amp;SDG website</w:t>
              </w:r>
            </w:hyperlink>
            <w:r w:rsidRPr="001C7262">
              <w:rPr>
                <w:i/>
                <w:iCs/>
                <w:sz w:val="22"/>
                <w:szCs w:val="22"/>
              </w:rPr>
              <w:t xml:space="preserve">; </w:t>
            </w:r>
            <w:hyperlink r:id="rId12" w:history="1">
              <w:r w:rsidRPr="001C7262">
                <w:rPr>
                  <w:rStyle w:val="Hyperlink"/>
                  <w:i/>
                  <w:iCs/>
                  <w:sz w:val="22"/>
                  <w:szCs w:val="22"/>
                </w:rPr>
                <w:t>WSIS Forum website</w:t>
              </w:r>
            </w:hyperlink>
            <w:r w:rsidRPr="001C7262">
              <w:rPr>
                <w:i/>
                <w:iCs/>
                <w:sz w:val="22"/>
                <w:szCs w:val="22"/>
              </w:rPr>
              <w:t xml:space="preserve">; </w:t>
            </w:r>
            <w:hyperlink r:id="rId13" w:history="1">
              <w:r w:rsidRPr="001C7262">
                <w:rPr>
                  <w:rStyle w:val="Hyperlink"/>
                  <w:i/>
                  <w:iCs/>
                  <w:sz w:val="22"/>
                  <w:szCs w:val="22"/>
                </w:rPr>
                <w:t>WSIS review</w:t>
              </w:r>
            </w:hyperlink>
            <w:r w:rsidRPr="001C7262">
              <w:rPr>
                <w:i/>
                <w:iCs/>
                <w:sz w:val="22"/>
                <w:szCs w:val="22"/>
              </w:rPr>
              <w:t xml:space="preserve">; </w:t>
            </w:r>
            <w:hyperlink r:id="rId14" w:history="1">
              <w:r w:rsidRPr="001C7262">
                <w:rPr>
                  <w:rStyle w:val="Hyperlink"/>
                  <w:i/>
                  <w:iCs/>
                  <w:sz w:val="22"/>
                  <w:szCs w:val="22"/>
                </w:rPr>
                <w:t>WSIS+20 review</w:t>
              </w:r>
            </w:hyperlink>
            <w:r w:rsidRPr="001C7262">
              <w:rPr>
                <w:i/>
                <w:iCs/>
                <w:sz w:val="22"/>
                <w:szCs w:val="22"/>
              </w:rPr>
              <w:t xml:space="preserve">; UNGA Resolutions </w:t>
            </w:r>
            <w:hyperlink r:id="rId15" w:history="1">
              <w:r w:rsidRPr="001C7262">
                <w:rPr>
                  <w:rStyle w:val="Hyperlink"/>
                  <w:i/>
                  <w:iCs/>
                  <w:sz w:val="22"/>
                  <w:szCs w:val="22"/>
                </w:rPr>
                <w:t>A/RES/70/125</w:t>
              </w:r>
            </w:hyperlink>
            <w:r w:rsidRPr="001C7262">
              <w:rPr>
                <w:i/>
                <w:iCs/>
                <w:sz w:val="22"/>
                <w:szCs w:val="22"/>
              </w:rPr>
              <w:t xml:space="preserve">, </w:t>
            </w:r>
            <w:hyperlink r:id="rId16" w:history="1">
              <w:r w:rsidRPr="001C7262">
                <w:rPr>
                  <w:rStyle w:val="Hyperlink"/>
                  <w:i/>
                  <w:iCs/>
                  <w:sz w:val="22"/>
                  <w:szCs w:val="22"/>
                </w:rPr>
                <w:t>A/RES/70/1</w:t>
              </w:r>
            </w:hyperlink>
            <w:r w:rsidRPr="001C7262">
              <w:rPr>
                <w:i/>
                <w:iCs/>
                <w:sz w:val="22"/>
                <w:szCs w:val="22"/>
              </w:rPr>
              <w:t xml:space="preserve">, </w:t>
            </w:r>
            <w:hyperlink r:id="rId17" w:history="1">
              <w:r w:rsidRPr="001C7262">
                <w:rPr>
                  <w:rStyle w:val="Hyperlink"/>
                  <w:i/>
                  <w:iCs/>
                  <w:sz w:val="22"/>
                  <w:szCs w:val="22"/>
                </w:rPr>
                <w:t>A/RES/77/150</w:t>
              </w:r>
            </w:hyperlink>
            <w:r w:rsidRPr="001C7262">
              <w:rPr>
                <w:i/>
                <w:iCs/>
                <w:sz w:val="22"/>
                <w:szCs w:val="22"/>
              </w:rPr>
              <w:t xml:space="preserve">; UN ECOSOC Resolution </w:t>
            </w:r>
            <w:hyperlink r:id="rId18" w:history="1">
              <w:r w:rsidRPr="001C7262">
                <w:rPr>
                  <w:rStyle w:val="Hyperlink"/>
                  <w:i/>
                  <w:iCs/>
                  <w:sz w:val="22"/>
                  <w:szCs w:val="22"/>
                </w:rPr>
                <w:t>E/RES/2024/13</w:t>
              </w:r>
            </w:hyperlink>
            <w:r w:rsidRPr="001C7262">
              <w:rPr>
                <w:i/>
                <w:iCs/>
                <w:sz w:val="22"/>
                <w:szCs w:val="22"/>
              </w:rPr>
              <w:t xml:space="preserve"> and Report </w:t>
            </w:r>
            <w:hyperlink r:id="rId19" w:history="1">
              <w:r w:rsidRPr="001C7262">
                <w:rPr>
                  <w:rStyle w:val="Hyperlink"/>
                  <w:i/>
                  <w:iCs/>
                  <w:sz w:val="22"/>
                  <w:szCs w:val="22"/>
                </w:rPr>
                <w:t>E/2025/31–E/CN.16/2025/4</w:t>
              </w:r>
            </w:hyperlink>
            <w:r w:rsidRPr="001C7262">
              <w:rPr>
                <w:i/>
                <w:iCs/>
                <w:sz w:val="22"/>
                <w:szCs w:val="22"/>
              </w:rPr>
              <w:t xml:space="preserve">; PP Resolutions </w:t>
            </w:r>
            <w:hyperlink r:id="rId20" w:history="1">
              <w:r w:rsidRPr="001C7262">
                <w:rPr>
                  <w:rStyle w:val="Hyperlink"/>
                  <w:i/>
                  <w:iCs/>
                  <w:sz w:val="22"/>
                  <w:szCs w:val="22"/>
                </w:rPr>
                <w:t>172 (Guadalajara, 2010)</w:t>
              </w:r>
            </w:hyperlink>
            <w:r w:rsidRPr="001C7262">
              <w:rPr>
                <w:i/>
                <w:iCs/>
                <w:sz w:val="22"/>
                <w:szCs w:val="22"/>
              </w:rPr>
              <w:t xml:space="preserve"> and </w:t>
            </w:r>
            <w:hyperlink r:id="rId21" w:history="1">
              <w:r w:rsidRPr="001C7262">
                <w:rPr>
                  <w:rStyle w:val="Hyperlink"/>
                  <w:i/>
                  <w:iCs/>
                  <w:sz w:val="22"/>
                  <w:szCs w:val="22"/>
                </w:rPr>
                <w:t>140 (Rev. Bucharest, 2022)</w:t>
              </w:r>
            </w:hyperlink>
            <w:r w:rsidRPr="001C7262">
              <w:rPr>
                <w:i/>
                <w:iCs/>
                <w:sz w:val="22"/>
                <w:szCs w:val="22"/>
              </w:rPr>
              <w:t xml:space="preserve">; Council Resolutions </w:t>
            </w:r>
            <w:hyperlink r:id="rId22" w:history="1">
              <w:r w:rsidRPr="001C7262">
                <w:rPr>
                  <w:rStyle w:val="Hyperlink"/>
                  <w:i/>
                  <w:iCs/>
                  <w:sz w:val="22"/>
                  <w:szCs w:val="22"/>
                </w:rPr>
                <w:t>1332 (Modified 2024)</w:t>
              </w:r>
            </w:hyperlink>
            <w:r w:rsidRPr="001C7262">
              <w:rPr>
                <w:i/>
                <w:iCs/>
                <w:sz w:val="22"/>
                <w:szCs w:val="22"/>
              </w:rPr>
              <w:t xml:space="preserve"> and </w:t>
            </w:r>
            <w:hyperlink r:id="rId23" w:history="1">
              <w:r w:rsidRPr="001C7262">
                <w:rPr>
                  <w:rStyle w:val="Hyperlink"/>
                  <w:i/>
                  <w:iCs/>
                  <w:sz w:val="22"/>
                  <w:szCs w:val="22"/>
                </w:rPr>
                <w:t>1334 (Modified 2023)</w:t>
              </w:r>
            </w:hyperlink>
            <w:r w:rsidRPr="001C7262">
              <w:rPr>
                <w:i/>
                <w:iCs/>
                <w:sz w:val="22"/>
                <w:szCs w:val="22"/>
              </w:rPr>
              <w:t xml:space="preserve">; </w:t>
            </w:r>
            <w:hyperlink r:id="rId24" w:history="1">
              <w:r w:rsidRPr="001C7262">
                <w:rPr>
                  <w:rStyle w:val="Hyperlink"/>
                  <w:i/>
                  <w:iCs/>
                  <w:sz w:val="22"/>
                  <w:szCs w:val="22"/>
                </w:rPr>
                <w:t>ITU Secretary-General’s roadmap: World Summit on the Information Society (WSIS)+20: WSIS beyond 2025 – WSIS+20 Roadmap</w:t>
              </w:r>
            </w:hyperlink>
            <w:r w:rsidRPr="001C7262">
              <w:rPr>
                <w:i/>
                <w:iCs/>
                <w:sz w:val="22"/>
                <w:szCs w:val="22"/>
              </w:rPr>
              <w:t xml:space="preserve">; </w:t>
            </w:r>
            <w:r w:rsidRPr="001C7262">
              <w:rPr>
                <w:i/>
                <w:iCs/>
                <w:sz w:val="22"/>
                <w:szCs w:val="22"/>
                <w:lang w:val="en-US"/>
              </w:rPr>
              <w:t xml:space="preserve">documents </w:t>
            </w:r>
            <w:hyperlink r:id="rId25" w:history="1">
              <w:r w:rsidRPr="001C7262">
                <w:rPr>
                  <w:rStyle w:val="Hyperlink"/>
                  <w:i/>
                  <w:iCs/>
                  <w:sz w:val="22"/>
                  <w:szCs w:val="22"/>
                </w:rPr>
                <w:t>CWG-WSIS&amp;SDG-43/14</w:t>
              </w:r>
            </w:hyperlink>
            <w:r w:rsidRPr="001C7262">
              <w:rPr>
                <w:rStyle w:val="Hyperlink"/>
                <w:i/>
                <w:iCs/>
                <w:color w:val="auto"/>
                <w:sz w:val="22"/>
                <w:szCs w:val="22"/>
                <w:u w:val="none"/>
                <w:lang w:val="en-US"/>
              </w:rPr>
              <w:t xml:space="preserve"> and</w:t>
            </w:r>
            <w:r w:rsidRPr="001C7262">
              <w:rPr>
                <w:b/>
                <w:sz w:val="22"/>
                <w:szCs w:val="22"/>
              </w:rPr>
              <w:t xml:space="preserve"> </w:t>
            </w:r>
            <w:hyperlink r:id="rId26" w:history="1">
              <w:r w:rsidRPr="001C7262">
                <w:rPr>
                  <w:rStyle w:val="Hyperlink"/>
                  <w:i/>
                  <w:iCs/>
                  <w:sz w:val="22"/>
                  <w:szCs w:val="22"/>
                </w:rPr>
                <w:t>C25/80</w:t>
              </w:r>
            </w:hyperlink>
          </w:p>
        </w:tc>
      </w:tr>
    </w:tbl>
    <w:p w14:paraId="3EBB9133"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67AC3A25" w14:textId="4612C6CD" w:rsidR="00A514A4" w:rsidRDefault="0090147A" w:rsidP="00215B2D">
      <w:pPr>
        <w:tabs>
          <w:tab w:val="clear" w:pos="567"/>
          <w:tab w:val="clear" w:pos="1134"/>
          <w:tab w:val="clear" w:pos="1701"/>
          <w:tab w:val="clear" w:pos="2268"/>
          <w:tab w:val="clear" w:pos="2835"/>
        </w:tabs>
        <w:overflowPunct/>
        <w:autoSpaceDE/>
        <w:autoSpaceDN/>
        <w:adjustRightInd/>
        <w:spacing w:before="0"/>
        <w:textAlignment w:val="auto"/>
        <w:rPr>
          <w:i/>
          <w:iCs/>
        </w:rPr>
      </w:pPr>
      <w:r w:rsidRPr="00147C54">
        <w:br w:type="page"/>
      </w:r>
      <w:bookmarkEnd w:id="5"/>
      <w:bookmarkEnd w:id="10"/>
    </w:p>
    <w:p w14:paraId="6508C50C" w14:textId="75426CFD" w:rsidR="00215B2D" w:rsidRPr="0054584C" w:rsidRDefault="00215B2D" w:rsidP="001C7262">
      <w:pPr>
        <w:pStyle w:val="Reasons"/>
        <w:tabs>
          <w:tab w:val="clear" w:pos="567"/>
          <w:tab w:val="clear" w:pos="1134"/>
          <w:tab w:val="clear" w:pos="1701"/>
          <w:tab w:val="clear" w:pos="2268"/>
          <w:tab w:val="clear" w:pos="2835"/>
        </w:tabs>
        <w:spacing w:after="120"/>
        <w:jc w:val="both"/>
        <w:rPr>
          <w:b/>
          <w:bCs/>
        </w:rPr>
      </w:pPr>
      <w:r w:rsidRPr="0054584C">
        <w:rPr>
          <w:b/>
          <w:bCs/>
        </w:rPr>
        <w:lastRenderedPageBreak/>
        <w:t>I</w:t>
      </w:r>
      <w:r w:rsidR="001C7262">
        <w:rPr>
          <w:b/>
          <w:bCs/>
        </w:rPr>
        <w:tab/>
      </w:r>
      <w:r w:rsidRPr="0054584C">
        <w:rPr>
          <w:b/>
          <w:bCs/>
        </w:rPr>
        <w:t>Introduction</w:t>
      </w:r>
    </w:p>
    <w:p w14:paraId="1C7C370D" w14:textId="7C8E2D7C" w:rsidR="00215B2D" w:rsidRDefault="00215B2D" w:rsidP="001C7262">
      <w:pPr>
        <w:pStyle w:val="Reasons"/>
        <w:tabs>
          <w:tab w:val="clear" w:pos="567"/>
          <w:tab w:val="clear" w:pos="1134"/>
          <w:tab w:val="clear" w:pos="1701"/>
          <w:tab w:val="clear" w:pos="2268"/>
          <w:tab w:val="clear" w:pos="2835"/>
        </w:tabs>
        <w:spacing w:after="120"/>
        <w:jc w:val="both"/>
      </w:pPr>
      <w:r>
        <w:t xml:space="preserve">The WSIS Forum 2025 demonstrated the </w:t>
      </w:r>
      <w:r w:rsidR="00E66F6C">
        <w:rPr>
          <w:lang w:val="en-US"/>
        </w:rPr>
        <w:t>key</w:t>
      </w:r>
      <w:r>
        <w:t xml:space="preserve"> role of ICTs in contemporary </w:t>
      </w:r>
      <w:r w:rsidR="0054584C">
        <w:t xml:space="preserve">sustainable </w:t>
      </w:r>
      <w:r>
        <w:t xml:space="preserve">development and the unanimous commitment to continue the WSIS process. The </w:t>
      </w:r>
      <w:r w:rsidR="0054584C">
        <w:t xml:space="preserve">President of the </w:t>
      </w:r>
      <w:r>
        <w:t xml:space="preserve">Forum, in his conclusions on the WSIS Forum, emphasized that the WSIS architecture, based on the Geneva Plan of Action and the Tunis Agenda, has provided guidance for national and international efforts to enhance connectivity, empower users and bridge the digital divide. The WSIS process is critical to </w:t>
      </w:r>
      <w:r w:rsidR="00EB70D0">
        <w:t xml:space="preserve">implementation of </w:t>
      </w:r>
      <w:r>
        <w:t xml:space="preserve">the 2030 Development Agenda and </w:t>
      </w:r>
      <w:r w:rsidR="00EB70D0">
        <w:t xml:space="preserve">achieving </w:t>
      </w:r>
      <w:r>
        <w:t xml:space="preserve">the GDC </w:t>
      </w:r>
      <w:r w:rsidR="0054584C">
        <w:t>objectives</w:t>
      </w:r>
      <w:r>
        <w:t>. The Forum expressed concern that many countries, particularly developing countries, are being left behind in the latest technological developments. In this context, the WSIS architecture can play a central role in democratizing the development of new technologies by supporting capacity building, governance dialogue and standardization across all areas. Particular attention for the period after 2025 was paid to the role of youth as generators of new ideas, the main driving force for the further implementation of WSIS objectives, including for promoting the achievement of the SDGs, as well as highlighting the problems that the younger generation may face when introducing new technologies, primarily artificial intelligence. The protection of children and youth is of the highest priority, and ITU should pay close attention to this issue in the coming period.</w:t>
      </w:r>
    </w:p>
    <w:p w14:paraId="6458B175" w14:textId="77777777" w:rsidR="00215B2D" w:rsidRDefault="00215B2D" w:rsidP="001C7262">
      <w:pPr>
        <w:pStyle w:val="Reasons"/>
        <w:tabs>
          <w:tab w:val="clear" w:pos="567"/>
          <w:tab w:val="clear" w:pos="1134"/>
          <w:tab w:val="clear" w:pos="1701"/>
          <w:tab w:val="clear" w:pos="2268"/>
          <w:tab w:val="clear" w:pos="2835"/>
        </w:tabs>
        <w:spacing w:after="120"/>
        <w:jc w:val="both"/>
      </w:pPr>
      <w:r>
        <w:t>The key here is to prevent youth from becoming only consumers of the digital revolution, shifting the solution to AI, which is fraught with both personal and social catastrophe. An example is the real helplessness during a power outage.</w:t>
      </w:r>
    </w:p>
    <w:p w14:paraId="399CB723" w14:textId="77777777" w:rsidR="00215B2D" w:rsidRDefault="00215B2D" w:rsidP="001C7262">
      <w:pPr>
        <w:pStyle w:val="Reasons"/>
        <w:tabs>
          <w:tab w:val="clear" w:pos="567"/>
          <w:tab w:val="clear" w:pos="1134"/>
          <w:tab w:val="clear" w:pos="1701"/>
          <w:tab w:val="clear" w:pos="2268"/>
          <w:tab w:val="clear" w:pos="2835"/>
        </w:tabs>
        <w:spacing w:after="120"/>
        <w:jc w:val="both"/>
      </w:pPr>
      <w:r>
        <w:t>We believe it is important to reflect this problem when presenting ITU's opinion as part of the overall review of the implementation of WSIS outcomes at the UNGA. We welcome the update on the Overall Review of the Implementation of WSIS Outcomes: WSIS+20 Review – WSIS Beyond 2025, presented by the Secretary-General, taking into account the outcomes of the WSIS Forum, and thank the secretariat for taking into account the comments and proposals submitted by Russia at the 2025 Council.</w:t>
      </w:r>
    </w:p>
    <w:p w14:paraId="4C2A8731" w14:textId="3977008F" w:rsidR="00215B2D" w:rsidRPr="00E66F6C" w:rsidRDefault="00215B2D" w:rsidP="001C7262">
      <w:pPr>
        <w:pStyle w:val="Reasons"/>
        <w:tabs>
          <w:tab w:val="clear" w:pos="567"/>
          <w:tab w:val="clear" w:pos="1134"/>
          <w:tab w:val="clear" w:pos="1701"/>
          <w:tab w:val="clear" w:pos="2268"/>
          <w:tab w:val="clear" w:pos="2835"/>
        </w:tabs>
        <w:spacing w:before="480" w:after="120"/>
        <w:jc w:val="both"/>
        <w:rPr>
          <w:b/>
          <w:bCs/>
        </w:rPr>
      </w:pPr>
      <w:r w:rsidRPr="00E66F6C">
        <w:rPr>
          <w:b/>
          <w:bCs/>
        </w:rPr>
        <w:t>II</w:t>
      </w:r>
      <w:r w:rsidR="001C7262">
        <w:rPr>
          <w:b/>
          <w:bCs/>
        </w:rPr>
        <w:tab/>
      </w:r>
      <w:r w:rsidRPr="00E66F6C">
        <w:rPr>
          <w:b/>
          <w:bCs/>
        </w:rPr>
        <w:t>Proposals</w:t>
      </w:r>
    </w:p>
    <w:p w14:paraId="16913599" w14:textId="06D9FF15" w:rsidR="00215B2D" w:rsidRDefault="00215B2D" w:rsidP="001C7262">
      <w:pPr>
        <w:pStyle w:val="Reasons"/>
        <w:tabs>
          <w:tab w:val="clear" w:pos="567"/>
          <w:tab w:val="clear" w:pos="1134"/>
          <w:tab w:val="clear" w:pos="1701"/>
          <w:tab w:val="clear" w:pos="2268"/>
          <w:tab w:val="clear" w:pos="2835"/>
        </w:tabs>
        <w:spacing w:after="120"/>
        <w:jc w:val="both"/>
      </w:pPr>
      <w:r>
        <w:t>2.1</w:t>
      </w:r>
      <w:r w:rsidR="001C7262">
        <w:tab/>
      </w:r>
      <w:r>
        <w:t>Support the actions of the ITU secretariat to reflect and promote the Union’s leadership role in the WSIS process as part of the UNGA Overall Review of the Implementation of WSIS Outcomes.</w:t>
      </w:r>
    </w:p>
    <w:p w14:paraId="5BC1FD68" w14:textId="606EA735" w:rsidR="00215B2D" w:rsidRDefault="00215B2D" w:rsidP="001C7262">
      <w:pPr>
        <w:pStyle w:val="Reasons"/>
        <w:tabs>
          <w:tab w:val="clear" w:pos="567"/>
          <w:tab w:val="clear" w:pos="1134"/>
          <w:tab w:val="clear" w:pos="1701"/>
          <w:tab w:val="clear" w:pos="2268"/>
          <w:tab w:val="clear" w:pos="2835"/>
        </w:tabs>
        <w:spacing w:after="120"/>
        <w:jc w:val="both"/>
      </w:pPr>
      <w:r>
        <w:t>2.2</w:t>
      </w:r>
      <w:r w:rsidR="001C7262">
        <w:tab/>
      </w:r>
      <w:r>
        <w:t>Extend the WSIS process until 2035, including the annual holding of the WSIS Forum and the IGF, reaffirming its commitment to the Geneva Declaration of Principles, the Geneva Plan of Action and the key action areas defined therein, the Tunis Commitment and the Tunis Agenda for the Information Society.</w:t>
      </w:r>
    </w:p>
    <w:p w14:paraId="3C235BEB" w14:textId="0BEEA5BC" w:rsidR="00215B2D" w:rsidRDefault="00215B2D" w:rsidP="001C7262">
      <w:pPr>
        <w:pStyle w:val="Reasons"/>
        <w:tabs>
          <w:tab w:val="clear" w:pos="567"/>
          <w:tab w:val="clear" w:pos="1134"/>
          <w:tab w:val="clear" w:pos="1701"/>
          <w:tab w:val="clear" w:pos="2268"/>
          <w:tab w:val="clear" w:pos="2835"/>
        </w:tabs>
        <w:spacing w:after="120"/>
        <w:jc w:val="both"/>
      </w:pPr>
      <w:r>
        <w:t>2.3</w:t>
      </w:r>
      <w:r w:rsidR="001C7262">
        <w:tab/>
      </w:r>
      <w:r>
        <w:t xml:space="preserve">Emphasize the importance and necessity of uniting the efforts of all stakeholders to accelerate a significant </w:t>
      </w:r>
      <w:r w:rsidR="005C293A">
        <w:t>bridge</w:t>
      </w:r>
      <w:r>
        <w:t xml:space="preserve"> in the digital divide </w:t>
      </w:r>
      <w:proofErr w:type="gramStart"/>
      <w:r>
        <w:t>in order to</w:t>
      </w:r>
      <w:proofErr w:type="gramEnd"/>
      <w:r>
        <w:t xml:space="preserve"> facilitate the achievement of the SDGs by 2030.</w:t>
      </w:r>
    </w:p>
    <w:p w14:paraId="338A17BF" w14:textId="34734069" w:rsidR="00215B2D" w:rsidRDefault="00215B2D" w:rsidP="001C7262">
      <w:pPr>
        <w:pStyle w:val="Reasons"/>
        <w:tabs>
          <w:tab w:val="clear" w:pos="567"/>
          <w:tab w:val="clear" w:pos="1134"/>
          <w:tab w:val="clear" w:pos="1701"/>
          <w:tab w:val="clear" w:pos="2268"/>
          <w:tab w:val="clear" w:pos="2835"/>
        </w:tabs>
        <w:spacing w:after="120"/>
        <w:jc w:val="both"/>
      </w:pPr>
      <w:r>
        <w:t>2.4</w:t>
      </w:r>
      <w:r w:rsidR="001C7262">
        <w:tab/>
      </w:r>
      <w:r>
        <w:t>Pay special attention to the involvement of youth in the activities of the ITU, including through regional organizations, trusting youth to participate in decision-making.</w:t>
      </w:r>
    </w:p>
    <w:p w14:paraId="53BDB7E7" w14:textId="379DF426" w:rsidR="00215B2D" w:rsidRDefault="00215B2D" w:rsidP="001C7262">
      <w:pPr>
        <w:pStyle w:val="Reasons"/>
        <w:tabs>
          <w:tab w:val="clear" w:pos="567"/>
          <w:tab w:val="clear" w:pos="1134"/>
          <w:tab w:val="clear" w:pos="1701"/>
          <w:tab w:val="clear" w:pos="2268"/>
          <w:tab w:val="clear" w:pos="2835"/>
        </w:tabs>
        <w:spacing w:after="120"/>
        <w:jc w:val="both"/>
      </w:pPr>
      <w:r>
        <w:t>2.5</w:t>
      </w:r>
      <w:r w:rsidR="001C7262">
        <w:tab/>
      </w:r>
      <w:r>
        <w:t xml:space="preserve">Consider the advisability and possibility of creating a </w:t>
      </w:r>
      <w:r w:rsidR="005C293A">
        <w:t>dedicated</w:t>
      </w:r>
      <w:r>
        <w:t xml:space="preserve"> subgroup within the </w:t>
      </w:r>
      <w:r w:rsidR="005C293A">
        <w:t xml:space="preserve">CWG </w:t>
      </w:r>
      <w:r>
        <w:t>WSIS&amp;SDG on youth for the purpose of intergenerational cooperation, encouraging joint development of digital policies between youth and older generations.</w:t>
      </w:r>
    </w:p>
    <w:p w14:paraId="274783E1" w14:textId="07394CC5" w:rsidR="00C354AF" w:rsidRDefault="00215B2D" w:rsidP="001C7262">
      <w:pPr>
        <w:pStyle w:val="Reasons"/>
        <w:tabs>
          <w:tab w:val="clear" w:pos="567"/>
          <w:tab w:val="clear" w:pos="1134"/>
          <w:tab w:val="clear" w:pos="1701"/>
          <w:tab w:val="clear" w:pos="2268"/>
          <w:tab w:val="clear" w:pos="2835"/>
        </w:tabs>
        <w:spacing w:after="120"/>
        <w:jc w:val="both"/>
      </w:pPr>
      <w:r>
        <w:lastRenderedPageBreak/>
        <w:t>2.6</w:t>
      </w:r>
      <w:r w:rsidR="001C7262">
        <w:tab/>
      </w:r>
      <w:r>
        <w:t xml:space="preserve">Expand the activities of the </w:t>
      </w:r>
      <w:r w:rsidR="00E66F6C">
        <w:t>CWG COP</w:t>
      </w:r>
      <w:r>
        <w:t xml:space="preserve"> not only to children, but also to youth, including in the scope of activities the development of </w:t>
      </w:r>
      <w:r w:rsidR="00E66F6C">
        <w:t xml:space="preserve">the </w:t>
      </w:r>
      <w:r>
        <w:t>immunity to digital infantilism and the habit of shifting the solution of all life issues, including survival issues, to AI, without prior independent analysis and critical approach.</w:t>
      </w:r>
    </w:p>
    <w:p w14:paraId="01044D95" w14:textId="77D321EE" w:rsidR="00C354AF" w:rsidRPr="005B0763" w:rsidRDefault="00C354AF" w:rsidP="001C7262">
      <w:pPr>
        <w:spacing w:before="840"/>
        <w:jc w:val="center"/>
      </w:pPr>
      <w:r>
        <w:t>______________</w:t>
      </w:r>
    </w:p>
    <w:sectPr w:rsidR="00C354AF" w:rsidRPr="005B0763" w:rsidSect="00AD3606">
      <w:footerReference w:type="default" r:id="rId27"/>
      <w:headerReference w:type="first" r:id="rId28"/>
      <w:footerReference w:type="first" r:id="rId2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06A2C" w14:textId="77777777" w:rsidR="009471A7" w:rsidRDefault="009471A7">
      <w:r>
        <w:separator/>
      </w:r>
    </w:p>
  </w:endnote>
  <w:endnote w:type="continuationSeparator" w:id="0">
    <w:p w14:paraId="4F6B2861" w14:textId="77777777" w:rsidR="009471A7" w:rsidRDefault="00947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2169EC" w14:paraId="36BBDE98" w14:textId="77777777" w:rsidTr="0042469C">
      <w:trPr>
        <w:jc w:val="center"/>
      </w:trPr>
      <w:tc>
        <w:tcPr>
          <w:tcW w:w="1803" w:type="dxa"/>
          <w:vAlign w:val="center"/>
        </w:tcPr>
        <w:p w14:paraId="7AEB88F4" w14:textId="77777777" w:rsidR="00EE49E8" w:rsidRDefault="00EE49E8" w:rsidP="00EE49E8">
          <w:pPr>
            <w:pStyle w:val="Header"/>
            <w:jc w:val="left"/>
            <w:rPr>
              <w:noProof/>
            </w:rPr>
          </w:pPr>
        </w:p>
      </w:tc>
      <w:tc>
        <w:tcPr>
          <w:tcW w:w="8261" w:type="dxa"/>
        </w:tcPr>
        <w:p w14:paraId="38F1FE77" w14:textId="3532C449" w:rsidR="00EE49E8" w:rsidRPr="00877BF2" w:rsidRDefault="00EE49E8" w:rsidP="00781461">
          <w:pPr>
            <w:pStyle w:val="Header"/>
            <w:tabs>
              <w:tab w:val="left" w:pos="5740"/>
              <w:tab w:val="right" w:pos="8505"/>
              <w:tab w:val="right" w:pos="9639"/>
            </w:tabs>
            <w:jc w:val="left"/>
            <w:rPr>
              <w:rFonts w:ascii="Arial" w:hAnsi="Arial" w:cs="Arial"/>
              <w:b/>
              <w:bCs/>
              <w:szCs w:val="18"/>
              <w:lang w:val="es-ES"/>
            </w:rPr>
          </w:pPr>
          <w:r w:rsidRPr="005C13D4">
            <w:rPr>
              <w:bCs/>
              <w:lang w:val="fr-CH"/>
            </w:rPr>
            <w:tab/>
          </w:r>
          <w:r w:rsidR="00227AAB" w:rsidRPr="00227AAB">
            <w:rPr>
              <w:bCs/>
              <w:lang w:val="es-ES"/>
            </w:rPr>
            <w:t>CWG-WSIS&amp;SDG-</w:t>
          </w:r>
          <w:r w:rsidR="00C354AF">
            <w:rPr>
              <w:bCs/>
              <w:lang w:val="es-ES"/>
            </w:rPr>
            <w:t>43</w:t>
          </w:r>
          <w:r w:rsidR="00227AAB">
            <w:rPr>
              <w:bCs/>
              <w:lang w:val="es-ES"/>
            </w:rPr>
            <w:t>/</w:t>
          </w:r>
          <w:r w:rsidR="001C7262">
            <w:rPr>
              <w:bCs/>
              <w:lang w:val="es-ES"/>
            </w:rPr>
            <w:t>18</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60572C02"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2169EC" w14:paraId="5FE959FC" w14:textId="77777777" w:rsidTr="00A52C84">
      <w:trPr>
        <w:jc w:val="center"/>
      </w:trPr>
      <w:tc>
        <w:tcPr>
          <w:tcW w:w="3107" w:type="dxa"/>
          <w:vAlign w:val="center"/>
        </w:tcPr>
        <w:p w14:paraId="29DE9761" w14:textId="7F7FC0F1" w:rsidR="00EE49E8" w:rsidRPr="00781461" w:rsidRDefault="0025570E" w:rsidP="00EE49E8">
          <w:pPr>
            <w:pStyle w:val="Header"/>
            <w:jc w:val="left"/>
            <w:rPr>
              <w:noProof/>
            </w:rPr>
          </w:pPr>
          <w:hyperlink r:id="rId1" w:history="1">
            <w:r w:rsidRPr="00781461">
              <w:rPr>
                <w:rStyle w:val="Hyperlink"/>
                <w:u w:val="none"/>
              </w:rPr>
              <w:t>council.itu.int/working-groups</w:t>
            </w:r>
          </w:hyperlink>
        </w:p>
      </w:tc>
      <w:tc>
        <w:tcPr>
          <w:tcW w:w="6957" w:type="dxa"/>
        </w:tcPr>
        <w:p w14:paraId="5B6229C5" w14:textId="27E1A427" w:rsidR="00EE49E8" w:rsidRPr="000F6AB8" w:rsidRDefault="00EE49E8" w:rsidP="00781461">
          <w:pPr>
            <w:pStyle w:val="Header"/>
            <w:tabs>
              <w:tab w:val="left" w:pos="4443"/>
              <w:tab w:val="right" w:pos="8505"/>
              <w:tab w:val="right" w:pos="9639"/>
            </w:tabs>
            <w:jc w:val="left"/>
            <w:rPr>
              <w:rFonts w:ascii="Arial" w:hAnsi="Arial" w:cs="Arial"/>
              <w:b/>
              <w:bCs/>
              <w:szCs w:val="18"/>
              <w:lang w:val="es-ES"/>
            </w:rPr>
          </w:pPr>
          <w:r>
            <w:rPr>
              <w:bCs/>
            </w:rPr>
            <w:tab/>
          </w:r>
          <w:r w:rsidR="00227AAB" w:rsidRPr="00227AAB">
            <w:rPr>
              <w:bCs/>
              <w:lang w:val="es-ES"/>
            </w:rPr>
            <w:t>CWG-WSIS&amp;SDG-</w:t>
          </w:r>
          <w:r w:rsidR="00C354AF">
            <w:rPr>
              <w:bCs/>
              <w:lang w:val="es-ES"/>
            </w:rPr>
            <w:t>43</w:t>
          </w:r>
          <w:r w:rsidR="002F2D06">
            <w:rPr>
              <w:bCs/>
              <w:lang w:val="es-ES"/>
            </w:rPr>
            <w:t>/</w:t>
          </w:r>
          <w:r w:rsidR="001C7262">
            <w:rPr>
              <w:bCs/>
              <w:lang w:val="es-ES"/>
            </w:rPr>
            <w:t>18</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162DF636"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4F72D" w14:textId="77777777" w:rsidR="009471A7" w:rsidRDefault="009471A7">
      <w:r>
        <w:t>____________________</w:t>
      </w:r>
    </w:p>
  </w:footnote>
  <w:footnote w:type="continuationSeparator" w:id="0">
    <w:p w14:paraId="797BF53A" w14:textId="77777777" w:rsidR="009471A7" w:rsidRDefault="00947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4C9D30F3" w14:textId="77777777" w:rsidTr="00F74694">
      <w:trPr>
        <w:trHeight w:val="1304"/>
        <w:jc w:val="center"/>
      </w:trPr>
      <w:tc>
        <w:tcPr>
          <w:tcW w:w="6546" w:type="dxa"/>
        </w:tcPr>
        <w:bookmarkStart w:id="11" w:name="_Hlk133422111"/>
        <w:p w14:paraId="37B7181F" w14:textId="77777777" w:rsidR="00AD3606" w:rsidRPr="009621F8" w:rsidRDefault="00781461" w:rsidP="00130599">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3E3D49E0" wp14:editId="5047EE57">
                    <wp:simplePos x="0" y="0"/>
                    <wp:positionH relativeFrom="column">
                      <wp:posOffset>1430599</wp:posOffset>
                    </wp:positionH>
                    <wp:positionV relativeFrom="paragraph">
                      <wp:posOffset>635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EC34A44" w14:textId="302EF1FA"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009266BB" w:rsidRPr="009266BB">
                                  <w:rPr>
                                    <w:sz w:val="20"/>
                                  </w:rPr>
                                  <w:t>9</w:t>
                                </w:r>
                                <w:r w:rsidRPr="009266BB">
                                  <w:rPr>
                                    <w:sz w:val="20"/>
                                  </w:rPr>
                                  <w:t xml:space="preserve"> to 1</w:t>
                                </w:r>
                                <w:r w:rsidR="009266BB" w:rsidRPr="009266BB">
                                  <w:rPr>
                                    <w:sz w:val="20"/>
                                  </w:rPr>
                                  <w:t>0</w:t>
                                </w:r>
                                <w:r w:rsidRPr="009266BB">
                                  <w:rPr>
                                    <w:sz w:val="20"/>
                                  </w:rPr>
                                  <w:t xml:space="preserve"> (a.m.) </w:t>
                                </w:r>
                                <w:r w:rsidR="009266BB" w:rsidRPr="009266BB">
                                  <w:rPr>
                                    <w:sz w:val="20"/>
                                  </w:rPr>
                                  <w:t>September</w:t>
                                </w:r>
                                <w:r w:rsidRPr="009266BB">
                                  <w:rPr>
                                    <w:sz w:val="20"/>
                                  </w:rPr>
                                  <w:t xml:space="preserve">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E3D49E0" id="_x0000_t202" coordsize="21600,21600" o:spt="202" path="m,l,21600r21600,l21600,xe">
                    <v:stroke joinstyle="miter"/>
                    <v:path gradientshapeok="t" o:connecttype="rect"/>
                  </v:shapetype>
                  <v:shape id="Text Box 2" o:spid="_x0000_s1026" type="#_x0000_t202" style="position:absolute;margin-left:112.65pt;margin-top:.0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" fillcolor="white [3212]" stroked="f">
                    <v:textbox style="mso-fit-shape-to-text:t" inset="1mm">
                      <w:txbxContent>
                        <w:p w14:paraId="2EC34A44" w14:textId="302EF1FA"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009266BB" w:rsidRPr="009266BB">
                            <w:rPr>
                              <w:sz w:val="20"/>
                            </w:rPr>
                            <w:t>9</w:t>
                          </w:r>
                          <w:r w:rsidRPr="009266BB">
                            <w:rPr>
                              <w:sz w:val="20"/>
                            </w:rPr>
                            <w:t xml:space="preserve"> to 1</w:t>
                          </w:r>
                          <w:r w:rsidR="009266BB" w:rsidRPr="009266BB">
                            <w:rPr>
                              <w:sz w:val="20"/>
                            </w:rPr>
                            <w:t>0</w:t>
                          </w:r>
                          <w:r w:rsidRPr="009266BB">
                            <w:rPr>
                              <w:sz w:val="20"/>
                            </w:rPr>
                            <w:t xml:space="preserve"> (a.m.) </w:t>
                          </w:r>
                          <w:r w:rsidR="009266BB" w:rsidRPr="009266BB">
                            <w:rPr>
                              <w:sz w:val="20"/>
                            </w:rPr>
                            <w:t>September</w:t>
                          </w:r>
                          <w:r w:rsidRPr="009266BB">
                            <w:rPr>
                              <w:sz w:val="20"/>
                            </w:rPr>
                            <w:t xml:space="preserve"> 2025</w:t>
                          </w:r>
                        </w:p>
                      </w:txbxContent>
                    </v:textbox>
                  </v:shape>
                </w:pict>
              </mc:Fallback>
            </mc:AlternateContent>
          </w:r>
          <w:r>
            <w:rPr>
              <w:rFonts w:ascii="Arial" w:hAnsi="Arial" w:cs="Arial"/>
              <w:b/>
              <w:bCs/>
              <w:noProof/>
              <w:color w:val="009CD6"/>
              <w:sz w:val="36"/>
              <w:szCs w:val="36"/>
            </w:rPr>
            <w:drawing>
              <wp:inline distT="0" distB="0" distL="0" distR="0" wp14:anchorId="728F62E2" wp14:editId="01D16BCC">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06253DB3" w14:textId="77777777" w:rsidR="00AD3606" w:rsidRDefault="00AD3606" w:rsidP="00AD3606">
          <w:pPr>
            <w:pStyle w:val="Header"/>
            <w:jc w:val="right"/>
            <w:rPr>
              <w:rFonts w:ascii="Arial" w:hAnsi="Arial" w:cs="Arial"/>
              <w:b/>
              <w:bCs/>
              <w:color w:val="009CD6"/>
              <w:szCs w:val="18"/>
            </w:rPr>
          </w:pPr>
        </w:p>
        <w:p w14:paraId="5DBCA6BC" w14:textId="77777777" w:rsidR="00AD3606" w:rsidRDefault="00AD3606" w:rsidP="00AD3606">
          <w:pPr>
            <w:pStyle w:val="Header"/>
            <w:jc w:val="right"/>
            <w:rPr>
              <w:rFonts w:ascii="Arial" w:hAnsi="Arial" w:cs="Arial"/>
              <w:b/>
              <w:bCs/>
              <w:color w:val="009CD6"/>
              <w:szCs w:val="18"/>
            </w:rPr>
          </w:pPr>
        </w:p>
        <w:p w14:paraId="295568AB"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456BC965"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A210F9B" wp14:editId="41608461">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F0F58"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F277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7C8D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F8B6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DA76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FA4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8BD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1075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C21A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5073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52A304"/>
    <w:lvl w:ilvl="0">
      <w:start w:val="1"/>
      <w:numFmt w:val="bullet"/>
      <w:lvlText w:val=""/>
      <w:lvlJc w:val="left"/>
      <w:pPr>
        <w:tabs>
          <w:tab w:val="num" w:pos="360"/>
        </w:tabs>
        <w:ind w:left="360" w:hanging="360"/>
      </w:pPr>
      <w:rPr>
        <w:rFonts w:ascii="Symbol" w:hAnsi="Symbol" w:hint="default"/>
      </w:rPr>
    </w:lvl>
  </w:abstractNum>
  <w:num w:numId="1" w16cid:durableId="1374816267">
    <w:abstractNumId w:val="9"/>
  </w:num>
  <w:num w:numId="2" w16cid:durableId="365836927">
    <w:abstractNumId w:val="7"/>
  </w:num>
  <w:num w:numId="3" w16cid:durableId="661087478">
    <w:abstractNumId w:val="6"/>
  </w:num>
  <w:num w:numId="4" w16cid:durableId="376663382">
    <w:abstractNumId w:val="5"/>
  </w:num>
  <w:num w:numId="5" w16cid:durableId="1920942154">
    <w:abstractNumId w:val="4"/>
  </w:num>
  <w:num w:numId="6" w16cid:durableId="365641431">
    <w:abstractNumId w:val="8"/>
  </w:num>
  <w:num w:numId="7" w16cid:durableId="822232191">
    <w:abstractNumId w:val="3"/>
  </w:num>
  <w:num w:numId="8" w16cid:durableId="482280078">
    <w:abstractNumId w:val="2"/>
  </w:num>
  <w:num w:numId="9" w16cid:durableId="604265920">
    <w:abstractNumId w:val="1"/>
  </w:num>
  <w:num w:numId="10" w16cid:durableId="96290206">
    <w:abstractNumId w:val="0"/>
  </w:num>
  <w:num w:numId="11" w16cid:durableId="291904471">
    <w:abstractNumId w:val="8"/>
  </w:num>
  <w:num w:numId="12" w16cid:durableId="418016967">
    <w:abstractNumId w:val="3"/>
  </w:num>
  <w:num w:numId="13" w16cid:durableId="287055467">
    <w:abstractNumId w:val="2"/>
  </w:num>
  <w:num w:numId="14" w16cid:durableId="698235598">
    <w:abstractNumId w:val="1"/>
  </w:num>
  <w:num w:numId="15" w16cid:durableId="785007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4C"/>
    <w:rsid w:val="000041A9"/>
    <w:rsid w:val="00004C8C"/>
    <w:rsid w:val="000120E4"/>
    <w:rsid w:val="000210D4"/>
    <w:rsid w:val="00046146"/>
    <w:rsid w:val="00063016"/>
    <w:rsid w:val="00066795"/>
    <w:rsid w:val="00076AF6"/>
    <w:rsid w:val="00085CF2"/>
    <w:rsid w:val="00096851"/>
    <w:rsid w:val="000A1525"/>
    <w:rsid w:val="000B1705"/>
    <w:rsid w:val="000D75B2"/>
    <w:rsid w:val="000D75D0"/>
    <w:rsid w:val="000F6AB8"/>
    <w:rsid w:val="001121F5"/>
    <w:rsid w:val="00130599"/>
    <w:rsid w:val="00131E18"/>
    <w:rsid w:val="001400DC"/>
    <w:rsid w:val="00140CE1"/>
    <w:rsid w:val="00147C54"/>
    <w:rsid w:val="0017539C"/>
    <w:rsid w:val="00175AC2"/>
    <w:rsid w:val="0017609F"/>
    <w:rsid w:val="001A7D1D"/>
    <w:rsid w:val="001B0595"/>
    <w:rsid w:val="001B51DD"/>
    <w:rsid w:val="001C628E"/>
    <w:rsid w:val="001C7262"/>
    <w:rsid w:val="001E0F7B"/>
    <w:rsid w:val="001E0FBE"/>
    <w:rsid w:val="001E5FE7"/>
    <w:rsid w:val="002119FD"/>
    <w:rsid w:val="002130E0"/>
    <w:rsid w:val="00215B2D"/>
    <w:rsid w:val="002169EC"/>
    <w:rsid w:val="00227AAB"/>
    <w:rsid w:val="00244F7F"/>
    <w:rsid w:val="0025570E"/>
    <w:rsid w:val="002608B7"/>
    <w:rsid w:val="00264425"/>
    <w:rsid w:val="00265875"/>
    <w:rsid w:val="0027303B"/>
    <w:rsid w:val="0028109B"/>
    <w:rsid w:val="002A2188"/>
    <w:rsid w:val="002B1F58"/>
    <w:rsid w:val="002C1C7A"/>
    <w:rsid w:val="002C54E2"/>
    <w:rsid w:val="002E0AC3"/>
    <w:rsid w:val="002F2D06"/>
    <w:rsid w:val="0030160F"/>
    <w:rsid w:val="00301AEE"/>
    <w:rsid w:val="003145DF"/>
    <w:rsid w:val="00320223"/>
    <w:rsid w:val="00322D0D"/>
    <w:rsid w:val="00361465"/>
    <w:rsid w:val="003877F5"/>
    <w:rsid w:val="003942D4"/>
    <w:rsid w:val="0039514F"/>
    <w:rsid w:val="003958A8"/>
    <w:rsid w:val="003B29C2"/>
    <w:rsid w:val="003C20CA"/>
    <w:rsid w:val="003C2533"/>
    <w:rsid w:val="003C7976"/>
    <w:rsid w:val="003D2D21"/>
    <w:rsid w:val="003D5A7F"/>
    <w:rsid w:val="003D635C"/>
    <w:rsid w:val="003D71D8"/>
    <w:rsid w:val="004016E2"/>
    <w:rsid w:val="0040435A"/>
    <w:rsid w:val="00416A24"/>
    <w:rsid w:val="0042059E"/>
    <w:rsid w:val="00431D9E"/>
    <w:rsid w:val="00433CE8"/>
    <w:rsid w:val="00434A5C"/>
    <w:rsid w:val="00446D69"/>
    <w:rsid w:val="004544D9"/>
    <w:rsid w:val="00472BAD"/>
    <w:rsid w:val="00484009"/>
    <w:rsid w:val="00490E72"/>
    <w:rsid w:val="00491157"/>
    <w:rsid w:val="004921C8"/>
    <w:rsid w:val="00495B0B"/>
    <w:rsid w:val="004A1B8B"/>
    <w:rsid w:val="004D1851"/>
    <w:rsid w:val="004D599D"/>
    <w:rsid w:val="004E2EA5"/>
    <w:rsid w:val="004E3AEB"/>
    <w:rsid w:val="0050223C"/>
    <w:rsid w:val="00507750"/>
    <w:rsid w:val="005170FD"/>
    <w:rsid w:val="00520773"/>
    <w:rsid w:val="005243FF"/>
    <w:rsid w:val="005311D6"/>
    <w:rsid w:val="00536422"/>
    <w:rsid w:val="0054584C"/>
    <w:rsid w:val="005536C2"/>
    <w:rsid w:val="00564FBC"/>
    <w:rsid w:val="005800BC"/>
    <w:rsid w:val="00582442"/>
    <w:rsid w:val="005A335D"/>
    <w:rsid w:val="005B0763"/>
    <w:rsid w:val="005C13D4"/>
    <w:rsid w:val="005C293A"/>
    <w:rsid w:val="005C77C0"/>
    <w:rsid w:val="005E2BD5"/>
    <w:rsid w:val="005F3269"/>
    <w:rsid w:val="00615961"/>
    <w:rsid w:val="00623AE3"/>
    <w:rsid w:val="006261F4"/>
    <w:rsid w:val="00637276"/>
    <w:rsid w:val="0064737F"/>
    <w:rsid w:val="006535F1"/>
    <w:rsid w:val="0065557D"/>
    <w:rsid w:val="00660D50"/>
    <w:rsid w:val="00662984"/>
    <w:rsid w:val="006716BB"/>
    <w:rsid w:val="006854FE"/>
    <w:rsid w:val="006973C8"/>
    <w:rsid w:val="006A4862"/>
    <w:rsid w:val="006B1859"/>
    <w:rsid w:val="006B6680"/>
    <w:rsid w:val="006B6DCC"/>
    <w:rsid w:val="00701C70"/>
    <w:rsid w:val="00702DEF"/>
    <w:rsid w:val="00706861"/>
    <w:rsid w:val="00722ECF"/>
    <w:rsid w:val="007247CF"/>
    <w:rsid w:val="00726B8C"/>
    <w:rsid w:val="0075051B"/>
    <w:rsid w:val="0077110E"/>
    <w:rsid w:val="00775655"/>
    <w:rsid w:val="00781461"/>
    <w:rsid w:val="00782C7C"/>
    <w:rsid w:val="007849D5"/>
    <w:rsid w:val="00793188"/>
    <w:rsid w:val="00794D34"/>
    <w:rsid w:val="00806E3C"/>
    <w:rsid w:val="00813E5E"/>
    <w:rsid w:val="00816C2C"/>
    <w:rsid w:val="00826E07"/>
    <w:rsid w:val="0083581B"/>
    <w:rsid w:val="00860EED"/>
    <w:rsid w:val="00863874"/>
    <w:rsid w:val="00864AFF"/>
    <w:rsid w:val="00865925"/>
    <w:rsid w:val="00877BF2"/>
    <w:rsid w:val="00891503"/>
    <w:rsid w:val="008A2F06"/>
    <w:rsid w:val="008B4A6A"/>
    <w:rsid w:val="008B774C"/>
    <w:rsid w:val="008C7E27"/>
    <w:rsid w:val="008F3822"/>
    <w:rsid w:val="008F7448"/>
    <w:rsid w:val="0090147A"/>
    <w:rsid w:val="0090389B"/>
    <w:rsid w:val="009173EF"/>
    <w:rsid w:val="009266BB"/>
    <w:rsid w:val="00932906"/>
    <w:rsid w:val="009471A7"/>
    <w:rsid w:val="00961860"/>
    <w:rsid w:val="00961B0B"/>
    <w:rsid w:val="00962D33"/>
    <w:rsid w:val="009B38C3"/>
    <w:rsid w:val="009E17BD"/>
    <w:rsid w:val="009E485A"/>
    <w:rsid w:val="00A04CEC"/>
    <w:rsid w:val="00A27F92"/>
    <w:rsid w:val="00A32257"/>
    <w:rsid w:val="00A36D20"/>
    <w:rsid w:val="00A43C03"/>
    <w:rsid w:val="00A46CD0"/>
    <w:rsid w:val="00A501D6"/>
    <w:rsid w:val="00A514A4"/>
    <w:rsid w:val="00A52C84"/>
    <w:rsid w:val="00A55622"/>
    <w:rsid w:val="00A83502"/>
    <w:rsid w:val="00AD15B3"/>
    <w:rsid w:val="00AD3606"/>
    <w:rsid w:val="00AD4A3D"/>
    <w:rsid w:val="00AF6E49"/>
    <w:rsid w:val="00B04A67"/>
    <w:rsid w:val="00B0583C"/>
    <w:rsid w:val="00B248BC"/>
    <w:rsid w:val="00B358B2"/>
    <w:rsid w:val="00B35CC6"/>
    <w:rsid w:val="00B40A81"/>
    <w:rsid w:val="00B44910"/>
    <w:rsid w:val="00B72267"/>
    <w:rsid w:val="00B73DD1"/>
    <w:rsid w:val="00B76EB6"/>
    <w:rsid w:val="00B7737B"/>
    <w:rsid w:val="00B824C8"/>
    <w:rsid w:val="00B849D3"/>
    <w:rsid w:val="00B84B9D"/>
    <w:rsid w:val="00BA3A51"/>
    <w:rsid w:val="00BC1EF9"/>
    <w:rsid w:val="00BC251A"/>
    <w:rsid w:val="00BD032B"/>
    <w:rsid w:val="00BD0614"/>
    <w:rsid w:val="00BD094B"/>
    <w:rsid w:val="00BE2640"/>
    <w:rsid w:val="00C01189"/>
    <w:rsid w:val="00C354AF"/>
    <w:rsid w:val="00C374DE"/>
    <w:rsid w:val="00C435B6"/>
    <w:rsid w:val="00C47AD4"/>
    <w:rsid w:val="00C52D81"/>
    <w:rsid w:val="00C55198"/>
    <w:rsid w:val="00C725C6"/>
    <w:rsid w:val="00C922C7"/>
    <w:rsid w:val="00CA6393"/>
    <w:rsid w:val="00CB18FF"/>
    <w:rsid w:val="00CB24AA"/>
    <w:rsid w:val="00CD0C08"/>
    <w:rsid w:val="00CD3C91"/>
    <w:rsid w:val="00CE03FB"/>
    <w:rsid w:val="00CE433C"/>
    <w:rsid w:val="00CF0161"/>
    <w:rsid w:val="00CF33F3"/>
    <w:rsid w:val="00D06183"/>
    <w:rsid w:val="00D22C42"/>
    <w:rsid w:val="00D45669"/>
    <w:rsid w:val="00D464CC"/>
    <w:rsid w:val="00D522F6"/>
    <w:rsid w:val="00D65041"/>
    <w:rsid w:val="00D67039"/>
    <w:rsid w:val="00D86E6C"/>
    <w:rsid w:val="00DB00D5"/>
    <w:rsid w:val="00DB1936"/>
    <w:rsid w:val="00DB384B"/>
    <w:rsid w:val="00DF0189"/>
    <w:rsid w:val="00E06FD5"/>
    <w:rsid w:val="00E10E80"/>
    <w:rsid w:val="00E124F0"/>
    <w:rsid w:val="00E227F3"/>
    <w:rsid w:val="00E33254"/>
    <w:rsid w:val="00E4728B"/>
    <w:rsid w:val="00E545C6"/>
    <w:rsid w:val="00E60F04"/>
    <w:rsid w:val="00E63EFF"/>
    <w:rsid w:val="00E65B24"/>
    <w:rsid w:val="00E66F6C"/>
    <w:rsid w:val="00E854E4"/>
    <w:rsid w:val="00E86DBF"/>
    <w:rsid w:val="00EB0D6F"/>
    <w:rsid w:val="00EB2232"/>
    <w:rsid w:val="00EB70D0"/>
    <w:rsid w:val="00EC5337"/>
    <w:rsid w:val="00EE49E8"/>
    <w:rsid w:val="00F01C44"/>
    <w:rsid w:val="00F10B59"/>
    <w:rsid w:val="00F16BAB"/>
    <w:rsid w:val="00F2150A"/>
    <w:rsid w:val="00F231D8"/>
    <w:rsid w:val="00F44C00"/>
    <w:rsid w:val="00F45D2C"/>
    <w:rsid w:val="00F46C5F"/>
    <w:rsid w:val="00F632C0"/>
    <w:rsid w:val="00F74694"/>
    <w:rsid w:val="00F86596"/>
    <w:rsid w:val="00F93FD4"/>
    <w:rsid w:val="00F94A63"/>
    <w:rsid w:val="00FA038F"/>
    <w:rsid w:val="00FA1C28"/>
    <w:rsid w:val="00FB1279"/>
    <w:rsid w:val="00FB495B"/>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79601"/>
  <w15:docId w15:val="{A483A6AD-D8F0-40B5-BFFE-FFC74DA6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超级链接,Style 58,超?级链,超????,하이퍼링크2,하이퍼링크21,超链接1,CEO_Hyperlink,超??级链Ú,fL????,fL?级,超??级链"/>
    <w:basedOn w:val="DefaultParagraphFont"/>
    <w:uiPriority w:val="99"/>
    <w:qForma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B774C"/>
    <w:rPr>
      <w:color w:val="666666"/>
    </w:rPr>
  </w:style>
  <w:style w:type="paragraph" w:customStyle="1" w:styleId="Reasons">
    <w:name w:val="Reasons"/>
    <w:basedOn w:val="Normal"/>
    <w:qFormat/>
    <w:rsid w:val="00C35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sis.org/review" TargetMode="External"/><Relationship Id="rId18" Type="http://schemas.openxmlformats.org/officeDocument/2006/relationships/hyperlink" Target="https://docs.un.org/en/E/RES/2024/13" TargetMode="External"/><Relationship Id="rId26" Type="http://schemas.openxmlformats.org/officeDocument/2006/relationships/hyperlink" Target="https://www.itu.int/md/S25-CL-C-0080/en" TargetMode="External"/><Relationship Id="rId3" Type="http://schemas.openxmlformats.org/officeDocument/2006/relationships/customXml" Target="../customXml/item3.xml"/><Relationship Id="rId21" Type="http://schemas.openxmlformats.org/officeDocument/2006/relationships/hyperlink" Target="https://www.itu.int/en/council/Documents/basic-texts-2023/RES-140-E.pdf" TargetMode="External"/><Relationship Id="rId7" Type="http://schemas.openxmlformats.org/officeDocument/2006/relationships/settings" Target="settings.xml"/><Relationship Id="rId12" Type="http://schemas.openxmlformats.org/officeDocument/2006/relationships/hyperlink" Target="http://www.wsis.org/forum" TargetMode="External"/><Relationship Id="rId17" Type="http://schemas.openxmlformats.org/officeDocument/2006/relationships/hyperlink" Target="https://docs.un.org/en/A/RES/77/150" TargetMode="External"/><Relationship Id="rId25" Type="http://schemas.openxmlformats.org/officeDocument/2006/relationships/hyperlink" Target="https://www.itu.int/md/S25-CWGWSIS43-C-0014/en" TargetMode="External"/><Relationship Id="rId2" Type="http://schemas.openxmlformats.org/officeDocument/2006/relationships/customXml" Target="../customXml/item2.xml"/><Relationship Id="rId16" Type="http://schemas.openxmlformats.org/officeDocument/2006/relationships/hyperlink" Target="https://docs.un.org/en/A/RES/70/1" TargetMode="External"/><Relationship Id="rId20" Type="http://schemas.openxmlformats.org/officeDocument/2006/relationships/hyperlink" Target="https://www.itu.int/en/council/cwg-wsis/Documents/Resolution172-PP10.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wsis/Pages/default.aspx" TargetMode="External"/><Relationship Id="rId24" Type="http://schemas.openxmlformats.org/officeDocument/2006/relationships/hyperlink" Target="https://www.itu.int/md/S22-CL-C-0059/en" TargetMode="External"/><Relationship Id="rId5" Type="http://schemas.openxmlformats.org/officeDocument/2006/relationships/numbering" Target="numbering.xml"/><Relationship Id="rId15" Type="http://schemas.openxmlformats.org/officeDocument/2006/relationships/hyperlink" Target="https://docs.un.org/en/A/RES/70/125" TargetMode="External"/><Relationship Id="rId23" Type="http://schemas.openxmlformats.org/officeDocument/2006/relationships/hyperlink" Target="https://www.itu.int/md/S23-CL-C-0120/en"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unctad.org/system/files/official-document/ecn162025d4_en.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cadministration.desa.un.org/wsis20" TargetMode="External"/><Relationship Id="rId22" Type="http://schemas.openxmlformats.org/officeDocument/2006/relationships/hyperlink" Target="https://www.itu.int/md/S24-CL-C-0141/en"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1A7F4-6B86-4081-AB7C-DBAC44D380D0}">
  <ds:schemaRefs>
    <ds:schemaRef ds:uri="http://purl.org/dc/terms/"/>
    <ds:schemaRef ds:uri="1aaea1ea-72e4-4374-b05e-72e2f16fb7ae"/>
    <ds:schemaRef ds:uri="http://schemas.microsoft.com/office/infopath/2007/PartnerControls"/>
    <ds:schemaRef ds:uri="http://purl.org/dc/elements/1.1/"/>
    <ds:schemaRef ds:uri="http://schemas.openxmlformats.org/package/2006/metadata/core-properties"/>
    <ds:schemaRef ds:uri="http://www.w3.org/XML/1998/namespace"/>
    <ds:schemaRef ds:uri="http://schemas.microsoft.com/office/2006/documentManagement/types"/>
    <ds:schemaRef ds:uri="http://purl.org/dc/dcmitype/"/>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3.xml><?xml version="1.0" encoding="utf-8"?>
<ds:datastoreItem xmlns:ds="http://schemas.openxmlformats.org/officeDocument/2006/customXml" ds:itemID="{11468664-ECB3-4285-854B-89002E993DAE}">
  <ds:schemaRefs>
    <ds:schemaRef ds:uri="http://schemas.microsoft.com/sharepoint/v3/contenttype/forms"/>
  </ds:schemaRefs>
</ds:datastoreItem>
</file>

<file path=customXml/itemProps4.xml><?xml version="1.0" encoding="utf-8"?>
<ds:datastoreItem xmlns:ds="http://schemas.openxmlformats.org/officeDocument/2006/customXml" ds:itemID="{CEA4BAC3-B0BF-46EF-AEEF-2443087B3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720</Words>
  <Characters>5045</Characters>
  <Application>Microsoft Office Word</Application>
  <DocSecurity>0</DocSecurity>
  <Lines>42</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5754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the Russian Federation - Proposals for the overall review of the implementation of WSIS outcomes and follow-up</dc:title>
  <dc:subject>ITU Council Working Group on WSIS &amp; SDGs</dc:subject>
  <dc:creator>GBS</dc:creator>
  <cp:keywords>CWG-WSIS&amp;SDG</cp:keywords>
  <dc:description/>
  <cp:lastModifiedBy>GBS</cp:lastModifiedBy>
  <cp:revision>2</cp:revision>
  <dcterms:created xsi:type="dcterms:W3CDTF">2025-09-11T10:19:00Z</dcterms:created>
  <dcterms:modified xsi:type="dcterms:W3CDTF">2025-09-11T10:19:00Z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121a3878e702ab8b67a06db510e17810567b77f1d8e8bd8f321776b21a61f2c9</vt:lpwstr>
  </property>
  <property fmtid="{D5CDD505-2E9C-101B-9397-08002B2CF9AE}" pid="3" name="ContentTypeId">
    <vt:lpwstr>0x0101001E46BE2403204D4E844191C3480CD35B</vt:lpwstr>
  </property>
</Properties>
</file>