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B545B" w14:paraId="4DD62155" w14:textId="77777777" w:rsidTr="00AD3606">
        <w:trPr>
          <w:cantSplit/>
          <w:trHeight w:val="23"/>
        </w:trPr>
        <w:tc>
          <w:tcPr>
            <w:tcW w:w="3969" w:type="dxa"/>
            <w:vMerge w:val="restart"/>
            <w:tcMar>
              <w:left w:w="0" w:type="dxa"/>
            </w:tcMar>
          </w:tcPr>
          <w:p w14:paraId="618A5B51" w14:textId="77777777" w:rsidR="00AD3606" w:rsidRPr="000B545B"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2A0B74DC" w:rsidR="00AD3606" w:rsidRPr="000B545B" w:rsidRDefault="00AD3606" w:rsidP="00472BAD">
            <w:pPr>
              <w:tabs>
                <w:tab w:val="left" w:pos="851"/>
              </w:tabs>
              <w:spacing w:before="0" w:line="240" w:lineRule="atLeast"/>
              <w:jc w:val="right"/>
              <w:rPr>
                <w:b/>
              </w:rPr>
            </w:pPr>
            <w:r w:rsidRPr="000B545B">
              <w:rPr>
                <w:b/>
              </w:rPr>
              <w:t xml:space="preserve">Document </w:t>
            </w:r>
            <w:proofErr w:type="spellStart"/>
            <w:r w:rsidR="00227AAB" w:rsidRPr="000B545B">
              <w:rPr>
                <w:b/>
              </w:rPr>
              <w:t>CWG-WSIS&amp;SDG-4</w:t>
            </w:r>
            <w:r w:rsidR="00C354AF" w:rsidRPr="000B545B">
              <w:rPr>
                <w:b/>
              </w:rPr>
              <w:t>3</w:t>
            </w:r>
            <w:proofErr w:type="spellEnd"/>
            <w:r w:rsidR="002F2D06" w:rsidRPr="000B545B">
              <w:rPr>
                <w:b/>
              </w:rPr>
              <w:t>/</w:t>
            </w:r>
            <w:r w:rsidR="00D749DB" w:rsidRPr="000B545B">
              <w:rPr>
                <w:b/>
              </w:rPr>
              <w:t>14</w:t>
            </w:r>
          </w:p>
        </w:tc>
      </w:tr>
      <w:tr w:rsidR="00AD3606" w:rsidRPr="000B545B" w14:paraId="7298C460" w14:textId="77777777" w:rsidTr="00AD3606">
        <w:trPr>
          <w:cantSplit/>
        </w:trPr>
        <w:tc>
          <w:tcPr>
            <w:tcW w:w="3969" w:type="dxa"/>
            <w:vMerge/>
          </w:tcPr>
          <w:p w14:paraId="2AC99EA9" w14:textId="77777777" w:rsidR="00AD3606" w:rsidRPr="000B545B"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1E3CF0FF" w:rsidR="00AD3606" w:rsidRPr="000B545B" w:rsidRDefault="00046348" w:rsidP="00AD3606">
            <w:pPr>
              <w:tabs>
                <w:tab w:val="left" w:pos="851"/>
              </w:tabs>
              <w:spacing w:before="0"/>
              <w:jc w:val="right"/>
              <w:rPr>
                <w:b/>
              </w:rPr>
            </w:pPr>
            <w:r>
              <w:rPr>
                <w:b/>
              </w:rPr>
              <w:t>8 August</w:t>
            </w:r>
            <w:r w:rsidR="00D749DB" w:rsidRPr="000B545B">
              <w:rPr>
                <w:b/>
              </w:rPr>
              <w:t xml:space="preserve"> 2025</w:t>
            </w:r>
          </w:p>
        </w:tc>
      </w:tr>
      <w:tr w:rsidR="00AD3606" w:rsidRPr="000B545B" w14:paraId="6BDCBE6D" w14:textId="77777777" w:rsidTr="00AD3606">
        <w:trPr>
          <w:cantSplit/>
          <w:trHeight w:val="23"/>
        </w:trPr>
        <w:tc>
          <w:tcPr>
            <w:tcW w:w="3969" w:type="dxa"/>
            <w:vMerge/>
          </w:tcPr>
          <w:p w14:paraId="69B29BCC" w14:textId="77777777" w:rsidR="00AD3606" w:rsidRPr="000B545B"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0B545B" w:rsidRDefault="00891503" w:rsidP="00AD3606">
            <w:pPr>
              <w:tabs>
                <w:tab w:val="left" w:pos="851"/>
              </w:tabs>
              <w:spacing w:before="0" w:line="240" w:lineRule="atLeast"/>
              <w:jc w:val="right"/>
              <w:rPr>
                <w:b/>
              </w:rPr>
            </w:pPr>
            <w:r w:rsidRPr="000B545B">
              <w:rPr>
                <w:b/>
              </w:rPr>
              <w:t>English only</w:t>
            </w:r>
          </w:p>
        </w:tc>
      </w:tr>
      <w:tr w:rsidR="00472BAD" w:rsidRPr="000B545B" w14:paraId="00AB883D" w14:textId="77777777" w:rsidTr="00AD3606">
        <w:trPr>
          <w:cantSplit/>
          <w:trHeight w:val="23"/>
        </w:trPr>
        <w:tc>
          <w:tcPr>
            <w:tcW w:w="3969" w:type="dxa"/>
          </w:tcPr>
          <w:p w14:paraId="0E825F8D" w14:textId="77777777" w:rsidR="00472BAD" w:rsidRPr="000B545B" w:rsidRDefault="00472BAD" w:rsidP="00AD3606">
            <w:pPr>
              <w:tabs>
                <w:tab w:val="left" w:pos="851"/>
              </w:tabs>
              <w:spacing w:line="240" w:lineRule="atLeast"/>
              <w:rPr>
                <w:b/>
              </w:rPr>
            </w:pPr>
          </w:p>
        </w:tc>
        <w:tc>
          <w:tcPr>
            <w:tcW w:w="5245" w:type="dxa"/>
          </w:tcPr>
          <w:p w14:paraId="3A9852C1" w14:textId="77777777" w:rsidR="00472BAD" w:rsidRPr="000B545B" w:rsidRDefault="00472BAD" w:rsidP="00AD3606">
            <w:pPr>
              <w:tabs>
                <w:tab w:val="left" w:pos="851"/>
              </w:tabs>
              <w:spacing w:before="0" w:line="240" w:lineRule="atLeast"/>
              <w:jc w:val="right"/>
              <w:rPr>
                <w:b/>
              </w:rPr>
            </w:pPr>
          </w:p>
        </w:tc>
      </w:tr>
      <w:tr w:rsidR="00AD3606" w:rsidRPr="000B545B" w14:paraId="52871CB7" w14:textId="77777777" w:rsidTr="00AD3606">
        <w:trPr>
          <w:cantSplit/>
        </w:trPr>
        <w:tc>
          <w:tcPr>
            <w:tcW w:w="9214" w:type="dxa"/>
            <w:gridSpan w:val="2"/>
            <w:tcMar>
              <w:left w:w="0" w:type="dxa"/>
            </w:tcMar>
          </w:tcPr>
          <w:p w14:paraId="4F9642A2" w14:textId="0D9EFFDE" w:rsidR="00AD3606" w:rsidRPr="000B545B" w:rsidRDefault="00D749DB" w:rsidP="00E4728B">
            <w:pPr>
              <w:pStyle w:val="Source"/>
              <w:framePr w:hSpace="0" w:wrap="auto" w:vAnchor="margin" w:hAnchor="text" w:xAlign="left" w:yAlign="inline"/>
            </w:pPr>
            <w:bookmarkStart w:id="8" w:name="dsource" w:colFirst="0" w:colLast="0"/>
            <w:bookmarkEnd w:id="7"/>
            <w:r w:rsidRPr="000B545B">
              <w:t xml:space="preserve">Report by the Secretary-General </w:t>
            </w:r>
          </w:p>
        </w:tc>
      </w:tr>
      <w:tr w:rsidR="00AD3606" w:rsidRPr="000B545B" w14:paraId="62D1261B" w14:textId="77777777" w:rsidTr="00AD3606">
        <w:trPr>
          <w:cantSplit/>
        </w:trPr>
        <w:tc>
          <w:tcPr>
            <w:tcW w:w="9214" w:type="dxa"/>
            <w:gridSpan w:val="2"/>
            <w:tcMar>
              <w:left w:w="0" w:type="dxa"/>
            </w:tcMar>
          </w:tcPr>
          <w:p w14:paraId="246571F2" w14:textId="515F43D3" w:rsidR="00AD3606" w:rsidRPr="000B545B" w:rsidRDefault="00C5649F" w:rsidP="00E4728B">
            <w:pPr>
              <w:pStyle w:val="Subtitle"/>
              <w:framePr w:hSpace="0" w:wrap="auto" w:xAlign="left" w:yAlign="inline"/>
            </w:pPr>
            <w:bookmarkStart w:id="9" w:name="dtitle1" w:colFirst="0" w:colLast="0"/>
            <w:bookmarkEnd w:id="8"/>
            <w:r w:rsidRPr="000B545B">
              <w:t xml:space="preserve">Updates of the overall review on the implementation of the WSIS outcomes: </w:t>
            </w:r>
            <w:proofErr w:type="spellStart"/>
            <w:r w:rsidRPr="000B545B">
              <w:t>WSIS+20</w:t>
            </w:r>
            <w:proofErr w:type="spellEnd"/>
            <w:r w:rsidRPr="000B545B">
              <w:t xml:space="preserve"> review – WSIS beyond 2025</w:t>
            </w:r>
          </w:p>
        </w:tc>
      </w:tr>
      <w:tr w:rsidR="00AD3606" w:rsidRPr="000B545B"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0B545B" w:rsidRDefault="00F16BAB" w:rsidP="00F16BAB">
            <w:pPr>
              <w:spacing w:before="160"/>
              <w:rPr>
                <w:b/>
                <w:bCs/>
                <w:sz w:val="26"/>
                <w:szCs w:val="26"/>
              </w:rPr>
            </w:pPr>
            <w:r w:rsidRPr="000B545B">
              <w:rPr>
                <w:b/>
                <w:bCs/>
                <w:sz w:val="26"/>
                <w:szCs w:val="26"/>
              </w:rPr>
              <w:t>Purpose</w:t>
            </w:r>
          </w:p>
          <w:p w14:paraId="4E90F630" w14:textId="2C845106" w:rsidR="00AD3606" w:rsidRPr="000B545B" w:rsidRDefault="007871F8" w:rsidP="00F16BAB">
            <w:r w:rsidRPr="000B545B">
              <w:rPr>
                <w:szCs w:val="24"/>
              </w:rPr>
              <w:t xml:space="preserve">This document outlines the preparatory activities for the </w:t>
            </w:r>
            <w:proofErr w:type="spellStart"/>
            <w:r w:rsidRPr="000B545B">
              <w:rPr>
                <w:szCs w:val="24"/>
              </w:rPr>
              <w:t>WSIS+20</w:t>
            </w:r>
            <w:proofErr w:type="spellEnd"/>
            <w:r w:rsidRPr="000B545B">
              <w:rPr>
                <w:szCs w:val="24"/>
              </w:rPr>
              <w:t xml:space="preserve"> review in 2025.</w:t>
            </w:r>
          </w:p>
          <w:p w14:paraId="2A416CCD" w14:textId="77777777" w:rsidR="00AD3606" w:rsidRPr="000B545B" w:rsidRDefault="00AD3606" w:rsidP="00F16BAB">
            <w:pPr>
              <w:spacing w:before="160"/>
              <w:rPr>
                <w:b/>
                <w:bCs/>
                <w:sz w:val="26"/>
                <w:szCs w:val="26"/>
              </w:rPr>
            </w:pPr>
            <w:r w:rsidRPr="000B545B">
              <w:rPr>
                <w:b/>
                <w:bCs/>
                <w:sz w:val="26"/>
                <w:szCs w:val="26"/>
              </w:rPr>
              <w:t>Action required</w:t>
            </w:r>
          </w:p>
          <w:p w14:paraId="2AF7B463" w14:textId="0B87D2A4" w:rsidR="0025570E" w:rsidRPr="000B545B" w:rsidRDefault="005536C2" w:rsidP="000F6AB8">
            <w:pPr>
              <w:spacing w:before="160"/>
            </w:pPr>
            <w:r w:rsidRPr="000B545B">
              <w:rPr>
                <w:szCs w:val="24"/>
              </w:rPr>
              <w:t>The Council Working Group on WSIS and the SDGs is invited to</w:t>
            </w:r>
            <w:r w:rsidRPr="000B545B">
              <w:rPr>
                <w:b/>
                <w:bCs/>
                <w:szCs w:val="24"/>
              </w:rPr>
              <w:t xml:space="preserve"> note</w:t>
            </w:r>
            <w:r w:rsidRPr="000B545B">
              <w:rPr>
                <w:szCs w:val="24"/>
              </w:rPr>
              <w:t xml:space="preserve"> this document.</w:t>
            </w:r>
          </w:p>
          <w:p w14:paraId="7BD0117A" w14:textId="77777777" w:rsidR="00AD3606" w:rsidRPr="000B545B" w:rsidRDefault="00CD3C91" w:rsidP="00CD3C91">
            <w:r w:rsidRPr="000B545B">
              <w:t>_______________</w:t>
            </w:r>
          </w:p>
          <w:p w14:paraId="783B7B84" w14:textId="0A4A3700" w:rsidR="00AD3606" w:rsidRPr="000B545B" w:rsidRDefault="00AD3606" w:rsidP="00F16BAB">
            <w:pPr>
              <w:spacing w:before="160"/>
              <w:rPr>
                <w:b/>
                <w:bCs/>
                <w:sz w:val="26"/>
                <w:szCs w:val="26"/>
              </w:rPr>
            </w:pPr>
            <w:r w:rsidRPr="000B545B">
              <w:rPr>
                <w:b/>
                <w:bCs/>
                <w:sz w:val="26"/>
                <w:szCs w:val="26"/>
              </w:rPr>
              <w:t>References</w:t>
            </w:r>
            <w:r w:rsidR="00301AEE" w:rsidRPr="000B545B">
              <w:rPr>
                <w:b/>
                <w:bCs/>
                <w:sz w:val="26"/>
                <w:szCs w:val="26"/>
              </w:rPr>
              <w:t xml:space="preserve"> </w:t>
            </w:r>
          </w:p>
          <w:p w14:paraId="1CFE5D15" w14:textId="11195C82" w:rsidR="00AD3606" w:rsidRPr="000B545B" w:rsidRDefault="00FA0CE7" w:rsidP="00F16BAB">
            <w:pPr>
              <w:spacing w:after="160"/>
              <w:rPr>
                <w:i/>
                <w:iCs/>
                <w:sz w:val="22"/>
                <w:szCs w:val="22"/>
              </w:rPr>
            </w:pPr>
            <w:hyperlink r:id="rId11" w:history="1">
              <w:proofErr w:type="spellStart"/>
              <w:r w:rsidRPr="000B545B">
                <w:rPr>
                  <w:rStyle w:val="Hyperlink"/>
                  <w:i/>
                  <w:iCs/>
                  <w:sz w:val="22"/>
                  <w:szCs w:val="22"/>
                </w:rPr>
                <w:t>CWG-WSIS&amp;SDG</w:t>
              </w:r>
              <w:proofErr w:type="spellEnd"/>
              <w:r w:rsidRPr="000B545B">
                <w:rPr>
                  <w:rStyle w:val="Hyperlink"/>
                  <w:i/>
                  <w:iCs/>
                  <w:sz w:val="22"/>
                  <w:szCs w:val="22"/>
                </w:rPr>
                <w:t xml:space="preserve"> website</w:t>
              </w:r>
            </w:hyperlink>
            <w:r w:rsidRPr="000B545B">
              <w:rPr>
                <w:i/>
                <w:iCs/>
                <w:sz w:val="22"/>
                <w:szCs w:val="22"/>
              </w:rPr>
              <w:t xml:space="preserve">; </w:t>
            </w:r>
            <w:hyperlink r:id="rId12" w:history="1">
              <w:r w:rsidRPr="000B545B">
                <w:rPr>
                  <w:rStyle w:val="Hyperlink"/>
                  <w:i/>
                  <w:iCs/>
                  <w:sz w:val="22"/>
                  <w:szCs w:val="22"/>
                </w:rPr>
                <w:t>WSIS Forum website</w:t>
              </w:r>
            </w:hyperlink>
            <w:r w:rsidRPr="000B545B">
              <w:rPr>
                <w:i/>
                <w:iCs/>
                <w:sz w:val="22"/>
                <w:szCs w:val="22"/>
              </w:rPr>
              <w:t xml:space="preserve">; </w:t>
            </w:r>
            <w:hyperlink r:id="rId13" w:history="1">
              <w:r w:rsidRPr="000B545B">
                <w:rPr>
                  <w:rStyle w:val="Hyperlink"/>
                  <w:i/>
                  <w:iCs/>
                  <w:sz w:val="22"/>
                  <w:szCs w:val="22"/>
                </w:rPr>
                <w:t>WSIS review</w:t>
              </w:r>
            </w:hyperlink>
            <w:r w:rsidRPr="000B545B">
              <w:rPr>
                <w:i/>
                <w:iCs/>
                <w:sz w:val="22"/>
                <w:szCs w:val="22"/>
              </w:rPr>
              <w:t xml:space="preserve">; </w:t>
            </w:r>
            <w:hyperlink r:id="rId14" w:history="1">
              <w:proofErr w:type="spellStart"/>
              <w:r w:rsidRPr="000B545B">
                <w:rPr>
                  <w:rStyle w:val="Hyperlink"/>
                  <w:i/>
                  <w:iCs/>
                  <w:sz w:val="22"/>
                  <w:szCs w:val="22"/>
                </w:rPr>
                <w:t>WSIS+20</w:t>
              </w:r>
              <w:proofErr w:type="spellEnd"/>
              <w:r w:rsidRPr="000B545B">
                <w:rPr>
                  <w:rStyle w:val="Hyperlink"/>
                  <w:i/>
                  <w:iCs/>
                  <w:sz w:val="22"/>
                  <w:szCs w:val="22"/>
                </w:rPr>
                <w:t xml:space="preserve"> review</w:t>
              </w:r>
            </w:hyperlink>
            <w:r w:rsidRPr="000B545B">
              <w:rPr>
                <w:i/>
                <w:iCs/>
                <w:sz w:val="22"/>
                <w:szCs w:val="22"/>
              </w:rPr>
              <w:t xml:space="preserve">; UNGA Resolutions </w:t>
            </w:r>
            <w:hyperlink r:id="rId15" w:history="1">
              <w:r w:rsidRPr="000B545B">
                <w:rPr>
                  <w:rStyle w:val="Hyperlink"/>
                  <w:i/>
                  <w:iCs/>
                  <w:sz w:val="22"/>
                  <w:szCs w:val="22"/>
                </w:rPr>
                <w:t>A/RES/70/125</w:t>
              </w:r>
            </w:hyperlink>
            <w:r w:rsidRPr="000B545B">
              <w:rPr>
                <w:i/>
                <w:iCs/>
                <w:sz w:val="22"/>
                <w:szCs w:val="22"/>
              </w:rPr>
              <w:t xml:space="preserve">, </w:t>
            </w:r>
            <w:hyperlink r:id="rId16" w:history="1">
              <w:r w:rsidRPr="000B545B">
                <w:rPr>
                  <w:rStyle w:val="Hyperlink"/>
                  <w:i/>
                  <w:iCs/>
                  <w:sz w:val="22"/>
                  <w:szCs w:val="22"/>
                </w:rPr>
                <w:t>A/RES/70/1</w:t>
              </w:r>
            </w:hyperlink>
            <w:r w:rsidRPr="000B545B">
              <w:rPr>
                <w:i/>
                <w:iCs/>
                <w:sz w:val="22"/>
                <w:szCs w:val="22"/>
              </w:rPr>
              <w:t xml:space="preserve">, </w:t>
            </w:r>
            <w:hyperlink r:id="rId17" w:history="1">
              <w:r w:rsidRPr="000B545B">
                <w:rPr>
                  <w:rStyle w:val="Hyperlink"/>
                  <w:i/>
                  <w:iCs/>
                  <w:sz w:val="22"/>
                  <w:szCs w:val="22"/>
                </w:rPr>
                <w:t>A/RES/77/150</w:t>
              </w:r>
            </w:hyperlink>
            <w:r w:rsidRPr="000B545B">
              <w:rPr>
                <w:i/>
                <w:iCs/>
                <w:sz w:val="22"/>
                <w:szCs w:val="22"/>
              </w:rPr>
              <w:t xml:space="preserve">; UN ECOSOC Resolution </w:t>
            </w:r>
            <w:hyperlink r:id="rId18" w:history="1">
              <w:r w:rsidRPr="000B545B">
                <w:rPr>
                  <w:rStyle w:val="Hyperlink"/>
                  <w:i/>
                  <w:iCs/>
                  <w:sz w:val="22"/>
                  <w:szCs w:val="22"/>
                </w:rPr>
                <w:t>E/RES/2024/13</w:t>
              </w:r>
            </w:hyperlink>
            <w:r w:rsidRPr="000B545B">
              <w:rPr>
                <w:i/>
                <w:iCs/>
                <w:sz w:val="22"/>
                <w:szCs w:val="22"/>
              </w:rPr>
              <w:t xml:space="preserve"> and Report </w:t>
            </w:r>
            <w:hyperlink r:id="rId19" w:history="1">
              <w:r w:rsidRPr="000B545B">
                <w:rPr>
                  <w:rStyle w:val="Hyperlink"/>
                  <w:i/>
                  <w:iCs/>
                  <w:sz w:val="22"/>
                  <w:szCs w:val="22"/>
                </w:rPr>
                <w:t>E/2025/31–E/</w:t>
              </w:r>
              <w:proofErr w:type="spellStart"/>
              <w:r w:rsidRPr="000B545B">
                <w:rPr>
                  <w:rStyle w:val="Hyperlink"/>
                  <w:i/>
                  <w:iCs/>
                  <w:sz w:val="22"/>
                  <w:szCs w:val="22"/>
                </w:rPr>
                <w:t>CN.16</w:t>
              </w:r>
              <w:proofErr w:type="spellEnd"/>
              <w:r w:rsidRPr="000B545B">
                <w:rPr>
                  <w:rStyle w:val="Hyperlink"/>
                  <w:i/>
                  <w:iCs/>
                  <w:sz w:val="22"/>
                  <w:szCs w:val="22"/>
                </w:rPr>
                <w:t>/2025/4</w:t>
              </w:r>
            </w:hyperlink>
            <w:r w:rsidRPr="000B545B">
              <w:rPr>
                <w:i/>
                <w:iCs/>
                <w:sz w:val="22"/>
                <w:szCs w:val="22"/>
              </w:rPr>
              <w:t xml:space="preserve">; PP Resolutions </w:t>
            </w:r>
            <w:hyperlink r:id="rId20" w:history="1">
              <w:r w:rsidRPr="000B545B">
                <w:rPr>
                  <w:rStyle w:val="Hyperlink"/>
                  <w:i/>
                  <w:iCs/>
                  <w:sz w:val="22"/>
                  <w:szCs w:val="22"/>
                </w:rPr>
                <w:t>172 (Guadalajara, 2010)</w:t>
              </w:r>
            </w:hyperlink>
            <w:r w:rsidRPr="000B545B">
              <w:rPr>
                <w:i/>
                <w:iCs/>
                <w:sz w:val="22"/>
                <w:szCs w:val="22"/>
              </w:rPr>
              <w:t xml:space="preserve"> and </w:t>
            </w:r>
            <w:hyperlink r:id="rId21" w:history="1">
              <w:r w:rsidRPr="000B545B">
                <w:rPr>
                  <w:rStyle w:val="Hyperlink"/>
                  <w:i/>
                  <w:iCs/>
                  <w:sz w:val="22"/>
                  <w:szCs w:val="22"/>
                </w:rPr>
                <w:t>140 (Rev. Bucharest, 2022)</w:t>
              </w:r>
            </w:hyperlink>
            <w:r w:rsidRPr="000B545B">
              <w:rPr>
                <w:i/>
                <w:iCs/>
                <w:sz w:val="22"/>
                <w:szCs w:val="22"/>
              </w:rPr>
              <w:t xml:space="preserve">; Council Resolutions </w:t>
            </w:r>
            <w:hyperlink r:id="rId22" w:history="1">
              <w:r w:rsidRPr="000B545B">
                <w:rPr>
                  <w:rStyle w:val="Hyperlink"/>
                  <w:i/>
                  <w:iCs/>
                  <w:sz w:val="22"/>
                  <w:szCs w:val="22"/>
                </w:rPr>
                <w:t>1332 (Modified 2024)</w:t>
              </w:r>
            </w:hyperlink>
            <w:r w:rsidRPr="000B545B">
              <w:rPr>
                <w:i/>
                <w:iCs/>
                <w:sz w:val="22"/>
                <w:szCs w:val="22"/>
              </w:rPr>
              <w:t xml:space="preserve"> and </w:t>
            </w:r>
            <w:hyperlink r:id="rId23" w:history="1">
              <w:r w:rsidRPr="000B545B">
                <w:rPr>
                  <w:rStyle w:val="Hyperlink"/>
                  <w:i/>
                  <w:iCs/>
                  <w:sz w:val="22"/>
                  <w:szCs w:val="22"/>
                </w:rPr>
                <w:t>1334 (Modified 2023)</w:t>
              </w:r>
            </w:hyperlink>
            <w:r w:rsidRPr="000B545B">
              <w:rPr>
                <w:i/>
                <w:iCs/>
                <w:sz w:val="22"/>
                <w:szCs w:val="22"/>
              </w:rPr>
              <w:t xml:space="preserve">; </w:t>
            </w:r>
            <w:hyperlink r:id="rId24" w:history="1">
              <w:r w:rsidRPr="000B545B">
                <w:rPr>
                  <w:rStyle w:val="Hyperlink"/>
                  <w:i/>
                  <w:iCs/>
                  <w:sz w:val="22"/>
                  <w:szCs w:val="22"/>
                </w:rPr>
                <w:t xml:space="preserve">ITU Secretary-General’s roadmap: World Summit on the Information Society (WSIS)+20: WSIS beyond 2025 – </w:t>
              </w:r>
              <w:proofErr w:type="spellStart"/>
              <w:r w:rsidRPr="000B545B">
                <w:rPr>
                  <w:rStyle w:val="Hyperlink"/>
                  <w:i/>
                  <w:iCs/>
                  <w:sz w:val="22"/>
                  <w:szCs w:val="22"/>
                </w:rPr>
                <w:t>WSIS+20</w:t>
              </w:r>
              <w:proofErr w:type="spellEnd"/>
              <w:r w:rsidRPr="000B545B">
                <w:rPr>
                  <w:rStyle w:val="Hyperlink"/>
                  <w:i/>
                  <w:iCs/>
                  <w:sz w:val="22"/>
                  <w:szCs w:val="22"/>
                </w:rPr>
                <w:t xml:space="preserve"> Roadmap</w:t>
              </w:r>
            </w:hyperlink>
            <w:r w:rsidRPr="000B545B">
              <w:rPr>
                <w:i/>
                <w:iCs/>
                <w:sz w:val="22"/>
                <w:szCs w:val="22"/>
              </w:rPr>
              <w:t xml:space="preserve">; </w:t>
            </w:r>
            <w:hyperlink r:id="rId25" w:history="1">
              <w:r w:rsidRPr="000B545B">
                <w:rPr>
                  <w:rStyle w:val="Hyperlink"/>
                  <w:i/>
                  <w:iCs/>
                  <w:sz w:val="22"/>
                  <w:szCs w:val="22"/>
                </w:rPr>
                <w:t xml:space="preserve">Report by the </w:t>
              </w:r>
              <w:r w:rsidR="005D7BB1" w:rsidRPr="000B545B">
                <w:rPr>
                  <w:rStyle w:val="Hyperlink"/>
                  <w:i/>
                  <w:iCs/>
                  <w:sz w:val="22"/>
                  <w:szCs w:val="22"/>
                </w:rPr>
                <w:t xml:space="preserve">UNESCO </w:t>
              </w:r>
              <w:r w:rsidRPr="000B545B">
                <w:rPr>
                  <w:rStyle w:val="Hyperlink"/>
                  <w:i/>
                  <w:iCs/>
                  <w:sz w:val="22"/>
                  <w:szCs w:val="22"/>
                </w:rPr>
                <w:t>Director</w:t>
              </w:r>
              <w:r w:rsidR="005D7BB1" w:rsidRPr="000B545B">
                <w:rPr>
                  <w:rStyle w:val="Hyperlink"/>
                  <w:i/>
                  <w:iCs/>
                  <w:sz w:val="22"/>
                  <w:szCs w:val="22"/>
                </w:rPr>
                <w:t>-</w:t>
              </w:r>
              <w:r w:rsidRPr="000B545B">
                <w:rPr>
                  <w:rStyle w:val="Hyperlink"/>
                  <w:i/>
                  <w:iCs/>
                  <w:sz w:val="22"/>
                  <w:szCs w:val="22"/>
                </w:rPr>
                <w:t>General on implementation of the World Summit on the Information Society (WSIS)</w:t>
              </w:r>
            </w:hyperlink>
            <w:r w:rsidRPr="000B545B">
              <w:rPr>
                <w:i/>
                <w:iCs/>
                <w:sz w:val="22"/>
                <w:szCs w:val="22"/>
              </w:rPr>
              <w:t xml:space="preserve">; </w:t>
            </w:r>
            <w:hyperlink r:id="rId26" w:history="1">
              <w:proofErr w:type="spellStart"/>
              <w:r w:rsidRPr="000B545B">
                <w:rPr>
                  <w:rStyle w:val="Hyperlink"/>
                  <w:i/>
                  <w:iCs/>
                  <w:sz w:val="22"/>
                  <w:szCs w:val="22"/>
                </w:rPr>
                <w:t>CSTD</w:t>
              </w:r>
              <w:proofErr w:type="spellEnd"/>
              <w:r w:rsidRPr="000B545B">
                <w:rPr>
                  <w:rStyle w:val="Hyperlink"/>
                  <w:i/>
                  <w:iCs/>
                  <w:sz w:val="22"/>
                  <w:szCs w:val="22"/>
                </w:rPr>
                <w:t xml:space="preserve"> Roadmap for the </w:t>
              </w:r>
              <w:proofErr w:type="spellStart"/>
              <w:r w:rsidRPr="000B545B">
                <w:rPr>
                  <w:rStyle w:val="Hyperlink"/>
                  <w:i/>
                  <w:iCs/>
                  <w:sz w:val="22"/>
                  <w:szCs w:val="22"/>
                </w:rPr>
                <w:t>WSIS+20</w:t>
              </w:r>
              <w:proofErr w:type="spellEnd"/>
              <w:r w:rsidRPr="000B545B">
                <w:rPr>
                  <w:rStyle w:val="Hyperlink"/>
                  <w:i/>
                  <w:iCs/>
                  <w:sz w:val="22"/>
                  <w:szCs w:val="22"/>
                </w:rPr>
                <w:t xml:space="preserve"> Review United Nations Conference on Trade and Development</w:t>
              </w:r>
            </w:hyperlink>
            <w:r w:rsidRPr="000B545B">
              <w:rPr>
                <w:i/>
                <w:iCs/>
                <w:sz w:val="22"/>
                <w:szCs w:val="22"/>
              </w:rPr>
              <w:t>.</w:t>
            </w:r>
          </w:p>
        </w:tc>
      </w:tr>
    </w:tbl>
    <w:p w14:paraId="3EBB9133" w14:textId="77777777" w:rsidR="00E227F3" w:rsidRPr="000B545B"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0B545B"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B545B">
        <w:br w:type="page"/>
      </w:r>
    </w:p>
    <w:bookmarkEnd w:id="5"/>
    <w:bookmarkEnd w:id="10"/>
    <w:p w14:paraId="6FB35F07" w14:textId="77777777" w:rsidR="00D749DB" w:rsidRPr="000B545B" w:rsidRDefault="00D749DB" w:rsidP="005D7BB1">
      <w:pPr>
        <w:jc w:val="both"/>
        <w:rPr>
          <w:lang w:eastAsia="ko-KR"/>
        </w:rPr>
      </w:pPr>
      <w:r w:rsidRPr="000B545B">
        <w:rPr>
          <w:lang w:eastAsia="ko-KR"/>
        </w:rPr>
        <w:lastRenderedPageBreak/>
        <w:t>The World Summit on the Information Society (WSIS) is a UN process serving as a multistakeholder coordination mechanism on digital and emerging technologies. The WSIS process remains as crucial as ever to keep digitalization on a positive path and overcome mounting global development challenges.</w:t>
      </w:r>
    </w:p>
    <w:p w14:paraId="4F518448" w14:textId="4C87D9C2" w:rsidR="00D749DB" w:rsidRPr="000B545B" w:rsidRDefault="005D7BB1">
      <w:pPr>
        <w:jc w:val="both"/>
        <w:rPr>
          <w:rFonts w:eastAsia="SimSun" w:cs="Arial"/>
          <w:lang w:eastAsia="ko-KR"/>
        </w:rPr>
      </w:pPr>
      <w:hyperlink r:id="rId27">
        <w:r w:rsidRPr="000B545B">
          <w:rPr>
            <w:rStyle w:val="Hyperlink"/>
            <w:rFonts w:asciiTheme="minorHAnsi" w:hAnsiTheme="minorHAnsi"/>
            <w:szCs w:val="24"/>
            <w:lang w:eastAsia="ko-KR"/>
          </w:rPr>
          <w:t>Resolution A/RES/70/125</w:t>
        </w:r>
      </w:hyperlink>
      <w:r w:rsidR="00D749DB" w:rsidRPr="000B545B">
        <w:rPr>
          <w:rFonts w:eastAsia="SimSun" w:cs="Arial"/>
          <w:lang w:eastAsia="ko-KR"/>
        </w:rPr>
        <w:t xml:space="preserve"> requests the General Assembly to hold a high-level meeting on the overall review of the implementation of the outcomes of the World Summit on the Information Society in 2025 (referred to as “</w:t>
      </w:r>
      <w:proofErr w:type="spellStart"/>
      <w:r w:rsidR="00D749DB" w:rsidRPr="000B545B">
        <w:rPr>
          <w:rFonts w:eastAsia="SimSun" w:cs="Arial"/>
          <w:lang w:eastAsia="ko-KR"/>
        </w:rPr>
        <w:t>WSIS+20</w:t>
      </w:r>
      <w:proofErr w:type="spellEnd"/>
      <w:r w:rsidR="00D749DB" w:rsidRPr="000B545B">
        <w:rPr>
          <w:rFonts w:eastAsia="SimSun" w:cs="Arial"/>
          <w:lang w:eastAsia="ko-KR"/>
        </w:rPr>
        <w:t xml:space="preserve">”), involving the input and participation of all stakeholders, including in the preparatory process, to take stock of progress on the outcomes of the World Summit and identify both areas of continued focus and challenges. The </w:t>
      </w:r>
      <w:proofErr w:type="spellStart"/>
      <w:r w:rsidR="00D749DB" w:rsidRPr="000B545B">
        <w:rPr>
          <w:lang w:eastAsia="ko-KR"/>
        </w:rPr>
        <w:t>WSIS+20</w:t>
      </w:r>
      <w:proofErr w:type="spellEnd"/>
      <w:r w:rsidR="00D749DB" w:rsidRPr="000B545B">
        <w:rPr>
          <w:lang w:eastAsia="ko-KR"/>
        </w:rPr>
        <w:t xml:space="preserve"> will provide an opportunity to reflect and discuss the evolution of the WSIS implementation process.</w:t>
      </w:r>
    </w:p>
    <w:p w14:paraId="054C9800" w14:textId="77777777" w:rsidR="00D749DB" w:rsidRPr="000B545B" w:rsidRDefault="00D749DB" w:rsidP="00DE2A1A">
      <w:pPr>
        <w:pStyle w:val="Headingb"/>
        <w:rPr>
          <w:lang w:eastAsia="ko-KR"/>
        </w:rPr>
      </w:pPr>
      <w:proofErr w:type="spellStart"/>
      <w:r w:rsidRPr="000B545B">
        <w:rPr>
          <w:lang w:eastAsia="ko-KR"/>
        </w:rPr>
        <w:t>WSIS+20</w:t>
      </w:r>
      <w:proofErr w:type="spellEnd"/>
      <w:r w:rsidRPr="000B545B">
        <w:rPr>
          <w:lang w:eastAsia="ko-KR"/>
        </w:rPr>
        <w:t xml:space="preserve"> roadmaps</w:t>
      </w:r>
    </w:p>
    <w:p w14:paraId="666FE34E" w14:textId="38BD335C" w:rsidR="00D749DB" w:rsidRPr="000B545B" w:rsidRDefault="00DE2A1A">
      <w:pPr>
        <w:pStyle w:val="enumlev1"/>
        <w:jc w:val="both"/>
        <w:rPr>
          <w:lang w:eastAsia="ko-KR"/>
        </w:rPr>
      </w:pPr>
      <w:r w:rsidRPr="000B545B">
        <w:rPr>
          <w:lang w:eastAsia="ko-KR"/>
        </w:rPr>
        <w:t>–</w:t>
      </w:r>
      <w:r w:rsidRPr="000B545B">
        <w:rPr>
          <w:lang w:eastAsia="ko-KR"/>
        </w:rPr>
        <w:tab/>
      </w:r>
      <w:hyperlink r:id="rId28" w:history="1">
        <w:r w:rsidR="00D749DB" w:rsidRPr="000B545B">
          <w:rPr>
            <w:rStyle w:val="Hyperlink"/>
            <w:rFonts w:asciiTheme="minorHAnsi" w:hAnsiTheme="minorHAnsi"/>
            <w:i/>
            <w:iCs/>
            <w:szCs w:val="24"/>
            <w:lang w:eastAsia="ko-KR"/>
          </w:rPr>
          <w:t xml:space="preserve">World Summit on the Information Society (WSIS)+20: WSIS Beyond 2025: </w:t>
        </w:r>
        <w:proofErr w:type="spellStart"/>
        <w:r w:rsidR="00D749DB" w:rsidRPr="000B545B">
          <w:rPr>
            <w:rStyle w:val="Hyperlink"/>
            <w:rFonts w:asciiTheme="minorHAnsi" w:hAnsiTheme="minorHAnsi"/>
            <w:i/>
            <w:iCs/>
            <w:szCs w:val="24"/>
            <w:lang w:eastAsia="ko-KR"/>
          </w:rPr>
          <w:t>WSIS+20</w:t>
        </w:r>
        <w:proofErr w:type="spellEnd"/>
        <w:r w:rsidR="00D749DB" w:rsidRPr="000B545B">
          <w:rPr>
            <w:rStyle w:val="Hyperlink"/>
            <w:rFonts w:asciiTheme="minorHAnsi" w:hAnsiTheme="minorHAnsi"/>
            <w:i/>
            <w:iCs/>
            <w:szCs w:val="24"/>
            <w:lang w:eastAsia="ko-KR"/>
          </w:rPr>
          <w:t xml:space="preserve"> Roadmap</w:t>
        </w:r>
      </w:hyperlink>
      <w:r w:rsidR="00D749DB" w:rsidRPr="000B545B">
        <w:rPr>
          <w:lang w:eastAsia="ko-KR"/>
        </w:rPr>
        <w:t xml:space="preserve">; elaborates the ITU Secretary-General’s roadmap on the role of ITU in the </w:t>
      </w:r>
      <w:proofErr w:type="spellStart"/>
      <w:r w:rsidR="00D749DB" w:rsidRPr="000B545B">
        <w:rPr>
          <w:lang w:eastAsia="ko-KR"/>
        </w:rPr>
        <w:t>WSIS+20</w:t>
      </w:r>
      <w:proofErr w:type="spellEnd"/>
      <w:r w:rsidR="00D749DB" w:rsidRPr="000B545B">
        <w:rPr>
          <w:lang w:eastAsia="ko-KR"/>
        </w:rPr>
        <w:t xml:space="preserve"> Review process and its preparations. It outlines ITU’s leadership in engaging stakeholders, assessing progress, and aligning WSIS Action Lines with the 2030 Agenda for Sustainable Development. The roadmap emphasizes comprehensive preparations, including detailing activities, events, and reporting mechanisms, all aimed at informing the UN General Assembly Overall Review in 2025. Through collaborative efforts, it identifies priorities for advancing digital development beyond 2025 while fostering global partnerships and dialogue.</w:t>
      </w:r>
    </w:p>
    <w:p w14:paraId="6D702716" w14:textId="0C6B66E6" w:rsidR="00D749DB" w:rsidRPr="000B545B" w:rsidRDefault="00DE2A1A">
      <w:pPr>
        <w:pStyle w:val="enumlev1"/>
        <w:jc w:val="both"/>
        <w:rPr>
          <w:lang w:eastAsia="ko-KR"/>
        </w:rPr>
      </w:pPr>
      <w:r w:rsidRPr="000B545B">
        <w:rPr>
          <w:lang w:eastAsia="ko-KR"/>
        </w:rPr>
        <w:t>–</w:t>
      </w:r>
      <w:r w:rsidRPr="000B545B">
        <w:rPr>
          <w:lang w:eastAsia="ko-KR"/>
        </w:rPr>
        <w:tab/>
      </w:r>
      <w:hyperlink r:id="rId29" w:history="1">
        <w:r w:rsidR="00D749DB" w:rsidRPr="000B545B">
          <w:rPr>
            <w:rStyle w:val="Hyperlink"/>
            <w:rFonts w:asciiTheme="minorHAnsi" w:hAnsiTheme="minorHAnsi"/>
            <w:i/>
            <w:iCs/>
            <w:szCs w:val="24"/>
            <w:lang w:eastAsia="ko-KR"/>
          </w:rPr>
          <w:t>Report by the Director General on implementation of the World Summit on the Information Society (WSIS) outcomes</w:t>
        </w:r>
      </w:hyperlink>
      <w:r w:rsidR="00D749DB" w:rsidRPr="000B545B">
        <w:rPr>
          <w:lang w:eastAsia="ko-KR"/>
        </w:rPr>
        <w:t xml:space="preserve">, elaborates UNESCO’s roadmap towards the </w:t>
      </w:r>
      <w:proofErr w:type="spellStart"/>
      <w:r w:rsidR="00D749DB" w:rsidRPr="000B545B">
        <w:rPr>
          <w:lang w:eastAsia="ko-KR"/>
        </w:rPr>
        <w:t>WSIS+20</w:t>
      </w:r>
      <w:proofErr w:type="spellEnd"/>
      <w:r w:rsidR="00D749DB" w:rsidRPr="000B545B">
        <w:rPr>
          <w:lang w:eastAsia="ko-KR"/>
        </w:rPr>
        <w:t xml:space="preserve"> review.</w:t>
      </w:r>
    </w:p>
    <w:p w14:paraId="02986B96" w14:textId="487AB536" w:rsidR="00D749DB" w:rsidRPr="000B545B" w:rsidRDefault="00DE2A1A">
      <w:pPr>
        <w:pStyle w:val="enumlev1"/>
        <w:jc w:val="both"/>
        <w:rPr>
          <w:lang w:eastAsia="ko-KR"/>
        </w:rPr>
      </w:pPr>
      <w:r w:rsidRPr="000B545B">
        <w:rPr>
          <w:lang w:eastAsia="ko-KR"/>
        </w:rPr>
        <w:t>–</w:t>
      </w:r>
      <w:r w:rsidRPr="000B545B">
        <w:rPr>
          <w:lang w:eastAsia="ko-KR"/>
        </w:rPr>
        <w:tab/>
      </w:r>
      <w:hyperlink r:id="rId30" w:history="1">
        <w:proofErr w:type="spellStart"/>
        <w:r w:rsidR="00D749DB" w:rsidRPr="000B545B">
          <w:rPr>
            <w:rStyle w:val="Hyperlink"/>
            <w:rFonts w:asciiTheme="minorHAnsi" w:hAnsiTheme="minorHAnsi"/>
            <w:szCs w:val="24"/>
            <w:lang w:eastAsia="ko-KR"/>
          </w:rPr>
          <w:t>CSTD</w:t>
        </w:r>
        <w:proofErr w:type="spellEnd"/>
        <w:r w:rsidR="00D749DB" w:rsidRPr="000B545B">
          <w:rPr>
            <w:rStyle w:val="Hyperlink"/>
            <w:rFonts w:asciiTheme="minorHAnsi" w:hAnsiTheme="minorHAnsi"/>
            <w:szCs w:val="24"/>
            <w:lang w:eastAsia="ko-KR"/>
          </w:rPr>
          <w:t xml:space="preserve"> Roadmap for the </w:t>
        </w:r>
        <w:proofErr w:type="spellStart"/>
        <w:r w:rsidR="00D749DB" w:rsidRPr="000B545B">
          <w:rPr>
            <w:rStyle w:val="Hyperlink"/>
            <w:rFonts w:asciiTheme="minorHAnsi" w:hAnsiTheme="minorHAnsi"/>
            <w:szCs w:val="24"/>
            <w:lang w:eastAsia="ko-KR"/>
          </w:rPr>
          <w:t>WSIS+20</w:t>
        </w:r>
        <w:proofErr w:type="spellEnd"/>
        <w:r w:rsidR="00D749DB" w:rsidRPr="000B545B">
          <w:rPr>
            <w:rStyle w:val="Hyperlink"/>
            <w:rFonts w:asciiTheme="minorHAnsi" w:hAnsiTheme="minorHAnsi"/>
            <w:szCs w:val="24"/>
            <w:lang w:eastAsia="ko-KR"/>
          </w:rPr>
          <w:t xml:space="preserve"> Review United Nations Conference on Trade and Development</w:t>
        </w:r>
      </w:hyperlink>
      <w:r w:rsidR="00D749DB" w:rsidRPr="000B545B">
        <w:rPr>
          <w:lang w:eastAsia="ko-KR"/>
        </w:rPr>
        <w:t xml:space="preserve">. </w:t>
      </w:r>
    </w:p>
    <w:p w14:paraId="2C63FEE2" w14:textId="7C0FFAB0" w:rsidR="00D749DB" w:rsidRPr="000B545B" w:rsidRDefault="00D749DB">
      <w:pPr>
        <w:jc w:val="both"/>
        <w:rPr>
          <w:lang w:eastAsia="ko-KR"/>
        </w:rPr>
      </w:pPr>
      <w:r w:rsidRPr="000B545B">
        <w:rPr>
          <w:lang w:eastAsia="ko-KR"/>
        </w:rPr>
        <w:t xml:space="preserve">At the </w:t>
      </w:r>
      <w:proofErr w:type="spellStart"/>
      <w:r w:rsidRPr="000B545B">
        <w:rPr>
          <w:lang w:eastAsia="ko-KR"/>
        </w:rPr>
        <w:t>WSIS+20</w:t>
      </w:r>
      <w:proofErr w:type="spellEnd"/>
      <w:r w:rsidRPr="000B545B">
        <w:rPr>
          <w:lang w:eastAsia="ko-KR"/>
        </w:rPr>
        <w:t xml:space="preserve"> Forum High-Level Event 2024, several multistakeholder dialogues and discussions were held to discuss the preliminary steps towards the </w:t>
      </w:r>
      <w:proofErr w:type="spellStart"/>
      <w:r w:rsidRPr="000B545B">
        <w:rPr>
          <w:lang w:eastAsia="ko-KR"/>
        </w:rPr>
        <w:t>WSIS+20</w:t>
      </w:r>
      <w:proofErr w:type="spellEnd"/>
      <w:r w:rsidRPr="000B545B">
        <w:rPr>
          <w:lang w:eastAsia="ko-KR"/>
        </w:rPr>
        <w:t xml:space="preserve"> review process. The sessions were included as part of the </w:t>
      </w:r>
      <w:hyperlink r:id="rId31" w:anchor="agenda" w:history="1">
        <w:r w:rsidRPr="000B545B">
          <w:rPr>
            <w:rStyle w:val="Hyperlink"/>
            <w:rFonts w:asciiTheme="minorHAnsi" w:hAnsiTheme="minorHAnsi"/>
            <w:i/>
            <w:iCs/>
            <w:szCs w:val="24"/>
          </w:rPr>
          <w:t xml:space="preserve">Digital Governance Processes: WSIS, </w:t>
        </w:r>
        <w:proofErr w:type="spellStart"/>
        <w:r w:rsidRPr="000B545B">
          <w:rPr>
            <w:rStyle w:val="Hyperlink"/>
            <w:rFonts w:asciiTheme="minorHAnsi" w:hAnsiTheme="minorHAnsi"/>
            <w:i/>
            <w:iCs/>
            <w:szCs w:val="24"/>
          </w:rPr>
          <w:t>GDC</w:t>
        </w:r>
        <w:proofErr w:type="spellEnd"/>
        <w:r w:rsidRPr="000B545B">
          <w:rPr>
            <w:rStyle w:val="Hyperlink"/>
            <w:rFonts w:asciiTheme="minorHAnsi" w:hAnsiTheme="minorHAnsi"/>
            <w:i/>
            <w:iCs/>
            <w:szCs w:val="24"/>
          </w:rPr>
          <w:t>/ Summit of the Future Special Track</w:t>
        </w:r>
      </w:hyperlink>
      <w:r w:rsidR="000B545B" w:rsidRPr="000B545B">
        <w:rPr>
          <w:lang w:eastAsia="ko-KR"/>
        </w:rPr>
        <w:t>.</w:t>
      </w:r>
      <w:r w:rsidR="000B545B">
        <w:rPr>
          <w:lang w:eastAsia="ko-KR"/>
        </w:rPr>
        <w:t xml:space="preserve"> </w:t>
      </w:r>
      <w:r w:rsidRPr="000B545B">
        <w:t>These sessions concluded with key takeaways emphasizing the need to avoid duplication of efforts while acknowledging existing mechanisms and recognizing the substantial work that lies ahead. Stakeholders reaffirmed the value of the multistakeholder framework and highlighted the key elements of the WSIS process, such as the WSIS Forum, the Internet Governance Forum (</w:t>
      </w:r>
      <w:proofErr w:type="spellStart"/>
      <w:r w:rsidRPr="000B545B">
        <w:t>IGF</w:t>
      </w:r>
      <w:proofErr w:type="spellEnd"/>
      <w:r w:rsidRPr="000B545B">
        <w:t>), the United Nations Group on the Information Society (</w:t>
      </w:r>
      <w:proofErr w:type="spellStart"/>
      <w:r w:rsidRPr="000B545B">
        <w:t>UNGIS</w:t>
      </w:r>
      <w:proofErr w:type="spellEnd"/>
      <w:r w:rsidRPr="000B545B">
        <w:t>), the WSIS Stocktaking platform, etc.</w:t>
      </w:r>
    </w:p>
    <w:p w14:paraId="1335F016" w14:textId="77777777" w:rsidR="00D749DB" w:rsidRPr="000B545B" w:rsidRDefault="00D749DB">
      <w:pPr>
        <w:jc w:val="both"/>
      </w:pPr>
      <w:r w:rsidRPr="000B545B">
        <w:t xml:space="preserve">At the WSIS Forum 2025, branded as the </w:t>
      </w:r>
      <w:proofErr w:type="spellStart"/>
      <w:r w:rsidRPr="000B545B">
        <w:t>WSIS+20</w:t>
      </w:r>
      <w:proofErr w:type="spellEnd"/>
      <w:r w:rsidRPr="000B545B">
        <w:t xml:space="preserve"> High-Level Event 2025, all discussions related to the </w:t>
      </w:r>
      <w:proofErr w:type="spellStart"/>
      <w:r w:rsidRPr="000B545B">
        <w:t>WSIS+20</w:t>
      </w:r>
      <w:proofErr w:type="spellEnd"/>
      <w:r w:rsidRPr="000B545B">
        <w:t xml:space="preserve"> review were organized under a dedicated </w:t>
      </w:r>
      <w:hyperlink r:id="rId32" w:anchor="agenda" w:history="1">
        <w:proofErr w:type="spellStart"/>
        <w:r w:rsidRPr="000B545B">
          <w:rPr>
            <w:rStyle w:val="Hyperlink"/>
          </w:rPr>
          <w:t>WSIS+20</w:t>
        </w:r>
        <w:proofErr w:type="spellEnd"/>
        <w:r w:rsidRPr="000B545B">
          <w:rPr>
            <w:rStyle w:val="Hyperlink"/>
          </w:rPr>
          <w:t xml:space="preserve"> special track</w:t>
        </w:r>
      </w:hyperlink>
      <w:r w:rsidRPr="000B545B">
        <w:t xml:space="preserve">. The </w:t>
      </w:r>
      <w:proofErr w:type="spellStart"/>
      <w:r w:rsidRPr="000B545B">
        <w:t>WSIS+20</w:t>
      </w:r>
      <w:proofErr w:type="spellEnd"/>
      <w:r w:rsidRPr="000B545B">
        <w:t xml:space="preserve"> Co-Facilitators were present and actively engaged with participants through consultations held during the event.</w:t>
      </w:r>
    </w:p>
    <w:p w14:paraId="4612CE9F" w14:textId="77777777" w:rsidR="00D749DB" w:rsidRPr="000B545B" w:rsidRDefault="00D749DB" w:rsidP="00DE2A1A">
      <w:pPr>
        <w:pStyle w:val="Headingb"/>
        <w:rPr>
          <w:lang w:eastAsia="ko-KR"/>
        </w:rPr>
      </w:pPr>
      <w:proofErr w:type="spellStart"/>
      <w:r w:rsidRPr="000B545B">
        <w:t>WSIS+20</w:t>
      </w:r>
      <w:proofErr w:type="spellEnd"/>
      <w:r w:rsidRPr="000B545B">
        <w:t xml:space="preserve"> Joint preparatory process</w:t>
      </w:r>
    </w:p>
    <w:p w14:paraId="5A8D803A" w14:textId="77777777" w:rsidR="00D749DB" w:rsidRPr="000B545B" w:rsidRDefault="00D749DB" w:rsidP="005D7BB1">
      <w:pPr>
        <w:jc w:val="both"/>
      </w:pPr>
      <w:r w:rsidRPr="000B545B">
        <w:t xml:space="preserve">Towards the </w:t>
      </w:r>
      <w:proofErr w:type="spellStart"/>
      <w:r w:rsidRPr="000B545B">
        <w:t>WSIS+20</w:t>
      </w:r>
      <w:proofErr w:type="spellEnd"/>
      <w:r w:rsidRPr="000B545B">
        <w:t xml:space="preserve"> review, efforts have been made to establish a unified </w:t>
      </w:r>
      <w:proofErr w:type="spellStart"/>
      <w:r w:rsidRPr="000B545B">
        <w:t>WSIS+20</w:t>
      </w:r>
      <w:proofErr w:type="spellEnd"/>
      <w:r w:rsidRPr="000B545B">
        <w:t xml:space="preserve"> review process involving all UN agencies, including ITU, UNESCO, UNDP, UNCTAD, UN DESA, and UN </w:t>
      </w:r>
      <w:proofErr w:type="spellStart"/>
      <w:r w:rsidRPr="000B545B">
        <w:t>CSTD</w:t>
      </w:r>
      <w:proofErr w:type="spellEnd"/>
      <w:r w:rsidRPr="000B545B">
        <w:t xml:space="preserve">. Regular meetings are </w:t>
      </w:r>
      <w:r w:rsidRPr="000B545B">
        <w:rPr>
          <w:lang w:eastAsia="ko-KR"/>
        </w:rPr>
        <w:t>organised</w:t>
      </w:r>
      <w:r w:rsidRPr="000B545B">
        <w:t xml:space="preserve"> to facilitate collaborative discussions and planning, </w:t>
      </w:r>
      <w:r w:rsidRPr="000B545B">
        <w:lastRenderedPageBreak/>
        <w:t xml:space="preserve">reflecting our joint and dedicated approach towards the </w:t>
      </w:r>
      <w:proofErr w:type="spellStart"/>
      <w:r w:rsidRPr="000B545B">
        <w:t>WSIS+20</w:t>
      </w:r>
      <w:proofErr w:type="spellEnd"/>
      <w:r w:rsidRPr="000B545B">
        <w:t xml:space="preserve"> review. This is the timeline of the joint preparatory process:</w:t>
      </w:r>
    </w:p>
    <w:p w14:paraId="017D2271" w14:textId="77777777" w:rsidR="00D749DB" w:rsidRPr="000B545B" w:rsidRDefault="00D749DB" w:rsidP="00DE2A1A">
      <w:pPr>
        <w:pStyle w:val="Figure"/>
      </w:pPr>
      <w:r w:rsidRPr="000B545B">
        <w:rPr>
          <w:noProof/>
        </w:rPr>
        <w:drawing>
          <wp:inline distT="0" distB="0" distL="0" distR="0" wp14:anchorId="3102DF83" wp14:editId="07995DAB">
            <wp:extent cx="5391537" cy="3032740"/>
            <wp:effectExtent l="0" t="0" r="0" b="0"/>
            <wp:docPr id="7201818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81819" name="Graphic 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391537" cy="3032740"/>
                    </a:xfrm>
                    <a:prstGeom prst="rect">
                      <a:avLst/>
                    </a:prstGeom>
                  </pic:spPr>
                </pic:pic>
              </a:graphicData>
            </a:graphic>
          </wp:inline>
        </w:drawing>
      </w:r>
    </w:p>
    <w:p w14:paraId="389EF5B5" w14:textId="77777777" w:rsidR="00D749DB" w:rsidRPr="000B545B" w:rsidRDefault="00D749DB" w:rsidP="00DE2A1A">
      <w:pPr>
        <w:pStyle w:val="Headingb"/>
      </w:pPr>
      <w:proofErr w:type="spellStart"/>
      <w:r w:rsidRPr="000B545B">
        <w:t>WSIS+20</w:t>
      </w:r>
      <w:proofErr w:type="spellEnd"/>
      <w:r w:rsidRPr="000B545B">
        <w:t xml:space="preserve"> modalities </w:t>
      </w:r>
    </w:p>
    <w:p w14:paraId="4545047C" w14:textId="77777777" w:rsidR="00D749DB" w:rsidRPr="000B545B" w:rsidRDefault="00D749DB">
      <w:pPr>
        <w:jc w:val="both"/>
        <w:rPr>
          <w:szCs w:val="24"/>
        </w:rPr>
      </w:pPr>
      <w:r w:rsidRPr="000B545B">
        <w:rPr>
          <w:szCs w:val="24"/>
        </w:rPr>
        <w:t>In January 2025, the President of United Nations General Assembly (UNGA) appointed H.E. Mr. Erastus ‘</w:t>
      </w:r>
      <w:proofErr w:type="spellStart"/>
      <w:r w:rsidRPr="000B545B">
        <w:rPr>
          <w:szCs w:val="24"/>
        </w:rPr>
        <w:t>Lokaale</w:t>
      </w:r>
      <w:proofErr w:type="spellEnd"/>
      <w:r w:rsidRPr="000B545B">
        <w:rPr>
          <w:szCs w:val="24"/>
        </w:rPr>
        <w:t xml:space="preserve">, Permanent Representative of the Republic of Kenya and H.E. Mr. Rytis Paulauskas, Permanent </w:t>
      </w:r>
      <w:r w:rsidRPr="000B545B">
        <w:rPr>
          <w:lang w:eastAsia="ko-KR"/>
        </w:rPr>
        <w:t>Representative</w:t>
      </w:r>
      <w:r w:rsidRPr="000B545B">
        <w:rPr>
          <w:szCs w:val="24"/>
        </w:rPr>
        <w:t xml:space="preserve"> of the Republic of Lithuania, as co-facilitators for intergovernmental consultations to finalize the modalities for the overall review by the General Assembly of the implementation of WSIS outcomes (</w:t>
      </w:r>
      <w:hyperlink r:id="rId34" w:history="1">
        <w:r w:rsidRPr="000B545B">
          <w:rPr>
            <w:rStyle w:val="Hyperlink"/>
            <w:szCs w:val="24"/>
          </w:rPr>
          <w:t>letter dated 20 January 2025</w:t>
        </w:r>
      </w:hyperlink>
      <w:r w:rsidRPr="000B545B">
        <w:rPr>
          <w:szCs w:val="24"/>
        </w:rPr>
        <w:t xml:space="preserve">). </w:t>
      </w:r>
    </w:p>
    <w:p w14:paraId="03C9E54A" w14:textId="77777777" w:rsidR="00D749DB" w:rsidRPr="000B545B" w:rsidRDefault="00D749DB">
      <w:pPr>
        <w:jc w:val="both"/>
        <w:rPr>
          <w:szCs w:val="24"/>
        </w:rPr>
      </w:pPr>
      <w:r w:rsidRPr="000B545B">
        <w:rPr>
          <w:szCs w:val="24"/>
        </w:rPr>
        <w:t xml:space="preserve">The resolution on ICT for </w:t>
      </w:r>
      <w:r w:rsidRPr="000B545B">
        <w:rPr>
          <w:lang w:eastAsia="ko-KR"/>
        </w:rPr>
        <w:t>sustainable</w:t>
      </w:r>
      <w:r w:rsidRPr="000B545B">
        <w:rPr>
          <w:szCs w:val="24"/>
        </w:rPr>
        <w:t xml:space="preserve"> development (</w:t>
      </w:r>
      <w:hyperlink r:id="rId35" w:tgtFrame="_blank" w:history="1">
        <w:r w:rsidRPr="000B545B">
          <w:rPr>
            <w:rStyle w:val="Hyperlink"/>
            <w:szCs w:val="24"/>
          </w:rPr>
          <w:t>A/RES/79/194</w:t>
        </w:r>
      </w:hyperlink>
      <w:r w:rsidRPr="000B545B">
        <w:rPr>
          <w:szCs w:val="24"/>
        </w:rPr>
        <w:t>) outlines that the modalities are to be finalised by the end of March 2025.</w:t>
      </w:r>
    </w:p>
    <w:p w14:paraId="736DEBFF" w14:textId="77777777" w:rsidR="00D749DB" w:rsidRPr="000B545B" w:rsidRDefault="00D749DB">
      <w:pPr>
        <w:jc w:val="both"/>
        <w:rPr>
          <w:szCs w:val="24"/>
        </w:rPr>
      </w:pPr>
      <w:r w:rsidRPr="000B545B">
        <w:rPr>
          <w:szCs w:val="24"/>
        </w:rPr>
        <w:t xml:space="preserve">On 4 February 2025, the co-facilitators presented a timeline of the intergovernmental consultations of the modalities for the overall review by the General Assembly of the implementation of WSIS outcomes and circulated the zero draft of the modalities to be presented on 14 February 2025 in ECOSOC Chamber (see information </w:t>
      </w:r>
      <w:hyperlink r:id="rId36" w:history="1">
        <w:r w:rsidRPr="000B545B">
          <w:rPr>
            <w:rStyle w:val="Hyperlink"/>
            <w:szCs w:val="24"/>
          </w:rPr>
          <w:t>here</w:t>
        </w:r>
      </w:hyperlink>
      <w:r w:rsidRPr="000B545B">
        <w:rPr>
          <w:szCs w:val="24"/>
        </w:rPr>
        <w:t>).</w:t>
      </w:r>
    </w:p>
    <w:p w14:paraId="5B03849B" w14:textId="0C1D5F2D" w:rsidR="00D749DB" w:rsidRPr="000B545B" w:rsidRDefault="00D749DB">
      <w:pPr>
        <w:jc w:val="both"/>
        <w:rPr>
          <w:szCs w:val="24"/>
        </w:rPr>
      </w:pPr>
      <w:r w:rsidRPr="000B545B">
        <w:rPr>
          <w:szCs w:val="24"/>
        </w:rPr>
        <w:t>On 23 April 2025, the President of the United Nations General Assembly has appointed H.E. Mr</w:t>
      </w:r>
      <w:r w:rsidR="00956439">
        <w:rPr>
          <w:szCs w:val="24"/>
        </w:rPr>
        <w:t> </w:t>
      </w:r>
      <w:r w:rsidRPr="000B545B">
        <w:rPr>
          <w:szCs w:val="24"/>
        </w:rPr>
        <w:t xml:space="preserve">Ekitela </w:t>
      </w:r>
      <w:proofErr w:type="spellStart"/>
      <w:r w:rsidRPr="000B545B">
        <w:rPr>
          <w:szCs w:val="24"/>
        </w:rPr>
        <w:t>Lokaale</w:t>
      </w:r>
      <w:proofErr w:type="spellEnd"/>
      <w:r w:rsidRPr="000B545B">
        <w:rPr>
          <w:szCs w:val="24"/>
        </w:rPr>
        <w:t xml:space="preserve">, Permanent </w:t>
      </w:r>
      <w:r w:rsidRPr="000B545B">
        <w:rPr>
          <w:lang w:eastAsia="ko-KR"/>
        </w:rPr>
        <w:t>Representative</w:t>
      </w:r>
      <w:r w:rsidRPr="000B545B">
        <w:rPr>
          <w:szCs w:val="24"/>
        </w:rPr>
        <w:t xml:space="preserve"> of the Republic of Kenya to the United Nations, and H.E. Ms</w:t>
      </w:r>
      <w:r w:rsidR="00956439">
        <w:rPr>
          <w:szCs w:val="24"/>
        </w:rPr>
        <w:t> </w:t>
      </w:r>
      <w:r w:rsidRPr="000B545B">
        <w:rPr>
          <w:szCs w:val="24"/>
        </w:rPr>
        <w:t>Suela Janina, Permanent Representative of the Republic of Albania to the United Nations, as co-facilitators to lead the overall review of the implementation of the outcomes of the World Summit on Information Society.</w:t>
      </w:r>
    </w:p>
    <w:p w14:paraId="31030899" w14:textId="77777777" w:rsidR="00D749DB" w:rsidRPr="000B545B" w:rsidRDefault="00D749DB">
      <w:pPr>
        <w:jc w:val="both"/>
        <w:rPr>
          <w:szCs w:val="24"/>
        </w:rPr>
      </w:pPr>
      <w:r w:rsidRPr="000B545B">
        <w:rPr>
          <w:szCs w:val="24"/>
        </w:rPr>
        <w:t xml:space="preserve">On 21 May 2025, the </w:t>
      </w:r>
      <w:proofErr w:type="spellStart"/>
      <w:r w:rsidRPr="000B545B">
        <w:rPr>
          <w:szCs w:val="24"/>
        </w:rPr>
        <w:t>WSIS+20</w:t>
      </w:r>
      <w:proofErr w:type="spellEnd"/>
      <w:r w:rsidRPr="000B545B">
        <w:rPr>
          <w:szCs w:val="24"/>
        </w:rPr>
        <w:t xml:space="preserve"> Co-Facilitators presented a roadmap of key steps leading up to the draft outcome document of the </w:t>
      </w:r>
      <w:r w:rsidRPr="000B545B">
        <w:rPr>
          <w:lang w:eastAsia="ko-KR"/>
        </w:rPr>
        <w:t>overall</w:t>
      </w:r>
      <w:r w:rsidRPr="000B545B">
        <w:rPr>
          <w:szCs w:val="24"/>
        </w:rPr>
        <w:t xml:space="preserve"> review of the implementation of the outcomes of the World Summit on Information Society. </w:t>
      </w:r>
    </w:p>
    <w:p w14:paraId="3CB5F58F" w14:textId="77777777" w:rsidR="00D749DB" w:rsidRPr="000B545B" w:rsidRDefault="00D749DB">
      <w:pPr>
        <w:pStyle w:val="BodyText"/>
        <w:spacing w:before="41"/>
        <w:rPr>
          <w:sz w:val="24"/>
          <w:szCs w:val="24"/>
          <w:lang w:val="en-GB"/>
        </w:rPr>
      </w:pP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268"/>
        <w:gridCol w:w="4106"/>
        <w:gridCol w:w="2983"/>
      </w:tblGrid>
      <w:tr w:rsidR="00D749DB" w:rsidRPr="000B545B" w14:paraId="40AA4078" w14:textId="77777777" w:rsidTr="00046348">
        <w:trPr>
          <w:cantSplit/>
          <w:tblHeader/>
          <w:jc w:val="center"/>
        </w:trPr>
        <w:tc>
          <w:tcPr>
            <w:tcW w:w="2268" w:type="dxa"/>
          </w:tcPr>
          <w:p w14:paraId="2B9A4C16" w14:textId="77777777" w:rsidR="00D749DB" w:rsidRPr="000B545B" w:rsidRDefault="00D749DB" w:rsidP="00DE2A1A">
            <w:pPr>
              <w:pStyle w:val="Tablehead"/>
            </w:pPr>
            <w:r w:rsidRPr="000B545B">
              <w:t>Date</w:t>
            </w:r>
          </w:p>
        </w:tc>
        <w:tc>
          <w:tcPr>
            <w:tcW w:w="4106" w:type="dxa"/>
          </w:tcPr>
          <w:p w14:paraId="5965B95D" w14:textId="77777777" w:rsidR="00D749DB" w:rsidRPr="000B545B" w:rsidRDefault="00D749DB" w:rsidP="00DE2A1A">
            <w:pPr>
              <w:pStyle w:val="Tablehead"/>
            </w:pPr>
            <w:r w:rsidRPr="000B545B">
              <w:t>Milestone</w:t>
            </w:r>
            <w:r w:rsidRPr="000B545B">
              <w:rPr>
                <w:spacing w:val="-5"/>
              </w:rPr>
              <w:t xml:space="preserve"> </w:t>
            </w:r>
            <w:r w:rsidRPr="000B545B">
              <w:t>/</w:t>
            </w:r>
            <w:r w:rsidRPr="000B545B">
              <w:rPr>
                <w:spacing w:val="-1"/>
              </w:rPr>
              <w:t xml:space="preserve"> </w:t>
            </w:r>
            <w:r w:rsidRPr="000B545B">
              <w:rPr>
                <w:spacing w:val="-2"/>
              </w:rPr>
              <w:t>Meeting</w:t>
            </w:r>
          </w:p>
        </w:tc>
        <w:tc>
          <w:tcPr>
            <w:tcW w:w="2983" w:type="dxa"/>
          </w:tcPr>
          <w:p w14:paraId="2E8508AA" w14:textId="77777777" w:rsidR="00D749DB" w:rsidRPr="000B545B" w:rsidRDefault="00D749DB" w:rsidP="00DE2A1A">
            <w:pPr>
              <w:pStyle w:val="Tablehead"/>
            </w:pPr>
            <w:r w:rsidRPr="000B545B">
              <w:rPr>
                <w:spacing w:val="-2"/>
              </w:rPr>
              <w:t>Venue</w:t>
            </w:r>
          </w:p>
        </w:tc>
      </w:tr>
      <w:tr w:rsidR="00D749DB" w:rsidRPr="000B545B" w14:paraId="7BAE7A91" w14:textId="77777777" w:rsidTr="00046348">
        <w:trPr>
          <w:cantSplit/>
          <w:jc w:val="center"/>
        </w:trPr>
        <w:tc>
          <w:tcPr>
            <w:tcW w:w="2268" w:type="dxa"/>
          </w:tcPr>
          <w:p w14:paraId="5E7805D9" w14:textId="77777777" w:rsidR="00D749DB" w:rsidRPr="000B545B" w:rsidRDefault="00D749DB" w:rsidP="00DE2A1A">
            <w:pPr>
              <w:pStyle w:val="Tabletext"/>
              <w:jc w:val="center"/>
            </w:pPr>
            <w:r w:rsidRPr="000B545B">
              <w:t>30 May</w:t>
            </w:r>
            <w:r w:rsidRPr="000B545B">
              <w:rPr>
                <w:spacing w:val="-3"/>
              </w:rPr>
              <w:t xml:space="preserve"> </w:t>
            </w:r>
            <w:r w:rsidRPr="000B545B">
              <w:t>2025</w:t>
            </w:r>
          </w:p>
        </w:tc>
        <w:tc>
          <w:tcPr>
            <w:tcW w:w="4106" w:type="dxa"/>
          </w:tcPr>
          <w:p w14:paraId="398B4AC5" w14:textId="2BEB59FD" w:rsidR="00D749DB" w:rsidRPr="000B545B" w:rsidRDefault="00D749DB" w:rsidP="000B545B">
            <w:pPr>
              <w:pStyle w:val="Tabletext"/>
            </w:pPr>
            <w:r w:rsidRPr="000B545B">
              <w:rPr>
                <w:spacing w:val="-5"/>
              </w:rPr>
              <w:t>1</w:t>
            </w:r>
            <w:r w:rsidRPr="000B545B">
              <w:rPr>
                <w:spacing w:val="-5"/>
                <w:vertAlign w:val="superscript"/>
              </w:rPr>
              <w:t>st</w:t>
            </w:r>
            <w:r w:rsidR="000B545B">
              <w:t xml:space="preserve"> </w:t>
            </w:r>
            <w:r w:rsidRPr="000B545B">
              <w:rPr>
                <w:spacing w:val="-2"/>
              </w:rPr>
              <w:t>Preparatory</w:t>
            </w:r>
            <w:r w:rsidR="000B545B">
              <w:rPr>
                <w:spacing w:val="-2"/>
              </w:rPr>
              <w:t xml:space="preserve"> </w:t>
            </w:r>
            <w:r w:rsidRPr="000B545B">
              <w:rPr>
                <w:spacing w:val="-2"/>
              </w:rPr>
              <w:t>Meeting</w:t>
            </w:r>
            <w:r w:rsidR="00DE2A1A" w:rsidRPr="000B545B">
              <w:rPr>
                <w:spacing w:val="-2"/>
              </w:rPr>
              <w:t xml:space="preserve"> </w:t>
            </w:r>
            <w:r w:rsidRPr="000B545B">
              <w:rPr>
                <w:spacing w:val="-10"/>
              </w:rPr>
              <w:t>&amp;</w:t>
            </w:r>
            <w:r w:rsidR="000B545B">
              <w:rPr>
                <w:spacing w:val="-10"/>
              </w:rPr>
              <w:t xml:space="preserve"> </w:t>
            </w:r>
            <w:r w:rsidRPr="000B545B">
              <w:t>Stocktaking</w:t>
            </w:r>
            <w:r w:rsidRPr="000B545B">
              <w:rPr>
                <w:spacing w:val="-5"/>
              </w:rPr>
              <w:t xml:space="preserve"> </w:t>
            </w:r>
            <w:r w:rsidRPr="000B545B">
              <w:rPr>
                <w:spacing w:val="-2"/>
              </w:rPr>
              <w:t>Session</w:t>
            </w:r>
          </w:p>
        </w:tc>
        <w:tc>
          <w:tcPr>
            <w:tcW w:w="2983" w:type="dxa"/>
          </w:tcPr>
          <w:p w14:paraId="2FC03498" w14:textId="77777777" w:rsidR="00D749DB" w:rsidRPr="000B545B" w:rsidRDefault="00D749DB" w:rsidP="00DE2A1A">
            <w:pPr>
              <w:pStyle w:val="Tabletext"/>
            </w:pPr>
            <w:r w:rsidRPr="000B545B">
              <w:t>Conference</w:t>
            </w:r>
            <w:r w:rsidRPr="000B545B">
              <w:rPr>
                <w:spacing w:val="-2"/>
              </w:rPr>
              <w:t xml:space="preserve"> </w:t>
            </w:r>
            <w:r w:rsidRPr="000B545B">
              <w:t>Room 1,</w:t>
            </w:r>
            <w:r w:rsidRPr="000B545B">
              <w:rPr>
                <w:spacing w:val="-1"/>
              </w:rPr>
              <w:t xml:space="preserve"> </w:t>
            </w:r>
            <w:proofErr w:type="spellStart"/>
            <w:r w:rsidRPr="000B545B">
              <w:t>UNHQ</w:t>
            </w:r>
            <w:proofErr w:type="spellEnd"/>
          </w:p>
        </w:tc>
      </w:tr>
      <w:tr w:rsidR="00D749DB" w:rsidRPr="000B545B" w14:paraId="1F51E4F0" w14:textId="77777777" w:rsidTr="00046348">
        <w:trPr>
          <w:cantSplit/>
          <w:jc w:val="center"/>
        </w:trPr>
        <w:tc>
          <w:tcPr>
            <w:tcW w:w="2268" w:type="dxa"/>
          </w:tcPr>
          <w:p w14:paraId="6FA0F439" w14:textId="77777777" w:rsidR="00D749DB" w:rsidRPr="000B545B" w:rsidRDefault="00D749DB" w:rsidP="00DE2A1A">
            <w:pPr>
              <w:pStyle w:val="Tabletext"/>
              <w:jc w:val="center"/>
            </w:pPr>
            <w:r w:rsidRPr="000B545B">
              <w:t>Early</w:t>
            </w:r>
            <w:r w:rsidRPr="000B545B">
              <w:rPr>
                <w:spacing w:val="-3"/>
              </w:rPr>
              <w:t xml:space="preserve"> </w:t>
            </w:r>
            <w:r w:rsidRPr="000B545B">
              <w:t>June</w:t>
            </w:r>
            <w:r w:rsidRPr="000B545B">
              <w:rPr>
                <w:spacing w:val="-1"/>
              </w:rPr>
              <w:t xml:space="preserve"> </w:t>
            </w:r>
            <w:r w:rsidRPr="000B545B">
              <w:t>2025</w:t>
            </w:r>
          </w:p>
        </w:tc>
        <w:tc>
          <w:tcPr>
            <w:tcW w:w="4106" w:type="dxa"/>
          </w:tcPr>
          <w:p w14:paraId="0CC6301D" w14:textId="77777777" w:rsidR="00D749DB" w:rsidRPr="000B545B" w:rsidRDefault="00D749DB" w:rsidP="00DE2A1A">
            <w:pPr>
              <w:pStyle w:val="Tabletext"/>
            </w:pPr>
            <w:r w:rsidRPr="000B545B">
              <w:t>Consultations</w:t>
            </w:r>
            <w:r w:rsidRPr="000B545B">
              <w:rPr>
                <w:spacing w:val="-5"/>
              </w:rPr>
              <w:t xml:space="preserve"> </w:t>
            </w:r>
            <w:r w:rsidRPr="000B545B">
              <w:t xml:space="preserve">with </w:t>
            </w:r>
            <w:r w:rsidRPr="000B545B">
              <w:rPr>
                <w:spacing w:val="-2"/>
              </w:rPr>
              <w:t>Stakeholders</w:t>
            </w:r>
          </w:p>
        </w:tc>
        <w:tc>
          <w:tcPr>
            <w:tcW w:w="2983" w:type="dxa"/>
          </w:tcPr>
          <w:p w14:paraId="2A307053" w14:textId="77777777" w:rsidR="00D749DB" w:rsidRPr="000B545B" w:rsidRDefault="00D749DB" w:rsidP="00DE2A1A">
            <w:pPr>
              <w:pStyle w:val="Tabletext"/>
            </w:pPr>
            <w:r w:rsidRPr="000B545B">
              <w:rPr>
                <w:spacing w:val="-2"/>
              </w:rPr>
              <w:t>Virtual</w:t>
            </w:r>
          </w:p>
        </w:tc>
      </w:tr>
      <w:tr w:rsidR="00D749DB" w:rsidRPr="000B545B" w14:paraId="760A3260" w14:textId="77777777" w:rsidTr="00046348">
        <w:trPr>
          <w:cantSplit/>
          <w:jc w:val="center"/>
        </w:trPr>
        <w:tc>
          <w:tcPr>
            <w:tcW w:w="2268" w:type="dxa"/>
          </w:tcPr>
          <w:p w14:paraId="23C89B4A" w14:textId="77777777" w:rsidR="00D749DB" w:rsidRPr="000B545B" w:rsidRDefault="00D749DB" w:rsidP="00DE2A1A">
            <w:pPr>
              <w:pStyle w:val="Tabletext"/>
              <w:jc w:val="center"/>
            </w:pPr>
            <w:r w:rsidRPr="000B545B">
              <w:lastRenderedPageBreak/>
              <w:t>20 June</w:t>
            </w:r>
            <w:r w:rsidRPr="000B545B">
              <w:rPr>
                <w:spacing w:val="-2"/>
              </w:rPr>
              <w:t xml:space="preserve"> </w:t>
            </w:r>
            <w:r w:rsidRPr="000B545B">
              <w:t>2025</w:t>
            </w:r>
          </w:p>
        </w:tc>
        <w:tc>
          <w:tcPr>
            <w:tcW w:w="4106" w:type="dxa"/>
          </w:tcPr>
          <w:p w14:paraId="61FA2007" w14:textId="77777777" w:rsidR="00D749DB" w:rsidRPr="000B545B" w:rsidRDefault="00D749DB" w:rsidP="00DE2A1A">
            <w:pPr>
              <w:pStyle w:val="Tabletext"/>
            </w:pPr>
            <w:r w:rsidRPr="000B545B">
              <w:t>Elements</w:t>
            </w:r>
            <w:r w:rsidRPr="000B545B">
              <w:rPr>
                <w:spacing w:val="-5"/>
              </w:rPr>
              <w:t xml:space="preserve"> </w:t>
            </w:r>
            <w:r w:rsidRPr="000B545B">
              <w:rPr>
                <w:spacing w:val="-2"/>
              </w:rPr>
              <w:t>Paper</w:t>
            </w:r>
          </w:p>
        </w:tc>
        <w:tc>
          <w:tcPr>
            <w:tcW w:w="2983" w:type="dxa"/>
          </w:tcPr>
          <w:p w14:paraId="53AB8495" w14:textId="77777777" w:rsidR="00D749DB" w:rsidRPr="000B545B" w:rsidRDefault="00D749DB" w:rsidP="00DE2A1A">
            <w:pPr>
              <w:pStyle w:val="Tabletext"/>
            </w:pPr>
            <w:r w:rsidRPr="000B545B">
              <w:rPr>
                <w:spacing w:val="-10"/>
              </w:rPr>
              <w:t>-</w:t>
            </w:r>
          </w:p>
        </w:tc>
      </w:tr>
      <w:tr w:rsidR="00D749DB" w:rsidRPr="000B545B" w14:paraId="2723883E" w14:textId="77777777" w:rsidTr="00046348">
        <w:trPr>
          <w:cantSplit/>
          <w:jc w:val="center"/>
        </w:trPr>
        <w:tc>
          <w:tcPr>
            <w:tcW w:w="2268" w:type="dxa"/>
          </w:tcPr>
          <w:p w14:paraId="003B7C73" w14:textId="77777777" w:rsidR="00D749DB" w:rsidRPr="000B545B" w:rsidRDefault="00D749DB" w:rsidP="00DE2A1A">
            <w:pPr>
              <w:pStyle w:val="Tabletext"/>
              <w:jc w:val="center"/>
            </w:pPr>
            <w:r w:rsidRPr="000B545B">
              <w:t>June/July 2025</w:t>
            </w:r>
          </w:p>
        </w:tc>
        <w:tc>
          <w:tcPr>
            <w:tcW w:w="4106" w:type="dxa"/>
          </w:tcPr>
          <w:p w14:paraId="0521E6BA" w14:textId="77777777" w:rsidR="00D749DB" w:rsidRPr="000B545B" w:rsidRDefault="00D749DB" w:rsidP="00DE2A1A">
            <w:pPr>
              <w:pStyle w:val="Tabletext"/>
            </w:pPr>
            <w:r w:rsidRPr="000B545B">
              <w:t>Consultations</w:t>
            </w:r>
            <w:r w:rsidRPr="000B545B">
              <w:rPr>
                <w:spacing w:val="80"/>
              </w:rPr>
              <w:t xml:space="preserve"> </w:t>
            </w:r>
            <w:r w:rsidRPr="000B545B">
              <w:t>with</w:t>
            </w:r>
            <w:r w:rsidRPr="000B545B">
              <w:rPr>
                <w:spacing w:val="80"/>
              </w:rPr>
              <w:t xml:space="preserve"> </w:t>
            </w:r>
            <w:r w:rsidRPr="000B545B">
              <w:t>Stakeholders and Member States</w:t>
            </w:r>
          </w:p>
        </w:tc>
        <w:tc>
          <w:tcPr>
            <w:tcW w:w="2983" w:type="dxa"/>
          </w:tcPr>
          <w:p w14:paraId="009D21BA" w14:textId="77777777" w:rsidR="00D749DB" w:rsidRPr="000B545B" w:rsidRDefault="00D749DB" w:rsidP="00DE2A1A">
            <w:pPr>
              <w:pStyle w:val="Tabletext"/>
            </w:pPr>
            <w:r w:rsidRPr="000B545B">
              <w:t>Various</w:t>
            </w:r>
            <w:r w:rsidRPr="000B545B">
              <w:rPr>
                <w:spacing w:val="-6"/>
              </w:rPr>
              <w:t xml:space="preserve"> </w:t>
            </w:r>
            <w:r w:rsidRPr="000B545B">
              <w:rPr>
                <w:spacing w:val="-2"/>
              </w:rPr>
              <w:t>locations</w:t>
            </w:r>
          </w:p>
        </w:tc>
      </w:tr>
      <w:tr w:rsidR="00D749DB" w:rsidRPr="000B545B" w14:paraId="7C21C7CE" w14:textId="77777777" w:rsidTr="00046348">
        <w:trPr>
          <w:cantSplit/>
          <w:jc w:val="center"/>
        </w:trPr>
        <w:tc>
          <w:tcPr>
            <w:tcW w:w="2268" w:type="dxa"/>
          </w:tcPr>
          <w:p w14:paraId="192E7182" w14:textId="77777777" w:rsidR="00D749DB" w:rsidRPr="000B545B" w:rsidRDefault="00D749DB" w:rsidP="00DE2A1A">
            <w:pPr>
              <w:pStyle w:val="Tabletext"/>
              <w:jc w:val="center"/>
            </w:pPr>
            <w:r w:rsidRPr="000B545B">
              <w:t>August</w:t>
            </w:r>
            <w:r w:rsidRPr="000B545B">
              <w:rPr>
                <w:spacing w:val="-3"/>
              </w:rPr>
              <w:t xml:space="preserve"> </w:t>
            </w:r>
            <w:r w:rsidRPr="000B545B">
              <w:t>2025</w:t>
            </w:r>
          </w:p>
        </w:tc>
        <w:tc>
          <w:tcPr>
            <w:tcW w:w="4106" w:type="dxa"/>
          </w:tcPr>
          <w:p w14:paraId="25C55554" w14:textId="77777777" w:rsidR="00D749DB" w:rsidRPr="000B545B" w:rsidRDefault="00D749DB" w:rsidP="00DE2A1A">
            <w:pPr>
              <w:pStyle w:val="Tabletext"/>
            </w:pPr>
            <w:r w:rsidRPr="000B545B">
              <w:t>Zero</w:t>
            </w:r>
            <w:r w:rsidRPr="000B545B">
              <w:rPr>
                <w:spacing w:val="-2"/>
              </w:rPr>
              <w:t xml:space="preserve"> Draft</w:t>
            </w:r>
          </w:p>
        </w:tc>
        <w:tc>
          <w:tcPr>
            <w:tcW w:w="2983" w:type="dxa"/>
          </w:tcPr>
          <w:p w14:paraId="1E674DD6" w14:textId="77777777" w:rsidR="00D749DB" w:rsidRPr="000B545B" w:rsidRDefault="00D749DB" w:rsidP="00DE2A1A">
            <w:pPr>
              <w:pStyle w:val="Tabletext"/>
            </w:pPr>
            <w:r w:rsidRPr="000B545B">
              <w:rPr>
                <w:spacing w:val="-10"/>
              </w:rPr>
              <w:t>-</w:t>
            </w:r>
          </w:p>
        </w:tc>
      </w:tr>
      <w:tr w:rsidR="00D749DB" w:rsidRPr="000B545B" w14:paraId="5B61A56E" w14:textId="77777777" w:rsidTr="00046348">
        <w:trPr>
          <w:cantSplit/>
          <w:jc w:val="center"/>
        </w:trPr>
        <w:tc>
          <w:tcPr>
            <w:tcW w:w="2268" w:type="dxa"/>
          </w:tcPr>
          <w:p w14:paraId="36FB2B76" w14:textId="77777777" w:rsidR="00D749DB" w:rsidRPr="000B545B" w:rsidRDefault="00D749DB" w:rsidP="00DE2A1A">
            <w:pPr>
              <w:pStyle w:val="Tabletext"/>
              <w:jc w:val="center"/>
            </w:pPr>
            <w:r w:rsidRPr="000B545B">
              <w:t>Mid-October</w:t>
            </w:r>
            <w:r w:rsidRPr="000B545B">
              <w:rPr>
                <w:spacing w:val="-6"/>
              </w:rPr>
              <w:t xml:space="preserve"> </w:t>
            </w:r>
            <w:r w:rsidRPr="000B545B">
              <w:t>2025</w:t>
            </w:r>
          </w:p>
        </w:tc>
        <w:tc>
          <w:tcPr>
            <w:tcW w:w="4106" w:type="dxa"/>
          </w:tcPr>
          <w:p w14:paraId="5CBF30FF" w14:textId="64666961" w:rsidR="00D749DB" w:rsidRPr="000B545B" w:rsidRDefault="00D749DB" w:rsidP="00DE2A1A">
            <w:pPr>
              <w:pStyle w:val="Tabletext"/>
            </w:pPr>
            <w:r w:rsidRPr="000B545B">
              <w:t>2</w:t>
            </w:r>
            <w:r w:rsidRPr="000B545B">
              <w:rPr>
                <w:vertAlign w:val="superscript"/>
              </w:rPr>
              <w:t>nd</w:t>
            </w:r>
            <w:r w:rsidR="000B545B">
              <w:t xml:space="preserve"> </w:t>
            </w:r>
            <w:r w:rsidRPr="000B545B">
              <w:rPr>
                <w:spacing w:val="-2"/>
              </w:rPr>
              <w:t>Preparatory</w:t>
            </w:r>
            <w:r w:rsidR="000B545B">
              <w:t xml:space="preserve"> </w:t>
            </w:r>
            <w:r w:rsidRPr="000B545B">
              <w:rPr>
                <w:spacing w:val="-2"/>
              </w:rPr>
              <w:t>Meeting</w:t>
            </w:r>
            <w:r w:rsidR="000B545B">
              <w:rPr>
                <w:spacing w:val="-2"/>
              </w:rPr>
              <w:t xml:space="preserve"> </w:t>
            </w:r>
            <w:r w:rsidRPr="000B545B">
              <w:rPr>
                <w:spacing w:val="-10"/>
              </w:rPr>
              <w:t xml:space="preserve">&amp; </w:t>
            </w:r>
            <w:r w:rsidRPr="000B545B">
              <w:t>Stocktaking Session</w:t>
            </w:r>
          </w:p>
        </w:tc>
        <w:tc>
          <w:tcPr>
            <w:tcW w:w="2983" w:type="dxa"/>
          </w:tcPr>
          <w:p w14:paraId="2DC78C64" w14:textId="77777777" w:rsidR="00D749DB" w:rsidRPr="000B545B" w:rsidRDefault="00D749DB" w:rsidP="00DE2A1A">
            <w:pPr>
              <w:pStyle w:val="Tabletext"/>
            </w:pPr>
            <w:proofErr w:type="spellStart"/>
            <w:r w:rsidRPr="000B545B">
              <w:t>UNHQ</w:t>
            </w:r>
            <w:proofErr w:type="spellEnd"/>
          </w:p>
        </w:tc>
      </w:tr>
      <w:tr w:rsidR="00D749DB" w:rsidRPr="000B545B" w14:paraId="05D70C14" w14:textId="77777777" w:rsidTr="00046348">
        <w:trPr>
          <w:cantSplit/>
          <w:jc w:val="center"/>
        </w:trPr>
        <w:tc>
          <w:tcPr>
            <w:tcW w:w="2268" w:type="dxa"/>
          </w:tcPr>
          <w:p w14:paraId="4C144347" w14:textId="77777777" w:rsidR="00D749DB" w:rsidRPr="000B545B" w:rsidRDefault="00D749DB" w:rsidP="00DE2A1A">
            <w:pPr>
              <w:pStyle w:val="Tabletext"/>
              <w:jc w:val="center"/>
            </w:pPr>
            <w:r w:rsidRPr="000B545B">
              <w:t>Mid-October</w:t>
            </w:r>
            <w:r w:rsidRPr="000B545B">
              <w:rPr>
                <w:spacing w:val="-6"/>
              </w:rPr>
              <w:t xml:space="preserve"> </w:t>
            </w:r>
            <w:r w:rsidRPr="000B545B">
              <w:t>2025</w:t>
            </w:r>
          </w:p>
        </w:tc>
        <w:tc>
          <w:tcPr>
            <w:tcW w:w="4106" w:type="dxa"/>
          </w:tcPr>
          <w:p w14:paraId="4065DE39" w14:textId="77777777" w:rsidR="00D749DB" w:rsidRPr="000B545B" w:rsidRDefault="00D749DB" w:rsidP="00DE2A1A">
            <w:pPr>
              <w:pStyle w:val="Tabletext"/>
            </w:pPr>
            <w:r w:rsidRPr="000B545B">
              <w:t>Consultations</w:t>
            </w:r>
            <w:r w:rsidRPr="000B545B">
              <w:rPr>
                <w:spacing w:val="-5"/>
              </w:rPr>
              <w:t xml:space="preserve"> </w:t>
            </w:r>
            <w:r w:rsidRPr="000B545B">
              <w:t xml:space="preserve">with </w:t>
            </w:r>
            <w:r w:rsidRPr="000B545B">
              <w:rPr>
                <w:spacing w:val="-2"/>
              </w:rPr>
              <w:t>Stakeholders</w:t>
            </w:r>
          </w:p>
        </w:tc>
        <w:tc>
          <w:tcPr>
            <w:tcW w:w="2983" w:type="dxa"/>
          </w:tcPr>
          <w:p w14:paraId="1F0B0BF9" w14:textId="77777777" w:rsidR="00D749DB" w:rsidRPr="000B545B" w:rsidRDefault="00D749DB" w:rsidP="00DE2A1A">
            <w:pPr>
              <w:pStyle w:val="Tabletext"/>
            </w:pPr>
            <w:r w:rsidRPr="000B545B">
              <w:rPr>
                <w:spacing w:val="-2"/>
              </w:rPr>
              <w:t>Virtual</w:t>
            </w:r>
          </w:p>
        </w:tc>
      </w:tr>
      <w:tr w:rsidR="00D749DB" w:rsidRPr="000B545B" w14:paraId="4D127FD6" w14:textId="77777777" w:rsidTr="00046348">
        <w:trPr>
          <w:cantSplit/>
          <w:jc w:val="center"/>
        </w:trPr>
        <w:tc>
          <w:tcPr>
            <w:tcW w:w="2268" w:type="dxa"/>
          </w:tcPr>
          <w:p w14:paraId="25F70CB8" w14:textId="77777777" w:rsidR="00D749DB" w:rsidRPr="000B545B" w:rsidRDefault="00D749DB" w:rsidP="00DE2A1A">
            <w:pPr>
              <w:pStyle w:val="Tabletext"/>
              <w:jc w:val="center"/>
            </w:pPr>
            <w:r w:rsidRPr="000B545B">
              <w:rPr>
                <w:spacing w:val="-2"/>
              </w:rPr>
              <w:t xml:space="preserve">October/November </w:t>
            </w:r>
            <w:r w:rsidRPr="000B545B">
              <w:t>2025</w:t>
            </w:r>
          </w:p>
        </w:tc>
        <w:tc>
          <w:tcPr>
            <w:tcW w:w="4106" w:type="dxa"/>
          </w:tcPr>
          <w:p w14:paraId="11AFC431" w14:textId="77777777" w:rsidR="00D749DB" w:rsidRPr="000B545B" w:rsidRDefault="00D749DB" w:rsidP="00DE2A1A">
            <w:pPr>
              <w:pStyle w:val="Tabletext"/>
            </w:pPr>
            <w:r w:rsidRPr="000B545B">
              <w:t>Informal</w:t>
            </w:r>
            <w:r w:rsidRPr="000B545B">
              <w:rPr>
                <w:spacing w:val="-3"/>
              </w:rPr>
              <w:t xml:space="preserve"> </w:t>
            </w:r>
            <w:r w:rsidRPr="000B545B">
              <w:rPr>
                <w:spacing w:val="-2"/>
              </w:rPr>
              <w:t>Negotiations</w:t>
            </w:r>
          </w:p>
        </w:tc>
        <w:tc>
          <w:tcPr>
            <w:tcW w:w="2983" w:type="dxa"/>
          </w:tcPr>
          <w:p w14:paraId="1F063B02" w14:textId="77777777" w:rsidR="00D749DB" w:rsidRPr="000B545B" w:rsidRDefault="00D749DB" w:rsidP="00DE2A1A">
            <w:pPr>
              <w:pStyle w:val="Tabletext"/>
            </w:pPr>
            <w:proofErr w:type="spellStart"/>
            <w:r w:rsidRPr="000B545B">
              <w:t>UNHQ</w:t>
            </w:r>
            <w:proofErr w:type="spellEnd"/>
          </w:p>
        </w:tc>
      </w:tr>
      <w:tr w:rsidR="00D749DB" w:rsidRPr="000B545B" w14:paraId="1719C812" w14:textId="77777777" w:rsidTr="00046348">
        <w:trPr>
          <w:cantSplit/>
          <w:jc w:val="center"/>
        </w:trPr>
        <w:tc>
          <w:tcPr>
            <w:tcW w:w="2268" w:type="dxa"/>
          </w:tcPr>
          <w:p w14:paraId="59BF12DA" w14:textId="77777777" w:rsidR="00D749DB" w:rsidRPr="000B545B" w:rsidRDefault="00D749DB" w:rsidP="00DE2A1A">
            <w:pPr>
              <w:pStyle w:val="Tabletext"/>
              <w:jc w:val="center"/>
            </w:pPr>
            <w:r w:rsidRPr="000B545B">
              <w:t>November</w:t>
            </w:r>
            <w:r w:rsidRPr="000B545B">
              <w:rPr>
                <w:spacing w:val="-5"/>
              </w:rPr>
              <w:t xml:space="preserve"> </w:t>
            </w:r>
            <w:r w:rsidRPr="000B545B">
              <w:t>2025</w:t>
            </w:r>
          </w:p>
        </w:tc>
        <w:tc>
          <w:tcPr>
            <w:tcW w:w="4106" w:type="dxa"/>
          </w:tcPr>
          <w:p w14:paraId="1243146F" w14:textId="77777777" w:rsidR="00D749DB" w:rsidRPr="000B545B" w:rsidRDefault="00D749DB" w:rsidP="00DE2A1A">
            <w:pPr>
              <w:pStyle w:val="Tabletext"/>
            </w:pPr>
            <w:r w:rsidRPr="000B545B">
              <w:t>Draft</w:t>
            </w:r>
            <w:r w:rsidRPr="000B545B">
              <w:rPr>
                <w:spacing w:val="-5"/>
              </w:rPr>
              <w:t xml:space="preserve"> </w:t>
            </w:r>
            <w:r w:rsidRPr="000B545B">
              <w:t xml:space="preserve">Outcome </w:t>
            </w:r>
            <w:r w:rsidRPr="000B545B">
              <w:rPr>
                <w:spacing w:val="-2"/>
              </w:rPr>
              <w:t>Document</w:t>
            </w:r>
          </w:p>
        </w:tc>
        <w:tc>
          <w:tcPr>
            <w:tcW w:w="2983" w:type="dxa"/>
          </w:tcPr>
          <w:p w14:paraId="327394A2" w14:textId="77777777" w:rsidR="00D749DB" w:rsidRPr="000B545B" w:rsidRDefault="00D749DB" w:rsidP="00DE2A1A">
            <w:pPr>
              <w:pStyle w:val="Tabletext"/>
            </w:pPr>
            <w:r w:rsidRPr="000B545B">
              <w:rPr>
                <w:spacing w:val="-10"/>
              </w:rPr>
              <w:t>-</w:t>
            </w:r>
          </w:p>
        </w:tc>
      </w:tr>
      <w:tr w:rsidR="00D749DB" w:rsidRPr="000B545B" w14:paraId="0A19DB40" w14:textId="77777777" w:rsidTr="00046348">
        <w:trPr>
          <w:cantSplit/>
          <w:jc w:val="center"/>
        </w:trPr>
        <w:tc>
          <w:tcPr>
            <w:tcW w:w="2268" w:type="dxa"/>
          </w:tcPr>
          <w:p w14:paraId="531D1D60" w14:textId="77777777" w:rsidR="00D749DB" w:rsidRPr="000B545B" w:rsidRDefault="00D749DB" w:rsidP="00DE2A1A">
            <w:pPr>
              <w:pStyle w:val="Tabletext"/>
              <w:jc w:val="center"/>
            </w:pPr>
            <w:r w:rsidRPr="000B545B">
              <w:t>November</w:t>
            </w:r>
            <w:r w:rsidRPr="000B545B">
              <w:rPr>
                <w:spacing w:val="-5"/>
              </w:rPr>
              <w:t xml:space="preserve"> </w:t>
            </w:r>
            <w:r w:rsidRPr="000B545B">
              <w:t>2025</w:t>
            </w:r>
          </w:p>
        </w:tc>
        <w:tc>
          <w:tcPr>
            <w:tcW w:w="4106" w:type="dxa"/>
          </w:tcPr>
          <w:p w14:paraId="1EFCC69E" w14:textId="77777777" w:rsidR="00D749DB" w:rsidRPr="000B545B" w:rsidRDefault="00D749DB" w:rsidP="00DE2A1A">
            <w:pPr>
              <w:pStyle w:val="Tabletext"/>
            </w:pPr>
            <w:r w:rsidRPr="000B545B">
              <w:t>Consultations</w:t>
            </w:r>
            <w:r w:rsidRPr="000B545B">
              <w:rPr>
                <w:spacing w:val="80"/>
              </w:rPr>
              <w:t xml:space="preserve"> </w:t>
            </w:r>
            <w:r w:rsidRPr="000B545B">
              <w:t>with</w:t>
            </w:r>
            <w:r w:rsidRPr="000B545B">
              <w:rPr>
                <w:spacing w:val="80"/>
              </w:rPr>
              <w:t xml:space="preserve"> </w:t>
            </w:r>
            <w:r w:rsidRPr="000B545B">
              <w:t>Stakeholders and Member States</w:t>
            </w:r>
          </w:p>
        </w:tc>
        <w:tc>
          <w:tcPr>
            <w:tcW w:w="2983" w:type="dxa"/>
          </w:tcPr>
          <w:p w14:paraId="625C4D99" w14:textId="77777777" w:rsidR="00D749DB" w:rsidRPr="000B545B" w:rsidRDefault="00D749DB" w:rsidP="00DE2A1A">
            <w:pPr>
              <w:pStyle w:val="Tabletext"/>
            </w:pPr>
            <w:proofErr w:type="spellStart"/>
            <w:r w:rsidRPr="000B545B">
              <w:t>UNHQ</w:t>
            </w:r>
            <w:proofErr w:type="spellEnd"/>
          </w:p>
        </w:tc>
      </w:tr>
      <w:tr w:rsidR="00D749DB" w:rsidRPr="000B545B" w14:paraId="643308F8" w14:textId="77777777" w:rsidTr="00046348">
        <w:trPr>
          <w:cantSplit/>
          <w:jc w:val="center"/>
        </w:trPr>
        <w:tc>
          <w:tcPr>
            <w:tcW w:w="2268" w:type="dxa"/>
          </w:tcPr>
          <w:p w14:paraId="1CFCD29C" w14:textId="4EAC9944" w:rsidR="00D749DB" w:rsidRPr="000B545B" w:rsidRDefault="00D749DB" w:rsidP="00DE2A1A">
            <w:pPr>
              <w:pStyle w:val="Tabletext"/>
              <w:jc w:val="center"/>
            </w:pPr>
            <w:r w:rsidRPr="000B545B">
              <w:rPr>
                <w:spacing w:val="-2"/>
              </w:rPr>
              <w:t>16-</w:t>
            </w:r>
            <w:r w:rsidRPr="000B545B">
              <w:rPr>
                <w:spacing w:val="-7"/>
              </w:rPr>
              <w:t>17</w:t>
            </w:r>
            <w:r w:rsidR="000B545B">
              <w:rPr>
                <w:spacing w:val="-7"/>
              </w:rPr>
              <w:t xml:space="preserve"> </w:t>
            </w:r>
            <w:r w:rsidRPr="000B545B">
              <w:rPr>
                <w:spacing w:val="-2"/>
              </w:rPr>
              <w:t>December</w:t>
            </w:r>
            <w:r w:rsidR="000B545B">
              <w:rPr>
                <w:spacing w:val="-2"/>
              </w:rPr>
              <w:t xml:space="preserve"> </w:t>
            </w:r>
            <w:r w:rsidR="000B545B" w:rsidRPr="000B545B">
              <w:t>2025</w:t>
            </w:r>
          </w:p>
        </w:tc>
        <w:tc>
          <w:tcPr>
            <w:tcW w:w="4106" w:type="dxa"/>
          </w:tcPr>
          <w:p w14:paraId="2A287288" w14:textId="77777777" w:rsidR="00D749DB" w:rsidRPr="000B545B" w:rsidRDefault="00D749DB" w:rsidP="00DE2A1A">
            <w:pPr>
              <w:pStyle w:val="Tabletext"/>
            </w:pPr>
            <w:r w:rsidRPr="000B545B">
              <w:t>High-level</w:t>
            </w:r>
            <w:r w:rsidRPr="000B545B">
              <w:rPr>
                <w:spacing w:val="25"/>
              </w:rPr>
              <w:t xml:space="preserve"> </w:t>
            </w:r>
            <w:r w:rsidRPr="000B545B">
              <w:t>meeting</w:t>
            </w:r>
            <w:r w:rsidRPr="000B545B">
              <w:rPr>
                <w:spacing w:val="25"/>
              </w:rPr>
              <w:t xml:space="preserve"> </w:t>
            </w:r>
            <w:r w:rsidRPr="000B545B">
              <w:t>of</w:t>
            </w:r>
            <w:r w:rsidRPr="000B545B">
              <w:rPr>
                <w:spacing w:val="26"/>
              </w:rPr>
              <w:t xml:space="preserve"> </w:t>
            </w:r>
            <w:r w:rsidRPr="000B545B">
              <w:t>the</w:t>
            </w:r>
            <w:r w:rsidRPr="000B545B">
              <w:rPr>
                <w:spacing w:val="24"/>
              </w:rPr>
              <w:t xml:space="preserve"> </w:t>
            </w:r>
            <w:r w:rsidRPr="000B545B">
              <w:rPr>
                <w:spacing w:val="-2"/>
              </w:rPr>
              <w:t>General</w:t>
            </w:r>
          </w:p>
        </w:tc>
        <w:tc>
          <w:tcPr>
            <w:tcW w:w="2983" w:type="dxa"/>
          </w:tcPr>
          <w:p w14:paraId="6CBE864C" w14:textId="77777777" w:rsidR="00D749DB" w:rsidRPr="000B545B" w:rsidRDefault="00D749DB" w:rsidP="00DE2A1A">
            <w:pPr>
              <w:pStyle w:val="Tabletext"/>
            </w:pPr>
            <w:proofErr w:type="spellStart"/>
            <w:r w:rsidRPr="000B545B">
              <w:t>UNHQ</w:t>
            </w:r>
            <w:proofErr w:type="spellEnd"/>
          </w:p>
        </w:tc>
      </w:tr>
    </w:tbl>
    <w:p w14:paraId="14EBF993" w14:textId="77777777" w:rsidR="00D749DB" w:rsidRPr="000B545B" w:rsidRDefault="00D749DB" w:rsidP="00956439">
      <w:pPr>
        <w:pStyle w:val="Tablefin"/>
      </w:pPr>
    </w:p>
    <w:p w14:paraId="3BD229F6" w14:textId="77777777" w:rsidR="00D749DB" w:rsidRPr="000B545B" w:rsidRDefault="00D749DB">
      <w:pPr>
        <w:jc w:val="both"/>
      </w:pPr>
      <w:r w:rsidRPr="000B545B">
        <w:t xml:space="preserve">The Co-Facilitators of the </w:t>
      </w:r>
      <w:proofErr w:type="spellStart"/>
      <w:r w:rsidRPr="000B545B">
        <w:t>WSIS+20</w:t>
      </w:r>
      <w:proofErr w:type="spellEnd"/>
      <w:r w:rsidRPr="000B545B">
        <w:t xml:space="preserve"> review process have issued the Elements Paper, which summarizes key themes, priorities, and proposals emerging from preparatory discussions and </w:t>
      </w:r>
      <w:r w:rsidRPr="000B545B">
        <w:rPr>
          <w:lang w:eastAsia="ko-KR"/>
        </w:rPr>
        <w:t>stakeholder</w:t>
      </w:r>
      <w:r w:rsidRPr="000B545B">
        <w:t xml:space="preserve"> consultations to date. This paper aims to guide ongoing dialogue with Member States and stakeholders in the lead-up to the review.</w:t>
      </w:r>
    </w:p>
    <w:p w14:paraId="08A086A1" w14:textId="77777777" w:rsidR="00D749DB" w:rsidRPr="000B545B" w:rsidRDefault="00D749DB">
      <w:pPr>
        <w:jc w:val="both"/>
      </w:pPr>
      <w:r w:rsidRPr="000B545B">
        <w:t xml:space="preserve">All stakeholders were invited to submit written inputs by 25 July 2025 via the submission form. The </w:t>
      </w:r>
      <w:r w:rsidRPr="000B545B">
        <w:rPr>
          <w:lang w:eastAsia="ko-KR"/>
        </w:rPr>
        <w:t>Elements</w:t>
      </w:r>
      <w:r w:rsidRPr="000B545B">
        <w:t xml:space="preserve"> Paper can be accessed </w:t>
      </w:r>
      <w:hyperlink r:id="rId37" w:tgtFrame="_blank" w:tooltip="https://www.un.org/pga/79/2025/02/07/letter-from-president-general-assembly-on-world-summit-on-the-information-society-zero-draft/" w:history="1">
        <w:r w:rsidRPr="000B545B">
          <w:rPr>
            <w:rStyle w:val="Hyperlink"/>
          </w:rPr>
          <w:t>here</w:t>
        </w:r>
      </w:hyperlink>
      <w:r w:rsidRPr="000B545B">
        <w:t>.</w:t>
      </w:r>
    </w:p>
    <w:p w14:paraId="1159942D" w14:textId="77777777" w:rsidR="00D749DB" w:rsidRPr="000B545B" w:rsidRDefault="00D749DB">
      <w:pPr>
        <w:jc w:val="both"/>
      </w:pPr>
      <w:r w:rsidRPr="000B545B">
        <w:t xml:space="preserve">ITU contributed to the Elements Paper, both through its own input and via the </w:t>
      </w:r>
      <w:proofErr w:type="spellStart"/>
      <w:r w:rsidRPr="000B545B">
        <w:t>UNGIS</w:t>
      </w:r>
      <w:proofErr w:type="spellEnd"/>
      <w:r w:rsidRPr="000B545B">
        <w:t xml:space="preserve"> submission, which also served as a separate contribution from </w:t>
      </w:r>
      <w:proofErr w:type="spellStart"/>
      <w:r w:rsidRPr="000B545B">
        <w:t>UNGIS</w:t>
      </w:r>
      <w:proofErr w:type="spellEnd"/>
      <w:r w:rsidRPr="000B545B">
        <w:t>.</w:t>
      </w:r>
    </w:p>
    <w:p w14:paraId="012E763E" w14:textId="77777777" w:rsidR="00D749DB" w:rsidRPr="000B545B" w:rsidRDefault="00D749DB" w:rsidP="00DE2A1A">
      <w:pPr>
        <w:pStyle w:val="Headingb"/>
      </w:pPr>
      <w:proofErr w:type="spellStart"/>
      <w:r w:rsidRPr="000B545B">
        <w:t>WSIS+20</w:t>
      </w:r>
      <w:proofErr w:type="spellEnd"/>
      <w:r w:rsidRPr="000B545B">
        <w:t xml:space="preserve"> Action Lines milestones, challenges and emerging trends beyond 2025</w:t>
      </w:r>
    </w:p>
    <w:p w14:paraId="6E7ADEB2" w14:textId="77777777" w:rsidR="00D749DB" w:rsidRPr="000B545B" w:rsidRDefault="00D749DB">
      <w:pPr>
        <w:jc w:val="both"/>
      </w:pPr>
      <w:r w:rsidRPr="000B545B">
        <w:t xml:space="preserve">The WSIS Action Lines serve as a key framework for advancing progress towards the achievement of the SDGs. The WSIS Action Lines cover eleven areas of focus with technology serving as a key enabler for sustainable development. The WSIS-SDG Matrix, developed by the UN Action Line Facilitators, clearly shows the linkage between each Action Line and the 17 SDGs and provides the rationale for each. </w:t>
      </w:r>
    </w:p>
    <w:p w14:paraId="7ABE3904" w14:textId="77777777" w:rsidR="00D749DB" w:rsidRPr="000B545B" w:rsidRDefault="00D749DB">
      <w:pPr>
        <w:jc w:val="both"/>
      </w:pPr>
      <w:r w:rsidRPr="000B545B">
        <w:t xml:space="preserve">The ITU, together with other WSIS Action Line facilitators from other UN agencies, has prepared </w:t>
      </w:r>
      <w:r w:rsidRPr="000B545B">
        <w:rPr>
          <w:lang w:eastAsia="ko-KR"/>
        </w:rPr>
        <w:t>presentations</w:t>
      </w:r>
      <w:r w:rsidRPr="000B545B">
        <w:t xml:space="preserve"> highlighting key milestones, challenges, and emerging trends beyond 2025. The presentations are available </w:t>
      </w:r>
      <w:hyperlink r:id="rId38" w:anchor="actionLines" w:history="1">
        <w:r w:rsidRPr="000B545B">
          <w:rPr>
            <w:rStyle w:val="Hyperlink"/>
            <w:bCs/>
          </w:rPr>
          <w:t>here</w:t>
        </w:r>
      </w:hyperlink>
      <w:r w:rsidRPr="000B545B">
        <w:t xml:space="preserve">. </w:t>
      </w:r>
    </w:p>
    <w:p w14:paraId="6E9E3879" w14:textId="77777777" w:rsidR="00D749DB" w:rsidRPr="000B545B" w:rsidRDefault="00D749DB" w:rsidP="00DE2A1A">
      <w:pPr>
        <w:pStyle w:val="Headingb"/>
      </w:pPr>
      <w:r>
        <w:t xml:space="preserve">ITU’s call for inputs on the </w:t>
      </w:r>
      <w:proofErr w:type="spellStart"/>
      <w:r>
        <w:t>WSIS+20</w:t>
      </w:r>
      <w:proofErr w:type="spellEnd"/>
      <w:r>
        <w:t xml:space="preserve"> Review</w:t>
      </w:r>
    </w:p>
    <w:p w14:paraId="46E97B0F" w14:textId="77777777" w:rsidR="00D749DB" w:rsidRPr="000B545B" w:rsidRDefault="00D749DB">
      <w:pPr>
        <w:jc w:val="both"/>
        <w:rPr>
          <w:rFonts w:asciiTheme="minorHAnsi" w:hAnsiTheme="minorHAnsi"/>
          <w:szCs w:val="24"/>
          <w:lang w:eastAsia="ko-KR"/>
        </w:rPr>
      </w:pPr>
      <w:r w:rsidRPr="000B545B">
        <w:rPr>
          <w:rFonts w:asciiTheme="minorHAnsi" w:hAnsiTheme="minorHAnsi"/>
          <w:szCs w:val="24"/>
          <w:lang w:eastAsia="ko-KR"/>
        </w:rPr>
        <w:t xml:space="preserve">In </w:t>
      </w:r>
      <w:r w:rsidRPr="000B545B">
        <w:rPr>
          <w:lang w:eastAsia="ko-KR"/>
        </w:rPr>
        <w:t>accordance</w:t>
      </w:r>
      <w:r w:rsidRPr="000B545B">
        <w:rPr>
          <w:rFonts w:asciiTheme="minorHAnsi" w:hAnsiTheme="minorHAnsi"/>
          <w:szCs w:val="24"/>
          <w:lang w:eastAsia="ko-KR"/>
        </w:rPr>
        <w:t xml:space="preserve"> with ITU Council Resolution 1332, ITU launched a </w:t>
      </w:r>
      <w:hyperlink r:id="rId39" w:history="1">
        <w:r w:rsidRPr="000B545B">
          <w:rPr>
            <w:rStyle w:val="Hyperlink"/>
            <w:rFonts w:asciiTheme="minorHAnsi" w:hAnsiTheme="minorHAnsi"/>
            <w:szCs w:val="24"/>
            <w:lang w:eastAsia="ko-KR"/>
          </w:rPr>
          <w:t xml:space="preserve">call for inputs on </w:t>
        </w:r>
        <w:proofErr w:type="spellStart"/>
        <w:r w:rsidRPr="000B545B">
          <w:rPr>
            <w:rStyle w:val="Hyperlink"/>
            <w:rFonts w:asciiTheme="minorHAnsi" w:hAnsiTheme="minorHAnsi"/>
            <w:szCs w:val="24"/>
            <w:lang w:eastAsia="ko-KR"/>
          </w:rPr>
          <w:t>WSIS+20</w:t>
        </w:r>
        <w:proofErr w:type="spellEnd"/>
        <w:r w:rsidRPr="000B545B">
          <w:rPr>
            <w:rStyle w:val="Hyperlink"/>
            <w:rFonts w:asciiTheme="minorHAnsi" w:hAnsiTheme="minorHAnsi"/>
            <w:szCs w:val="24"/>
            <w:lang w:eastAsia="ko-KR"/>
          </w:rPr>
          <w:t xml:space="preserve"> review</w:t>
        </w:r>
      </w:hyperlink>
      <w:r w:rsidRPr="000B545B">
        <w:rPr>
          <w:rFonts w:asciiTheme="minorHAnsi" w:hAnsiTheme="minorHAnsi"/>
          <w:szCs w:val="24"/>
          <w:lang w:eastAsia="ko-KR"/>
        </w:rPr>
        <w:t xml:space="preserve">. Members and other stakeholders were invited by the Chair of the </w:t>
      </w:r>
      <w:proofErr w:type="spellStart"/>
      <w:r w:rsidRPr="000B545B">
        <w:rPr>
          <w:rFonts w:asciiTheme="minorHAnsi" w:hAnsiTheme="minorHAnsi"/>
          <w:szCs w:val="24"/>
          <w:lang w:eastAsia="ko-KR"/>
        </w:rPr>
        <w:t>CWG-WSIS&amp;SDG</w:t>
      </w:r>
      <w:proofErr w:type="spellEnd"/>
      <w:r w:rsidRPr="000B545B">
        <w:rPr>
          <w:rFonts w:asciiTheme="minorHAnsi" w:hAnsiTheme="minorHAnsi"/>
          <w:szCs w:val="24"/>
          <w:lang w:eastAsia="ko-KR"/>
        </w:rPr>
        <w:t xml:space="preserve"> to contribute their views on the work of the ITU in the </w:t>
      </w:r>
      <w:proofErr w:type="spellStart"/>
      <w:r w:rsidRPr="000B545B">
        <w:rPr>
          <w:rFonts w:asciiTheme="minorHAnsi" w:hAnsiTheme="minorHAnsi"/>
          <w:szCs w:val="24"/>
          <w:lang w:eastAsia="ko-KR"/>
        </w:rPr>
        <w:t>WSIS+20</w:t>
      </w:r>
      <w:proofErr w:type="spellEnd"/>
      <w:r w:rsidRPr="000B545B">
        <w:rPr>
          <w:rFonts w:asciiTheme="minorHAnsi" w:hAnsiTheme="minorHAnsi"/>
          <w:szCs w:val="24"/>
          <w:lang w:eastAsia="ko-KR"/>
        </w:rPr>
        <w:t xml:space="preserve"> review, including ideas related to the review of the WSIS Action Lines. </w:t>
      </w:r>
    </w:p>
    <w:p w14:paraId="0622C718" w14:textId="6BEA676C" w:rsidR="00D749DB" w:rsidRPr="000B545B" w:rsidRDefault="00D749DB" w:rsidP="5E4DB967">
      <w:pPr>
        <w:jc w:val="both"/>
        <w:rPr>
          <w:rFonts w:asciiTheme="minorHAnsi" w:hAnsiTheme="minorHAnsi"/>
          <w:lang w:eastAsia="ko-KR"/>
        </w:rPr>
      </w:pPr>
      <w:r w:rsidRPr="428CF165">
        <w:rPr>
          <w:rFonts w:asciiTheme="minorHAnsi" w:hAnsiTheme="minorHAnsi" w:cstheme="minorBidi"/>
        </w:rPr>
        <w:t xml:space="preserve">Out of 97 </w:t>
      </w:r>
      <w:r w:rsidRPr="428CF165">
        <w:rPr>
          <w:lang w:eastAsia="ko-KR"/>
        </w:rPr>
        <w:t>submissions</w:t>
      </w:r>
      <w:r w:rsidRPr="428CF165">
        <w:rPr>
          <w:rFonts w:asciiTheme="minorHAnsi" w:hAnsiTheme="minorHAnsi" w:cstheme="minorBidi"/>
        </w:rPr>
        <w:t xml:space="preserve"> received, some of which included input from various entities, including governments within regional groups, 62 were published upon consent: </w:t>
      </w:r>
      <w:hyperlink r:id="rId40">
        <w:proofErr w:type="spellStart"/>
        <w:r w:rsidRPr="428CF165">
          <w:rPr>
            <w:rStyle w:val="Hyperlink"/>
            <w:rFonts w:asciiTheme="minorHAnsi" w:hAnsiTheme="minorHAnsi" w:cstheme="minorBidi"/>
          </w:rPr>
          <w:t>CWG-WSIS&amp;SDG</w:t>
        </w:r>
        <w:proofErr w:type="spellEnd"/>
        <w:r w:rsidRPr="428CF165">
          <w:rPr>
            <w:rStyle w:val="Hyperlink"/>
            <w:rFonts w:asciiTheme="minorHAnsi" w:hAnsiTheme="minorHAnsi" w:cstheme="minorBidi"/>
          </w:rPr>
          <w:t xml:space="preserve"> Call for Inputs on the </w:t>
        </w:r>
        <w:proofErr w:type="spellStart"/>
        <w:r w:rsidRPr="428CF165">
          <w:rPr>
            <w:rStyle w:val="Hyperlink"/>
            <w:rFonts w:asciiTheme="minorHAnsi" w:hAnsiTheme="minorHAnsi" w:cstheme="minorBidi"/>
          </w:rPr>
          <w:t>WSIS+20</w:t>
        </w:r>
        <w:proofErr w:type="spellEnd"/>
        <w:r w:rsidRPr="428CF165">
          <w:rPr>
            <w:rStyle w:val="Hyperlink"/>
            <w:rFonts w:asciiTheme="minorHAnsi" w:hAnsiTheme="minorHAnsi" w:cstheme="minorBidi"/>
          </w:rPr>
          <w:t xml:space="preserve"> Review Responses</w:t>
        </w:r>
      </w:hyperlink>
      <w:r>
        <w:t>. The summary of submissions was presented to the ITU Council 2025 (</w:t>
      </w:r>
      <w:r w:rsidR="000B545B">
        <w:t xml:space="preserve">Document </w:t>
      </w:r>
      <w:hyperlink r:id="rId41">
        <w:proofErr w:type="spellStart"/>
        <w:r w:rsidRPr="428CF165">
          <w:rPr>
            <w:rStyle w:val="Hyperlink"/>
          </w:rPr>
          <w:t>C25</w:t>
        </w:r>
        <w:proofErr w:type="spellEnd"/>
        <w:r w:rsidRPr="428CF165">
          <w:rPr>
            <w:rStyle w:val="Hyperlink"/>
          </w:rPr>
          <w:t>/53</w:t>
        </w:r>
      </w:hyperlink>
      <w:r>
        <w:t xml:space="preserve">). </w:t>
      </w:r>
    </w:p>
    <w:p w14:paraId="7F3C929F" w14:textId="77777777" w:rsidR="00D749DB" w:rsidRPr="000B545B" w:rsidRDefault="00D749DB" w:rsidP="00DE2A1A">
      <w:pPr>
        <w:pStyle w:val="Headingb"/>
      </w:pPr>
      <w:r w:rsidRPr="000B545B">
        <w:lastRenderedPageBreak/>
        <w:t>Alignment with other UN digital governance processes</w:t>
      </w:r>
    </w:p>
    <w:p w14:paraId="51D1D2B9" w14:textId="03C6FFC0" w:rsidR="00D749DB" w:rsidRPr="000B545B" w:rsidRDefault="00D749DB">
      <w:pPr>
        <w:jc w:val="both"/>
        <w:rPr>
          <w:lang w:eastAsia="ko-KR"/>
        </w:rPr>
      </w:pPr>
      <w:r w:rsidRPr="428CF165">
        <w:rPr>
          <w:lang w:eastAsia="ko-KR"/>
        </w:rPr>
        <w:t>On 22 September 2024, Member States adopted the Pact for the Future, which includes the Global Digital Compact (</w:t>
      </w:r>
      <w:proofErr w:type="spellStart"/>
      <w:r w:rsidRPr="428CF165">
        <w:rPr>
          <w:lang w:eastAsia="ko-KR"/>
        </w:rPr>
        <w:t>GDC</w:t>
      </w:r>
      <w:proofErr w:type="spellEnd"/>
      <w:r w:rsidRPr="428CF165">
        <w:rPr>
          <w:lang w:eastAsia="ko-KR"/>
        </w:rPr>
        <w:t xml:space="preserve">). In paragraph 71, the </w:t>
      </w:r>
      <w:proofErr w:type="spellStart"/>
      <w:r w:rsidRPr="428CF165">
        <w:rPr>
          <w:lang w:eastAsia="ko-KR"/>
        </w:rPr>
        <w:t>GDC</w:t>
      </w:r>
      <w:proofErr w:type="spellEnd"/>
      <w:r w:rsidRPr="428CF165">
        <w:rPr>
          <w:lang w:eastAsia="ko-KR"/>
        </w:rPr>
        <w:t xml:space="preserve"> requests the UN Secretary-General to provide a Compact implem</w:t>
      </w:r>
      <w:r w:rsidR="3E7F4966" w:rsidRPr="428CF165">
        <w:rPr>
          <w:lang w:eastAsia="ko-KR"/>
        </w:rPr>
        <w:t>en</w:t>
      </w:r>
      <w:r w:rsidRPr="428CF165">
        <w:rPr>
          <w:lang w:eastAsia="ko-KR"/>
        </w:rPr>
        <w:t xml:space="preserve">tation map for consideration by Governments and other stakeholders. This </w:t>
      </w:r>
      <w:hyperlink r:id="rId42">
        <w:proofErr w:type="spellStart"/>
        <w:r w:rsidR="7E86DC02" w:rsidRPr="428CF165">
          <w:rPr>
            <w:rStyle w:val="Hyperlink"/>
            <w:lang w:eastAsia="ko-KR"/>
          </w:rPr>
          <w:t>GDC</w:t>
        </w:r>
        <w:proofErr w:type="spellEnd"/>
        <w:r w:rsidR="7E86DC02" w:rsidRPr="428CF165">
          <w:rPr>
            <w:rStyle w:val="Hyperlink"/>
            <w:lang w:eastAsia="ko-KR"/>
          </w:rPr>
          <w:t xml:space="preserve"> </w:t>
        </w:r>
        <w:r w:rsidR="03B8FA97" w:rsidRPr="428CF165">
          <w:rPr>
            <w:rStyle w:val="Hyperlink"/>
            <w:lang w:eastAsia="ko-KR"/>
          </w:rPr>
          <w:t>Implementation M</w:t>
        </w:r>
        <w:r w:rsidRPr="428CF165">
          <w:rPr>
            <w:rStyle w:val="Hyperlink"/>
            <w:lang w:eastAsia="ko-KR"/>
          </w:rPr>
          <w:t>ap</w:t>
        </w:r>
      </w:hyperlink>
      <w:r w:rsidRPr="428CF165">
        <w:rPr>
          <w:lang w:eastAsia="ko-KR"/>
        </w:rPr>
        <w:t xml:space="preserve"> </w:t>
      </w:r>
      <w:r w:rsidR="39479CBD" w:rsidRPr="428CF165">
        <w:rPr>
          <w:lang w:eastAsia="ko-KR"/>
        </w:rPr>
        <w:t xml:space="preserve">has been completed and </w:t>
      </w:r>
      <w:r w:rsidR="0B08F7C0" w:rsidRPr="428CF165">
        <w:rPr>
          <w:lang w:eastAsia="ko-KR"/>
        </w:rPr>
        <w:t xml:space="preserve">as per paragraph 71, </w:t>
      </w:r>
      <w:r w:rsidRPr="428CF165">
        <w:rPr>
          <w:lang w:eastAsia="ko-KR"/>
        </w:rPr>
        <w:t>reflect</w:t>
      </w:r>
      <w:r w:rsidR="704F889C" w:rsidRPr="428CF165">
        <w:rPr>
          <w:lang w:eastAsia="ko-KR"/>
        </w:rPr>
        <w:t>s</w:t>
      </w:r>
      <w:r w:rsidRPr="428CF165">
        <w:rPr>
          <w:lang w:eastAsia="ko-KR"/>
        </w:rPr>
        <w:t xml:space="preserve"> the contributions of the United Nations system and other relevant stakeholders and will be included in the UN Secretary-General's report on the progress made in implementing and following up on the outcomes of the World Summit on the Information Society, at both regional and international levels, ahead of the </w:t>
      </w:r>
      <w:proofErr w:type="spellStart"/>
      <w:r w:rsidRPr="428CF165">
        <w:rPr>
          <w:lang w:eastAsia="ko-KR"/>
        </w:rPr>
        <w:t>WSIS+20</w:t>
      </w:r>
      <w:proofErr w:type="spellEnd"/>
      <w:r w:rsidRPr="428CF165">
        <w:rPr>
          <w:lang w:eastAsia="ko-KR"/>
        </w:rPr>
        <w:t xml:space="preserve"> review. The </w:t>
      </w:r>
      <w:proofErr w:type="spellStart"/>
      <w:r w:rsidRPr="428CF165">
        <w:rPr>
          <w:lang w:eastAsia="ko-KR"/>
        </w:rPr>
        <w:t>GDC</w:t>
      </w:r>
      <w:proofErr w:type="spellEnd"/>
      <w:r w:rsidRPr="428CF165">
        <w:rPr>
          <w:lang w:eastAsia="ko-KR"/>
        </w:rPr>
        <w:t xml:space="preserve"> and the </w:t>
      </w:r>
      <w:proofErr w:type="spellStart"/>
      <w:r w:rsidRPr="428CF165">
        <w:rPr>
          <w:lang w:eastAsia="ko-KR"/>
        </w:rPr>
        <w:t>WSIS+20</w:t>
      </w:r>
      <w:proofErr w:type="spellEnd"/>
      <w:r w:rsidRPr="428CF165">
        <w:rPr>
          <w:lang w:eastAsia="ko-KR"/>
        </w:rPr>
        <w:t xml:space="preserve"> review are closely aligned in their shared objective of advancing global digital cooperation and addressing the evolving challenges of the digital age.</w:t>
      </w:r>
    </w:p>
    <w:p w14:paraId="55850314" w14:textId="0705D91F" w:rsidR="00D749DB" w:rsidRPr="000B545B" w:rsidRDefault="00D749DB" w:rsidP="005D7BB1">
      <w:pPr>
        <w:jc w:val="both"/>
      </w:pPr>
      <w:r>
        <w:t>At its 28th annual session, the Commission on Science and Technology for Development (</w:t>
      </w:r>
      <w:proofErr w:type="spellStart"/>
      <w:r>
        <w:t>CSTD</w:t>
      </w:r>
      <w:proofErr w:type="spellEnd"/>
      <w:r>
        <w:t>) finalized the ECOSOC resolution titled “Assessment of the progress made in the implementation of and follow-up to the outcomes of the World Summit on the Information Society” (</w:t>
      </w:r>
      <w:r w:rsidR="00A23719">
        <w:t>Report </w:t>
      </w:r>
      <w:hyperlink r:id="rId43">
        <w:r w:rsidRPr="428CF165">
          <w:rPr>
            <w:rStyle w:val="Hyperlink"/>
          </w:rPr>
          <w:t>E/2025/31–E/</w:t>
        </w:r>
        <w:proofErr w:type="spellStart"/>
        <w:r w:rsidRPr="428CF165">
          <w:rPr>
            <w:rStyle w:val="Hyperlink"/>
          </w:rPr>
          <w:t>CN.16</w:t>
        </w:r>
        <w:proofErr w:type="spellEnd"/>
        <w:r w:rsidRPr="428CF165">
          <w:rPr>
            <w:rStyle w:val="Hyperlink"/>
          </w:rPr>
          <w:t>/2025/4</w:t>
        </w:r>
      </w:hyperlink>
      <w:r>
        <w:t>).</w:t>
      </w:r>
      <w:r w:rsidR="00C91B8C">
        <w:t xml:space="preserve"> </w:t>
      </w:r>
      <w:r w:rsidR="00137159">
        <w:t>The resolution was approved by the ECOSOC 2025 Management Segment on 29 July 2025. It</w:t>
      </w:r>
      <w:r>
        <w:t xml:space="preserve"> emphasizes the importance of integrating the implementation of the </w:t>
      </w:r>
      <w:proofErr w:type="spellStart"/>
      <w:r>
        <w:t>GDC</w:t>
      </w:r>
      <w:proofErr w:type="spellEnd"/>
      <w:r>
        <w:t xml:space="preserve"> commitments into the WSIS architecture.</w:t>
      </w:r>
    </w:p>
    <w:p w14:paraId="60670534" w14:textId="0FCE1EAD" w:rsidR="00D749DB" w:rsidRPr="000B545B" w:rsidRDefault="00DE2A1A" w:rsidP="00DE2A1A">
      <w:pPr>
        <w:pStyle w:val="enumlev1"/>
        <w:jc w:val="both"/>
        <w:rPr>
          <w:i/>
          <w:iCs/>
        </w:rPr>
      </w:pPr>
      <w:r w:rsidRPr="000B545B">
        <w:rPr>
          <w:i/>
          <w:iCs/>
        </w:rPr>
        <w:tab/>
      </w:r>
      <w:r w:rsidR="00D749DB" w:rsidRPr="000B545B">
        <w:rPr>
          <w:i/>
          <w:iCs/>
        </w:rPr>
        <w:t>Recognizing the importance of integrating the implementation of the Global Digital Compact commitments into the World Summit architecture</w:t>
      </w:r>
      <w:r w:rsidR="00A23719">
        <w:rPr>
          <w:i/>
          <w:iCs/>
        </w:rPr>
        <w:t xml:space="preserve"> </w:t>
      </w:r>
      <w:r w:rsidR="00D749DB" w:rsidRPr="000B545B">
        <w:rPr>
          <w:i/>
          <w:iCs/>
        </w:rPr>
        <w:t>in order to avoid duplications and ensure a cohesive and consistent approach to digital cooperation,</w:t>
      </w:r>
    </w:p>
    <w:p w14:paraId="7D40D0D8" w14:textId="68310161" w:rsidR="00D749DB" w:rsidRPr="000B545B" w:rsidRDefault="00DE2A1A" w:rsidP="00DE2A1A">
      <w:pPr>
        <w:pStyle w:val="enumlev1"/>
        <w:jc w:val="both"/>
        <w:rPr>
          <w:i/>
          <w:iCs/>
        </w:rPr>
      </w:pPr>
      <w:r w:rsidRPr="000B545B">
        <w:rPr>
          <w:i/>
          <w:iCs/>
        </w:rPr>
        <w:tab/>
      </w:r>
      <w:r w:rsidR="00D749DB" w:rsidRPr="000B545B">
        <w:rPr>
          <w:i/>
          <w:iCs/>
        </w:rPr>
        <w:t xml:space="preserve">129. Looks forward to continuing consultations and engagements towards the implementation of the Global Digital Compact, building on the World Summit on Information Society architecture, including the World Summit 20-year review, and underlines the importance of ensuring synergies and avoiding duplication within the United Nations system and across various entities, building on established mechanisms and maximizing global digital cooperation; </w:t>
      </w:r>
    </w:p>
    <w:p w14:paraId="156E2C3D" w14:textId="41614020" w:rsidR="00D749DB" w:rsidRPr="000B545B" w:rsidRDefault="00DE2A1A" w:rsidP="00DE2A1A">
      <w:pPr>
        <w:pStyle w:val="enumlev1"/>
        <w:jc w:val="both"/>
        <w:rPr>
          <w:i/>
          <w:iCs/>
        </w:rPr>
      </w:pPr>
      <w:r w:rsidRPr="000B545B">
        <w:rPr>
          <w:i/>
          <w:iCs/>
        </w:rPr>
        <w:tab/>
      </w:r>
      <w:r w:rsidR="00D749DB" w:rsidRPr="000B545B">
        <w:rPr>
          <w:i/>
          <w:iCs/>
        </w:rPr>
        <w:t>131. Recommends that, as an outcome of the World Summit 20-year review, the Global Digital Compact commitments be integrated, as appropriate, by the corresponding facilitators into the work of the World Summit action lines;</w:t>
      </w:r>
    </w:p>
    <w:p w14:paraId="2E81FFCF" w14:textId="70C35659" w:rsidR="00D749DB" w:rsidRPr="000B545B" w:rsidRDefault="00DE2A1A" w:rsidP="00DE2A1A">
      <w:pPr>
        <w:pStyle w:val="enumlev1"/>
        <w:jc w:val="both"/>
      </w:pPr>
      <w:r w:rsidRPr="000B545B">
        <w:rPr>
          <w:i/>
          <w:iCs/>
        </w:rPr>
        <w:tab/>
      </w:r>
      <w:r w:rsidR="00D749DB" w:rsidRPr="000B545B">
        <w:rPr>
          <w:i/>
          <w:iCs/>
        </w:rPr>
        <w:t>133. Recommends further that, as an outcome of the World Summit 20-year review, the United Nations Group on the Information Society be tasked with developing a joint implementation road map, to be presented to the Commission on Science and Technology for Development at its twenty-ninth session, to integrate the Global Digital Compact commitments into the World Summit architecture, ensuring a unified approach to digital cooperation that avoids duplication and maximizes resource efficiency</w:t>
      </w:r>
      <w:r w:rsidRPr="000B545B">
        <w:rPr>
          <w:i/>
          <w:iCs/>
        </w:rPr>
        <w:t>.</w:t>
      </w:r>
    </w:p>
    <w:p w14:paraId="67AC3A25" w14:textId="148EE9A0" w:rsidR="00A514A4" w:rsidRPr="000B545B" w:rsidRDefault="00A514A4" w:rsidP="00147C54">
      <w:pPr>
        <w:tabs>
          <w:tab w:val="clear" w:pos="567"/>
          <w:tab w:val="clear" w:pos="1134"/>
          <w:tab w:val="clear" w:pos="1701"/>
          <w:tab w:val="clear" w:pos="2268"/>
          <w:tab w:val="clear" w:pos="2835"/>
        </w:tabs>
        <w:overflowPunct/>
        <w:autoSpaceDE/>
        <w:autoSpaceDN/>
        <w:adjustRightInd/>
        <w:spacing w:before="0"/>
        <w:textAlignment w:val="auto"/>
      </w:pPr>
    </w:p>
    <w:p w14:paraId="274783E1" w14:textId="77777777" w:rsidR="00C354AF" w:rsidRPr="000B545B" w:rsidRDefault="00C354AF">
      <w:pPr>
        <w:pStyle w:val="Reasons"/>
      </w:pPr>
    </w:p>
    <w:p w14:paraId="01044D95" w14:textId="77D321EE" w:rsidR="00C354AF" w:rsidRPr="000B545B" w:rsidRDefault="00C354AF" w:rsidP="00C354AF">
      <w:pPr>
        <w:jc w:val="center"/>
      </w:pPr>
      <w:r w:rsidRPr="000B545B">
        <w:t>______________</w:t>
      </w:r>
    </w:p>
    <w:sectPr w:rsidR="00C354AF" w:rsidRPr="000B545B" w:rsidSect="00AD3606">
      <w:footerReference w:type="default" r:id="rId44"/>
      <w:headerReference w:type="first" r:id="rId45"/>
      <w:footerReference w:type="first" r:id="rId4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7A3D" w14:textId="77777777" w:rsidR="00F54BC7" w:rsidRDefault="00F54BC7">
      <w:r>
        <w:separator/>
      </w:r>
    </w:p>
  </w:endnote>
  <w:endnote w:type="continuationSeparator" w:id="0">
    <w:p w14:paraId="7ED458B4" w14:textId="77777777" w:rsidR="00F54BC7" w:rsidRDefault="00F5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D749DB" w14:paraId="36BBDE98" w14:textId="77777777">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5A4F6442"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w:t>
          </w:r>
          <w:r w:rsidR="00C354AF">
            <w:rPr>
              <w:bCs/>
              <w:lang w:val="es-ES"/>
            </w:rPr>
            <w:t>43</w:t>
          </w:r>
          <w:proofErr w:type="spellEnd"/>
          <w:r w:rsidR="00227AAB">
            <w:rPr>
              <w:bCs/>
              <w:lang w:val="es-ES"/>
            </w:rPr>
            <w:t>/</w:t>
          </w:r>
          <w:r w:rsidR="005D7BB1">
            <w:rPr>
              <w:bCs/>
              <w:lang w:val="es-ES"/>
            </w:rPr>
            <w:t>14</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D749DB"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proofErr w:type="spellStart"/>
            <w:r w:rsidRPr="00781461">
              <w:rPr>
                <w:rStyle w:val="Hyperlink"/>
                <w:u w:val="none"/>
              </w:rPr>
              <w:t>council.itu.int</w:t>
            </w:r>
            <w:proofErr w:type="spellEnd"/>
            <w:r w:rsidRPr="00781461">
              <w:rPr>
                <w:rStyle w:val="Hyperlink"/>
                <w:u w:val="none"/>
              </w:rPr>
              <w:t>/working-groups</w:t>
            </w:r>
          </w:hyperlink>
        </w:p>
      </w:tc>
      <w:tc>
        <w:tcPr>
          <w:tcW w:w="6957" w:type="dxa"/>
        </w:tcPr>
        <w:p w14:paraId="5B6229C5" w14:textId="6A7C9ED3"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w:t>
          </w:r>
          <w:r w:rsidR="00C354AF">
            <w:rPr>
              <w:bCs/>
              <w:lang w:val="es-ES"/>
            </w:rPr>
            <w:t>43</w:t>
          </w:r>
          <w:proofErr w:type="spellEnd"/>
          <w:r w:rsidR="002F2D06">
            <w:rPr>
              <w:bCs/>
              <w:lang w:val="es-ES"/>
            </w:rPr>
            <w:t>/</w:t>
          </w:r>
          <w:r w:rsidR="005D7BB1">
            <w:rPr>
              <w:bCs/>
              <w:lang w:val="es-ES"/>
            </w:rPr>
            <w:t>14</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B524" w14:textId="77777777" w:rsidR="00F54BC7" w:rsidRDefault="00F54BC7">
      <w:r>
        <w:t>____________________</w:t>
      </w:r>
    </w:p>
  </w:footnote>
  <w:footnote w:type="continuationSeparator" w:id="0">
    <w:p w14:paraId="742FBEC7" w14:textId="77777777" w:rsidR="00F54BC7" w:rsidRDefault="00F5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00FEA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33BC4"/>
    <w:rsid w:val="00046146"/>
    <w:rsid w:val="00046348"/>
    <w:rsid w:val="00053A1F"/>
    <w:rsid w:val="00063016"/>
    <w:rsid w:val="000640F2"/>
    <w:rsid w:val="00066795"/>
    <w:rsid w:val="00074B7F"/>
    <w:rsid w:val="00076AF6"/>
    <w:rsid w:val="00085CF2"/>
    <w:rsid w:val="00086046"/>
    <w:rsid w:val="00096851"/>
    <w:rsid w:val="000A1525"/>
    <w:rsid w:val="000A2ED3"/>
    <w:rsid w:val="000B1705"/>
    <w:rsid w:val="000B545B"/>
    <w:rsid w:val="000C46B3"/>
    <w:rsid w:val="000D75B2"/>
    <w:rsid w:val="000F6AB8"/>
    <w:rsid w:val="001121F5"/>
    <w:rsid w:val="00130599"/>
    <w:rsid w:val="00131E18"/>
    <w:rsid w:val="00137159"/>
    <w:rsid w:val="001400DC"/>
    <w:rsid w:val="00140CE1"/>
    <w:rsid w:val="00147C54"/>
    <w:rsid w:val="0017539C"/>
    <w:rsid w:val="00175AC2"/>
    <w:rsid w:val="0017609F"/>
    <w:rsid w:val="001A7D1D"/>
    <w:rsid w:val="001B0595"/>
    <w:rsid w:val="001B51DD"/>
    <w:rsid w:val="001C628E"/>
    <w:rsid w:val="001E0F7B"/>
    <w:rsid w:val="001E0FBE"/>
    <w:rsid w:val="001E5FE7"/>
    <w:rsid w:val="002119FD"/>
    <w:rsid w:val="002130E0"/>
    <w:rsid w:val="002169EC"/>
    <w:rsid w:val="00227AAB"/>
    <w:rsid w:val="00244F7F"/>
    <w:rsid w:val="0025197E"/>
    <w:rsid w:val="0025570E"/>
    <w:rsid w:val="002608B7"/>
    <w:rsid w:val="00264425"/>
    <w:rsid w:val="00265875"/>
    <w:rsid w:val="00266C0E"/>
    <w:rsid w:val="0027303B"/>
    <w:rsid w:val="0028109B"/>
    <w:rsid w:val="002A2188"/>
    <w:rsid w:val="002B1F58"/>
    <w:rsid w:val="002C1C7A"/>
    <w:rsid w:val="002C54E2"/>
    <w:rsid w:val="002E0AC3"/>
    <w:rsid w:val="002F2D06"/>
    <w:rsid w:val="0030160F"/>
    <w:rsid w:val="00301AEE"/>
    <w:rsid w:val="003145DF"/>
    <w:rsid w:val="00320223"/>
    <w:rsid w:val="0032124F"/>
    <w:rsid w:val="00322D0D"/>
    <w:rsid w:val="00361465"/>
    <w:rsid w:val="003830AB"/>
    <w:rsid w:val="003877F5"/>
    <w:rsid w:val="003942D4"/>
    <w:rsid w:val="0039514F"/>
    <w:rsid w:val="003958A8"/>
    <w:rsid w:val="003B29C2"/>
    <w:rsid w:val="003C20CA"/>
    <w:rsid w:val="003C2533"/>
    <w:rsid w:val="003D2D21"/>
    <w:rsid w:val="003D5A7F"/>
    <w:rsid w:val="003D635C"/>
    <w:rsid w:val="003D71D8"/>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3AA8"/>
    <w:rsid w:val="005243FF"/>
    <w:rsid w:val="005311D6"/>
    <w:rsid w:val="00536422"/>
    <w:rsid w:val="005536C2"/>
    <w:rsid w:val="00564FBC"/>
    <w:rsid w:val="00571D64"/>
    <w:rsid w:val="005800BC"/>
    <w:rsid w:val="005816FE"/>
    <w:rsid w:val="00582442"/>
    <w:rsid w:val="005903D8"/>
    <w:rsid w:val="005A335D"/>
    <w:rsid w:val="005B0763"/>
    <w:rsid w:val="005C13D4"/>
    <w:rsid w:val="005C77C0"/>
    <w:rsid w:val="005D7BB1"/>
    <w:rsid w:val="005E2BD5"/>
    <w:rsid w:val="005F3269"/>
    <w:rsid w:val="005F7176"/>
    <w:rsid w:val="006042CD"/>
    <w:rsid w:val="00615961"/>
    <w:rsid w:val="00623AE3"/>
    <w:rsid w:val="006261F4"/>
    <w:rsid w:val="0064737F"/>
    <w:rsid w:val="006535F1"/>
    <w:rsid w:val="0065557D"/>
    <w:rsid w:val="00660D50"/>
    <w:rsid w:val="00662984"/>
    <w:rsid w:val="006716BB"/>
    <w:rsid w:val="006973C8"/>
    <w:rsid w:val="006A4862"/>
    <w:rsid w:val="006B1859"/>
    <w:rsid w:val="006B6680"/>
    <w:rsid w:val="006B6DCC"/>
    <w:rsid w:val="006D38B3"/>
    <w:rsid w:val="00701C70"/>
    <w:rsid w:val="00702DEF"/>
    <w:rsid w:val="00706861"/>
    <w:rsid w:val="00722ECF"/>
    <w:rsid w:val="007247CF"/>
    <w:rsid w:val="00726B8C"/>
    <w:rsid w:val="00735B3A"/>
    <w:rsid w:val="0075051B"/>
    <w:rsid w:val="0077110E"/>
    <w:rsid w:val="00775655"/>
    <w:rsid w:val="00781461"/>
    <w:rsid w:val="007849D5"/>
    <w:rsid w:val="007871F8"/>
    <w:rsid w:val="00793188"/>
    <w:rsid w:val="00794D34"/>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04C9"/>
    <w:rsid w:val="009173EF"/>
    <w:rsid w:val="009266BB"/>
    <w:rsid w:val="00932906"/>
    <w:rsid w:val="00934DCD"/>
    <w:rsid w:val="00956439"/>
    <w:rsid w:val="00961860"/>
    <w:rsid w:val="00961B0B"/>
    <w:rsid w:val="00962D33"/>
    <w:rsid w:val="00990303"/>
    <w:rsid w:val="009B38C3"/>
    <w:rsid w:val="009D34A7"/>
    <w:rsid w:val="009E17BD"/>
    <w:rsid w:val="009E485A"/>
    <w:rsid w:val="00A04CEC"/>
    <w:rsid w:val="00A23719"/>
    <w:rsid w:val="00A271AE"/>
    <w:rsid w:val="00A27F92"/>
    <w:rsid w:val="00A32257"/>
    <w:rsid w:val="00A36D20"/>
    <w:rsid w:val="00A43C03"/>
    <w:rsid w:val="00A46CD0"/>
    <w:rsid w:val="00A514A4"/>
    <w:rsid w:val="00A52C84"/>
    <w:rsid w:val="00A55622"/>
    <w:rsid w:val="00A83502"/>
    <w:rsid w:val="00A937BA"/>
    <w:rsid w:val="00AB3F9F"/>
    <w:rsid w:val="00AD15B3"/>
    <w:rsid w:val="00AD3606"/>
    <w:rsid w:val="00AD4A3D"/>
    <w:rsid w:val="00AF6E49"/>
    <w:rsid w:val="00B03E94"/>
    <w:rsid w:val="00B04A67"/>
    <w:rsid w:val="00B0583C"/>
    <w:rsid w:val="00B248BC"/>
    <w:rsid w:val="00B358B2"/>
    <w:rsid w:val="00B35CC6"/>
    <w:rsid w:val="00B40A81"/>
    <w:rsid w:val="00B44910"/>
    <w:rsid w:val="00B72267"/>
    <w:rsid w:val="00B73DD1"/>
    <w:rsid w:val="00B76EB6"/>
    <w:rsid w:val="00B7737B"/>
    <w:rsid w:val="00B824C8"/>
    <w:rsid w:val="00B830CB"/>
    <w:rsid w:val="00B849D3"/>
    <w:rsid w:val="00B84B9D"/>
    <w:rsid w:val="00BA3A51"/>
    <w:rsid w:val="00BC1EF9"/>
    <w:rsid w:val="00BC251A"/>
    <w:rsid w:val="00BD032B"/>
    <w:rsid w:val="00BD0614"/>
    <w:rsid w:val="00BD094B"/>
    <w:rsid w:val="00BE2640"/>
    <w:rsid w:val="00C01189"/>
    <w:rsid w:val="00C050E1"/>
    <w:rsid w:val="00C354AF"/>
    <w:rsid w:val="00C374DE"/>
    <w:rsid w:val="00C47AD4"/>
    <w:rsid w:val="00C52D81"/>
    <w:rsid w:val="00C55198"/>
    <w:rsid w:val="00C5649F"/>
    <w:rsid w:val="00C60A3C"/>
    <w:rsid w:val="00C725C6"/>
    <w:rsid w:val="00C91B8C"/>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749DB"/>
    <w:rsid w:val="00D86E6C"/>
    <w:rsid w:val="00DB00D5"/>
    <w:rsid w:val="00DB1936"/>
    <w:rsid w:val="00DB384B"/>
    <w:rsid w:val="00DE2A1A"/>
    <w:rsid w:val="00DF0189"/>
    <w:rsid w:val="00E06FD5"/>
    <w:rsid w:val="00E10E80"/>
    <w:rsid w:val="00E124F0"/>
    <w:rsid w:val="00E227F3"/>
    <w:rsid w:val="00E33254"/>
    <w:rsid w:val="00E4728B"/>
    <w:rsid w:val="00E545C6"/>
    <w:rsid w:val="00E60F04"/>
    <w:rsid w:val="00E63EFF"/>
    <w:rsid w:val="00E65B24"/>
    <w:rsid w:val="00E73634"/>
    <w:rsid w:val="00E854E4"/>
    <w:rsid w:val="00E86DBF"/>
    <w:rsid w:val="00EB0D6F"/>
    <w:rsid w:val="00EB2232"/>
    <w:rsid w:val="00EC5337"/>
    <w:rsid w:val="00EE49E8"/>
    <w:rsid w:val="00F10B59"/>
    <w:rsid w:val="00F16BAB"/>
    <w:rsid w:val="00F2150A"/>
    <w:rsid w:val="00F231D8"/>
    <w:rsid w:val="00F44C00"/>
    <w:rsid w:val="00F45D2C"/>
    <w:rsid w:val="00F46C5F"/>
    <w:rsid w:val="00F54BC7"/>
    <w:rsid w:val="00F632C0"/>
    <w:rsid w:val="00F74694"/>
    <w:rsid w:val="00F86596"/>
    <w:rsid w:val="00F93FD4"/>
    <w:rsid w:val="00F94A63"/>
    <w:rsid w:val="00FA038F"/>
    <w:rsid w:val="00FA0CE7"/>
    <w:rsid w:val="00FA1C28"/>
    <w:rsid w:val="00FB1279"/>
    <w:rsid w:val="00FB6B76"/>
    <w:rsid w:val="00FB7596"/>
    <w:rsid w:val="00FE4077"/>
    <w:rsid w:val="00FE500D"/>
    <w:rsid w:val="00FE77D2"/>
    <w:rsid w:val="03B8FA97"/>
    <w:rsid w:val="0B08F7C0"/>
    <w:rsid w:val="2A06731A"/>
    <w:rsid w:val="2FDBB70F"/>
    <w:rsid w:val="39479CBD"/>
    <w:rsid w:val="3E7F4966"/>
    <w:rsid w:val="428CF165"/>
    <w:rsid w:val="4DF99249"/>
    <w:rsid w:val="53F0D98F"/>
    <w:rsid w:val="5649A0B8"/>
    <w:rsid w:val="5E4DB967"/>
    <w:rsid w:val="6202744C"/>
    <w:rsid w:val="6B8366E0"/>
    <w:rsid w:val="704F889C"/>
    <w:rsid w:val="7E86D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5DAE86D2-BA78-403B-877F-404868F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character" w:customStyle="1" w:styleId="normaltextrun">
    <w:name w:val="normaltextrun"/>
    <w:basedOn w:val="DefaultParagraphFont"/>
    <w:rsid w:val="00D749DB"/>
  </w:style>
  <w:style w:type="paragraph" w:styleId="ListParagraph">
    <w:name w:val="List Paragraph"/>
    <w:basedOn w:val="Normal"/>
    <w:uiPriority w:val="34"/>
    <w:qFormat/>
    <w:rsid w:val="00D749DB"/>
    <w:pPr>
      <w:ind w:left="720"/>
      <w:contextualSpacing/>
    </w:pPr>
  </w:style>
  <w:style w:type="paragraph" w:styleId="BodyText">
    <w:name w:val="Body Text"/>
    <w:basedOn w:val="Normal"/>
    <w:link w:val="BodyTextChar"/>
    <w:uiPriority w:val="1"/>
    <w:qFormat/>
    <w:rsid w:val="00D749DB"/>
    <w:pPr>
      <w:widowControl w:val="0"/>
      <w:tabs>
        <w:tab w:val="clear" w:pos="567"/>
        <w:tab w:val="clear" w:pos="1134"/>
        <w:tab w:val="clear" w:pos="1701"/>
        <w:tab w:val="clear" w:pos="2268"/>
        <w:tab w:val="clear" w:pos="2835"/>
      </w:tabs>
      <w:overflowPunct/>
      <w:adjustRightInd/>
      <w:spacing w:before="0"/>
      <w:textAlignment w:val="auto"/>
    </w:pPr>
    <w:rPr>
      <w:rFonts w:eastAsia="Calibri" w:cs="Calibri"/>
      <w:sz w:val="22"/>
      <w:szCs w:val="22"/>
      <w:lang w:val="en-US"/>
    </w:rPr>
  </w:style>
  <w:style w:type="character" w:customStyle="1" w:styleId="BodyTextChar">
    <w:name w:val="Body Text Char"/>
    <w:basedOn w:val="DefaultParagraphFont"/>
    <w:link w:val="BodyText"/>
    <w:uiPriority w:val="1"/>
    <w:rsid w:val="00D749DB"/>
    <w:rPr>
      <w:rFonts w:ascii="Calibri" w:eastAsia="Calibri" w:hAnsi="Calibri" w:cs="Calibri"/>
      <w:sz w:val="22"/>
      <w:szCs w:val="22"/>
      <w:lang w:eastAsia="en-US"/>
    </w:rPr>
  </w:style>
  <w:style w:type="paragraph" w:customStyle="1" w:styleId="TableParagraph">
    <w:name w:val="Table Paragraph"/>
    <w:basedOn w:val="Normal"/>
    <w:uiPriority w:val="1"/>
    <w:qFormat/>
    <w:rsid w:val="00D749DB"/>
    <w:pPr>
      <w:widowControl w:val="0"/>
      <w:tabs>
        <w:tab w:val="clear" w:pos="567"/>
        <w:tab w:val="clear" w:pos="1134"/>
        <w:tab w:val="clear" w:pos="1701"/>
        <w:tab w:val="clear" w:pos="2268"/>
        <w:tab w:val="clear" w:pos="2835"/>
      </w:tabs>
      <w:overflowPunct/>
      <w:adjustRightInd/>
      <w:spacing w:before="0" w:line="248" w:lineRule="exact"/>
      <w:ind w:left="104"/>
      <w:textAlignment w:val="auto"/>
    </w:pPr>
    <w:rPr>
      <w:rFonts w:eastAsia="Calibri" w:cs="Calibri"/>
      <w:sz w:val="22"/>
      <w:szCs w:val="22"/>
      <w:lang w:val="en-US"/>
    </w:rPr>
  </w:style>
  <w:style w:type="paragraph" w:customStyle="1" w:styleId="Tablefin">
    <w:name w:val="Table_fin"/>
    <w:basedOn w:val="Tabletext"/>
    <w:rsid w:val="00956439"/>
    <w:pPr>
      <w:spacing w:before="0" w:after="0"/>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5816FE"/>
    <w:rPr>
      <w:b/>
      <w:bCs/>
    </w:rPr>
  </w:style>
  <w:style w:type="character" w:customStyle="1" w:styleId="CommentSubjectChar">
    <w:name w:val="Comment Subject Char"/>
    <w:basedOn w:val="CommentTextChar"/>
    <w:link w:val="CommentSubject"/>
    <w:semiHidden/>
    <w:rsid w:val="005816FE"/>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sis.org/review" TargetMode="External"/><Relationship Id="rId18" Type="http://schemas.openxmlformats.org/officeDocument/2006/relationships/hyperlink" Target="https://docs.un.org/en/E/RES/2024/13" TargetMode="External"/><Relationship Id="rId26" Type="http://schemas.openxmlformats.org/officeDocument/2006/relationships/hyperlink" Target="https://unctad.org/system/files/non-official-document/ecn162023_roadmap_p05_CSTDChair_en.pdf" TargetMode="External"/><Relationship Id="rId39" Type="http://schemas.openxmlformats.org/officeDocument/2006/relationships/hyperlink" Target="https://forms.office.com/pages/responsepage.aspx?id=12TkI-YEh0uRPCS9iSGf06qtDlMBPuBNoa2AwRocnE1UOUYxTDI4N0FPVzZYRzJZV1VQSDJTVjEyMS4u&amp;route=shorturl" TargetMode="External"/><Relationship Id="rId21" Type="http://schemas.openxmlformats.org/officeDocument/2006/relationships/hyperlink" Target="https://www.itu.int/en/council/Documents/basic-texts-2023/RES-140-E.pdf" TargetMode="External"/><Relationship Id="rId34" Type="http://schemas.openxmlformats.org/officeDocument/2006/relationships/hyperlink" Target="https://www.un.org/pga/79/2025/01/20/letter-from-president-general-assembly-on-wsis-co-facilitator-appointment/" TargetMode="External"/><Relationship Id="rId42" Type="http://schemas.openxmlformats.org/officeDocument/2006/relationships/hyperlink" Target="https://unctad.org/system/files/information-document/gdc_implementation_map_en.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s.un.org/en/A/RES/70/1" TargetMode="External"/><Relationship Id="rId29" Type="http://schemas.openxmlformats.org/officeDocument/2006/relationships/hyperlink" Target="https://unesdoc.unesco.org/ark:/48223/pf00003793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md/S22-CL-C-0059/en" TargetMode="External"/><Relationship Id="rId32" Type="http://schemas.openxmlformats.org/officeDocument/2006/relationships/hyperlink" Target="https://www.itu.int/net4/wsis/forum/2025/Agenda/SpecialTrack/43" TargetMode="External"/><Relationship Id="rId37" Type="http://schemas.openxmlformats.org/officeDocument/2006/relationships/hyperlink" Target="https://publicadministration.desa.un.org/sites/default/files/2021-04/2025/WSIS%2B20_ElementsPaper_20June.pdf" TargetMode="External"/><Relationship Id="rId40" Type="http://schemas.openxmlformats.org/officeDocument/2006/relationships/hyperlink" Target="https://www.itu.int/en/itu-wsis/Pages/CWG-WSIS%26SDG_Call_for_Inputs_2025.aspx"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cs.un.org/en/A/RES/70/125" TargetMode="External"/><Relationship Id="rId23" Type="http://schemas.openxmlformats.org/officeDocument/2006/relationships/hyperlink" Target="https://www.itu.int/md/S23-CL-C-0120/en" TargetMode="External"/><Relationship Id="rId28" Type="http://schemas.openxmlformats.org/officeDocument/2006/relationships/hyperlink" Target="https://www.itu.int/net4/wsis/ungis/content/upload/doc/roadmaps/ITU-WSIS20-Roadmap.pdf" TargetMode="External"/><Relationship Id="rId36" Type="http://schemas.openxmlformats.org/officeDocument/2006/relationships/hyperlink" Target="https://www.un.org/pga/79/2025/02/07/letter-from-president-general-assembly-on-world-summit-on-the-information-society-zero-draft/" TargetMode="External"/><Relationship Id="rId10" Type="http://schemas.openxmlformats.org/officeDocument/2006/relationships/endnotes" Target="endnotes.xml"/><Relationship Id="rId19" Type="http://schemas.openxmlformats.org/officeDocument/2006/relationships/hyperlink" Target="https://unctad.org/system/files/official-document/ecn162025d4_en.pdf" TargetMode="External"/><Relationship Id="rId31" Type="http://schemas.openxmlformats.org/officeDocument/2006/relationships/hyperlink" Target="https://www.itu.int/net4/wsis/forum/2024/Agenda/SpecialTrack/29"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dministration.desa.un.org/wsis20" TargetMode="External"/><Relationship Id="rId22" Type="http://schemas.openxmlformats.org/officeDocument/2006/relationships/hyperlink" Target="https://www.itu.int/md/S24-CL-C-0141/en" TargetMode="External"/><Relationship Id="rId27" Type="http://schemas.openxmlformats.org/officeDocument/2006/relationships/hyperlink" Target="https://undocs.org/Home/Mobile?FinalSymbol=A%2FRES%2F70%2F125&amp;Language=E&amp;DeviceType=Desktop&amp;LangRequested=False" TargetMode="External"/><Relationship Id="rId30" Type="http://schemas.openxmlformats.org/officeDocument/2006/relationships/hyperlink" Target="https://unctad.org/system/files/non-official-document/ecn162023_roadmap_p05_CSTDChair_en.pdf" TargetMode="External"/><Relationship Id="rId35" Type="http://schemas.openxmlformats.org/officeDocument/2006/relationships/hyperlink" Target="https://documents.un.org/doc/undoc/gen/n24/418/66/pdf/n2441866.pdf" TargetMode="External"/><Relationship Id="rId43" Type="http://schemas.openxmlformats.org/officeDocument/2006/relationships/hyperlink" Target="https://unctad.org/system/files/official-document/ecn162025d4_en.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wsis.org/forum" TargetMode="External"/><Relationship Id="rId17" Type="http://schemas.openxmlformats.org/officeDocument/2006/relationships/hyperlink" Target="https://docs.un.org/en/A/RES/77/150" TargetMode="External"/><Relationship Id="rId25" Type="http://schemas.openxmlformats.org/officeDocument/2006/relationships/hyperlink" Target="https://unesdoc.unesco.org/ark:/48223/pf0000379370" TargetMode="External"/><Relationship Id="rId33" Type="http://schemas.openxmlformats.org/officeDocument/2006/relationships/image" Target="media/image1.png"/><Relationship Id="rId38" Type="http://schemas.openxmlformats.org/officeDocument/2006/relationships/hyperlink" Target="https://www.itu.int/net4/wsis/forum/2024/Home/About" TargetMode="External"/><Relationship Id="rId46" Type="http://schemas.openxmlformats.org/officeDocument/2006/relationships/footer" Target="footer2.xml"/><Relationship Id="rId20" Type="http://schemas.openxmlformats.org/officeDocument/2006/relationships/hyperlink" Target="https://www.itu.int/en/council/cwg-wsis/Documents/Resolution172-PP10.pdf" TargetMode="External"/><Relationship Id="rId41" Type="http://schemas.openxmlformats.org/officeDocument/2006/relationships/hyperlink" Target="https://www.itu.int/md/S25-CL-C-0053/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01F56-0350-427E-80C8-B22EF2DC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1A7F4-6B86-4081-AB7C-DBAC44D380D0}">
  <ds:schemaRefs>
    <ds:schemaRef ds:uri="a1cf676c-2816-4389-ad5d-0f2e7c7e67c4"/>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11468664-ECB3-4285-854B-89002E993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1669</Words>
  <Characters>9735</Characters>
  <Application>Microsoft Office Word</Application>
  <DocSecurity>0</DocSecurity>
  <Lines>199</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of the overall review on the implementation of the WSIS outcomes: WSIS+20 review – WSIS beyond 2025</dc:title>
  <dc:subject>ITU Council Working Group on WSIS &amp; SDGs</dc:subject>
  <cp:keywords>CWG-WSIS&amp;SDG</cp:keywords>
  <dc:description/>
  <dcterms:created xsi:type="dcterms:W3CDTF">2025-08-08T17:25:00Z</dcterms:created>
  <dcterms:modified xsi:type="dcterms:W3CDTF">2025-08-08T17:29:00Z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