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776744" w14:paraId="0E2E68D0" w14:textId="77777777" w:rsidTr="00AD3606">
        <w:trPr>
          <w:cantSplit/>
          <w:trHeight w:val="23"/>
        </w:trPr>
        <w:tc>
          <w:tcPr>
            <w:tcW w:w="3969" w:type="dxa"/>
            <w:vMerge w:val="restart"/>
            <w:tcMar>
              <w:left w:w="0" w:type="dxa"/>
            </w:tcMar>
          </w:tcPr>
          <w:p w14:paraId="688D3289"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0BD8908F" w14:textId="2431E5AC" w:rsidR="00AD3606" w:rsidRPr="00301AEE" w:rsidRDefault="00AD3606" w:rsidP="00472BAD">
            <w:pPr>
              <w:tabs>
                <w:tab w:val="left" w:pos="851"/>
              </w:tabs>
              <w:spacing w:before="0" w:line="240" w:lineRule="atLeast"/>
              <w:jc w:val="right"/>
              <w:rPr>
                <w:b/>
                <w:lang w:val="fr-FR"/>
              </w:rPr>
            </w:pPr>
            <w:r w:rsidRPr="00301AEE">
              <w:rPr>
                <w:b/>
                <w:lang w:val="fr-FR"/>
              </w:rPr>
              <w:t xml:space="preserve">Document </w:t>
            </w:r>
            <w:proofErr w:type="spellStart"/>
            <w:r w:rsidR="00227AAB" w:rsidRPr="00227AAB">
              <w:rPr>
                <w:b/>
                <w:lang w:val="fr-FR"/>
              </w:rPr>
              <w:t>CWG-WSIS&amp;SDG-</w:t>
            </w:r>
            <w:r w:rsidR="00A52102">
              <w:rPr>
                <w:b/>
                <w:lang w:val="fr-FR"/>
              </w:rPr>
              <w:t>43</w:t>
            </w:r>
            <w:proofErr w:type="spellEnd"/>
            <w:r w:rsidR="002F2D06">
              <w:rPr>
                <w:b/>
                <w:lang w:val="fr-FR"/>
              </w:rPr>
              <w:t>/</w:t>
            </w:r>
            <w:r w:rsidR="008C19B2">
              <w:rPr>
                <w:b/>
                <w:lang w:val="fr-FR"/>
              </w:rPr>
              <w:t>12</w:t>
            </w:r>
          </w:p>
        </w:tc>
      </w:tr>
      <w:tr w:rsidR="00AD3606" w:rsidRPr="00147C54" w14:paraId="0341936A" w14:textId="77777777" w:rsidTr="00AD3606">
        <w:trPr>
          <w:cantSplit/>
        </w:trPr>
        <w:tc>
          <w:tcPr>
            <w:tcW w:w="3969" w:type="dxa"/>
            <w:vMerge/>
          </w:tcPr>
          <w:p w14:paraId="2577A325"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79BA8307" w14:textId="66ACCE7E" w:rsidR="00AD3606" w:rsidRPr="00147C54" w:rsidRDefault="008C19B2" w:rsidP="00AD3606">
            <w:pPr>
              <w:tabs>
                <w:tab w:val="left" w:pos="851"/>
              </w:tabs>
              <w:spacing w:before="0"/>
              <w:jc w:val="right"/>
              <w:rPr>
                <w:b/>
              </w:rPr>
            </w:pPr>
            <w:r>
              <w:rPr>
                <w:b/>
              </w:rPr>
              <w:t>8 August 2025</w:t>
            </w:r>
          </w:p>
        </w:tc>
      </w:tr>
      <w:tr w:rsidR="00AD3606" w:rsidRPr="00147C54" w14:paraId="3819DB03" w14:textId="77777777" w:rsidTr="00AD3606">
        <w:trPr>
          <w:cantSplit/>
          <w:trHeight w:val="23"/>
        </w:trPr>
        <w:tc>
          <w:tcPr>
            <w:tcW w:w="3969" w:type="dxa"/>
            <w:vMerge/>
          </w:tcPr>
          <w:p w14:paraId="05C10455"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58CFD48C"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0BFD13A7" w14:textId="77777777" w:rsidTr="00AD3606">
        <w:trPr>
          <w:cantSplit/>
          <w:trHeight w:val="23"/>
        </w:trPr>
        <w:tc>
          <w:tcPr>
            <w:tcW w:w="3969" w:type="dxa"/>
          </w:tcPr>
          <w:p w14:paraId="52F3DCAD" w14:textId="77777777" w:rsidR="00472BAD" w:rsidRPr="00147C54" w:rsidRDefault="00472BAD" w:rsidP="00AD3606">
            <w:pPr>
              <w:tabs>
                <w:tab w:val="left" w:pos="851"/>
              </w:tabs>
              <w:spacing w:line="240" w:lineRule="atLeast"/>
              <w:rPr>
                <w:b/>
              </w:rPr>
            </w:pPr>
          </w:p>
        </w:tc>
        <w:tc>
          <w:tcPr>
            <w:tcW w:w="5245" w:type="dxa"/>
          </w:tcPr>
          <w:p w14:paraId="7065C9D6" w14:textId="77777777" w:rsidR="00472BAD" w:rsidRPr="00147C54" w:rsidRDefault="00472BAD" w:rsidP="00AD3606">
            <w:pPr>
              <w:tabs>
                <w:tab w:val="left" w:pos="851"/>
              </w:tabs>
              <w:spacing w:before="0" w:line="240" w:lineRule="atLeast"/>
              <w:jc w:val="right"/>
              <w:rPr>
                <w:b/>
              </w:rPr>
            </w:pPr>
          </w:p>
        </w:tc>
      </w:tr>
      <w:tr w:rsidR="00AD3606" w:rsidRPr="00147C54" w14:paraId="7DF2E78F" w14:textId="77777777" w:rsidTr="00AD3606">
        <w:trPr>
          <w:cantSplit/>
        </w:trPr>
        <w:tc>
          <w:tcPr>
            <w:tcW w:w="9214" w:type="dxa"/>
            <w:gridSpan w:val="2"/>
            <w:tcMar>
              <w:left w:w="0" w:type="dxa"/>
            </w:tcMar>
          </w:tcPr>
          <w:p w14:paraId="06E7995B" w14:textId="5B9466AD" w:rsidR="00AD3606" w:rsidRPr="00147C54" w:rsidRDefault="00227AAB" w:rsidP="00E4728B">
            <w:pPr>
              <w:pStyle w:val="Source"/>
              <w:framePr w:hSpace="0" w:wrap="auto" w:vAnchor="margin" w:hAnchor="text" w:xAlign="left" w:yAlign="inline"/>
            </w:pPr>
            <w:bookmarkStart w:id="8" w:name="dsource" w:colFirst="0" w:colLast="0"/>
            <w:bookmarkEnd w:id="7"/>
            <w:r>
              <w:t>Report</w:t>
            </w:r>
            <w:r w:rsidR="002F2D06">
              <w:t xml:space="preserve"> by the </w:t>
            </w:r>
            <w:r w:rsidR="00BC2C8F">
              <w:t>Secretary-General</w:t>
            </w:r>
          </w:p>
        </w:tc>
      </w:tr>
      <w:tr w:rsidR="00AD3606" w:rsidRPr="00147C54" w14:paraId="2516B450" w14:textId="77777777" w:rsidTr="00AD3606">
        <w:trPr>
          <w:cantSplit/>
        </w:trPr>
        <w:tc>
          <w:tcPr>
            <w:tcW w:w="9214" w:type="dxa"/>
            <w:gridSpan w:val="2"/>
            <w:tcMar>
              <w:left w:w="0" w:type="dxa"/>
            </w:tcMar>
          </w:tcPr>
          <w:p w14:paraId="6AAA5F4B" w14:textId="2B7E65CC" w:rsidR="00AD3606" w:rsidRPr="00147C54" w:rsidRDefault="008318F5" w:rsidP="00E4728B">
            <w:pPr>
              <w:pStyle w:val="Subtitle"/>
              <w:framePr w:hSpace="0" w:wrap="auto" w:xAlign="left" w:yAlign="inline"/>
            </w:pPr>
            <w:bookmarkStart w:id="9" w:name="dtitle1" w:colFirst="0" w:colLast="0"/>
            <w:bookmarkEnd w:id="8"/>
            <w:r>
              <w:rPr>
                <w:rFonts w:eastAsia="Malgun Gothic"/>
                <w:lang w:eastAsia="ko-KR"/>
              </w:rPr>
              <w:t>UPDATES ON THE ITU ACTION PLAN FOR IMPLEMENTING THE GLOBAL DIGITAL COMPACT</w:t>
            </w:r>
          </w:p>
        </w:tc>
      </w:tr>
      <w:tr w:rsidR="00AD3606" w:rsidRPr="00147C54" w14:paraId="1499164D" w14:textId="77777777" w:rsidTr="00AD3606">
        <w:trPr>
          <w:cantSplit/>
        </w:trPr>
        <w:tc>
          <w:tcPr>
            <w:tcW w:w="9214" w:type="dxa"/>
            <w:gridSpan w:val="2"/>
            <w:tcBorders>
              <w:top w:val="single" w:sz="4" w:space="0" w:color="auto"/>
              <w:bottom w:val="single" w:sz="4" w:space="0" w:color="auto"/>
            </w:tcBorders>
            <w:tcMar>
              <w:left w:w="0" w:type="dxa"/>
            </w:tcMar>
          </w:tcPr>
          <w:p w14:paraId="73102266" w14:textId="77777777" w:rsidR="00AD3606" w:rsidRPr="00147C54" w:rsidRDefault="00F16BAB" w:rsidP="00F16BAB">
            <w:pPr>
              <w:spacing w:before="160"/>
              <w:rPr>
                <w:b/>
                <w:bCs/>
                <w:sz w:val="26"/>
                <w:szCs w:val="26"/>
              </w:rPr>
            </w:pPr>
            <w:r w:rsidRPr="00147C54">
              <w:rPr>
                <w:b/>
                <w:bCs/>
                <w:sz w:val="26"/>
                <w:szCs w:val="26"/>
              </w:rPr>
              <w:t>Purpose</w:t>
            </w:r>
          </w:p>
          <w:p w14:paraId="4D048BE1" w14:textId="3A2EB79F" w:rsidR="00AD3606" w:rsidRPr="00147C54" w:rsidRDefault="008C19B2" w:rsidP="008C19B2">
            <w:r>
              <w:rPr>
                <w:szCs w:val="24"/>
                <w:lang w:eastAsia="ko-KR"/>
              </w:rPr>
              <w:t>Th</w:t>
            </w:r>
            <w:r>
              <w:rPr>
                <w:rFonts w:hint="eastAsia"/>
                <w:szCs w:val="24"/>
                <w:lang w:eastAsia="ko-KR"/>
              </w:rPr>
              <w:t>e objective of this document is to provide updates on the ITU</w:t>
            </w:r>
            <w:r>
              <w:rPr>
                <w:szCs w:val="24"/>
                <w:lang w:eastAsia="ko-KR"/>
              </w:rPr>
              <w:t>’</w:t>
            </w:r>
            <w:r>
              <w:rPr>
                <w:rFonts w:hint="eastAsia"/>
                <w:szCs w:val="24"/>
                <w:lang w:eastAsia="ko-KR"/>
              </w:rPr>
              <w:t>s effort</w:t>
            </w:r>
            <w:r w:rsidR="001E7494">
              <w:rPr>
                <w:szCs w:val="24"/>
                <w:lang w:eastAsia="ko-KR"/>
              </w:rPr>
              <w:t>s</w:t>
            </w:r>
            <w:r>
              <w:rPr>
                <w:rFonts w:hint="eastAsia"/>
                <w:szCs w:val="24"/>
                <w:lang w:eastAsia="ko-KR"/>
              </w:rPr>
              <w:t xml:space="preserve"> to follow</w:t>
            </w:r>
            <w:r>
              <w:rPr>
                <w:szCs w:val="24"/>
                <w:lang w:eastAsia="ko-KR"/>
              </w:rPr>
              <w:t xml:space="preserve"> </w:t>
            </w:r>
            <w:r>
              <w:rPr>
                <w:rFonts w:hint="eastAsia"/>
                <w:szCs w:val="24"/>
                <w:lang w:eastAsia="ko-KR"/>
              </w:rPr>
              <w:t xml:space="preserve">up on the implementation of the Global Digital Compact, </w:t>
            </w:r>
            <w:r w:rsidR="001E7494" w:rsidRPr="001E7494">
              <w:rPr>
                <w:szCs w:val="24"/>
                <w:lang w:eastAsia="ko-KR"/>
              </w:rPr>
              <w:t xml:space="preserve">which is an </w:t>
            </w:r>
            <w:r w:rsidR="001E7494" w:rsidRPr="001E7494">
              <w:rPr>
                <w:szCs w:val="24"/>
                <w:lang w:eastAsia="ko-KR"/>
              </w:rPr>
              <w:t xml:space="preserve">annex </w:t>
            </w:r>
            <w:r w:rsidR="001E7494" w:rsidRPr="001E7494">
              <w:rPr>
                <w:szCs w:val="24"/>
                <w:lang w:eastAsia="ko-KR"/>
              </w:rPr>
              <w:t xml:space="preserve">to </w:t>
            </w:r>
            <w:r>
              <w:rPr>
                <w:rFonts w:hint="eastAsia"/>
                <w:szCs w:val="24"/>
                <w:lang w:eastAsia="ko-KR"/>
              </w:rPr>
              <w:t>the Pact for the Future.</w:t>
            </w:r>
          </w:p>
          <w:p w14:paraId="42771513" w14:textId="77777777" w:rsidR="00AD3606" w:rsidRPr="00147C54" w:rsidRDefault="00AD3606" w:rsidP="00F16BAB">
            <w:pPr>
              <w:spacing w:before="160"/>
              <w:rPr>
                <w:b/>
                <w:bCs/>
                <w:sz w:val="26"/>
                <w:szCs w:val="26"/>
              </w:rPr>
            </w:pPr>
            <w:r w:rsidRPr="00147C54">
              <w:rPr>
                <w:b/>
                <w:bCs/>
                <w:sz w:val="26"/>
                <w:szCs w:val="26"/>
              </w:rPr>
              <w:t>Action required</w:t>
            </w:r>
          </w:p>
          <w:p w14:paraId="6D7047AD" w14:textId="59C0C9FF" w:rsidR="0025570E" w:rsidRPr="004405AB" w:rsidRDefault="00227AAB" w:rsidP="000F6AB8">
            <w:pPr>
              <w:spacing w:before="160"/>
            </w:pPr>
            <w:r w:rsidRPr="00754DFC">
              <w:rPr>
                <w:szCs w:val="24"/>
              </w:rPr>
              <w:t xml:space="preserve">The Council Working Group on WSIS and the SDGs is invited to </w:t>
            </w:r>
            <w:r w:rsidR="008C19B2" w:rsidRPr="005D3AFD">
              <w:rPr>
                <w:b/>
                <w:bCs/>
                <w:szCs w:val="24"/>
              </w:rPr>
              <w:t>note</w:t>
            </w:r>
            <w:r w:rsidR="008C19B2" w:rsidRPr="005D3AFD">
              <w:rPr>
                <w:szCs w:val="24"/>
              </w:rPr>
              <w:t xml:space="preserve"> this document</w:t>
            </w:r>
            <w:r w:rsidR="008C19B2" w:rsidRPr="00793BE2">
              <w:t xml:space="preserve"> </w:t>
            </w:r>
            <w:r w:rsidR="002F2D06" w:rsidRPr="00793BE2">
              <w:t>.</w:t>
            </w:r>
          </w:p>
          <w:p w14:paraId="077AA685" w14:textId="77777777" w:rsidR="00AD3606" w:rsidRPr="00CD3C91" w:rsidRDefault="00CD3C91" w:rsidP="00CD3C91">
            <w:r>
              <w:t>_______________</w:t>
            </w:r>
          </w:p>
          <w:p w14:paraId="0752FABC" w14:textId="77777777" w:rsidR="00AD3606" w:rsidRPr="00147C54" w:rsidRDefault="00AD3606" w:rsidP="00F16BAB">
            <w:pPr>
              <w:spacing w:before="160"/>
              <w:rPr>
                <w:b/>
                <w:bCs/>
                <w:sz w:val="26"/>
                <w:szCs w:val="26"/>
              </w:rPr>
            </w:pPr>
            <w:r w:rsidRPr="00147C54">
              <w:rPr>
                <w:b/>
                <w:bCs/>
                <w:sz w:val="26"/>
                <w:szCs w:val="26"/>
              </w:rPr>
              <w:t>References</w:t>
            </w:r>
            <w:r w:rsidR="00301AEE">
              <w:rPr>
                <w:b/>
                <w:bCs/>
                <w:sz w:val="26"/>
                <w:szCs w:val="26"/>
              </w:rPr>
              <w:t xml:space="preserve"> </w:t>
            </w:r>
          </w:p>
          <w:p w14:paraId="1569BD8A" w14:textId="6FDB0158" w:rsidR="00AD3606" w:rsidRPr="008C19B2" w:rsidRDefault="005170FD" w:rsidP="00F16BAB">
            <w:pPr>
              <w:spacing w:after="160"/>
              <w:rPr>
                <w:i/>
                <w:iCs/>
                <w:sz w:val="22"/>
                <w:szCs w:val="22"/>
              </w:rPr>
            </w:pPr>
            <w:hyperlink r:id="rId8" w:history="1">
              <w:r w:rsidRPr="008C19B2">
                <w:rPr>
                  <w:rStyle w:val="Hyperlink"/>
                  <w:i/>
                  <w:iCs/>
                  <w:sz w:val="22"/>
                  <w:szCs w:val="22"/>
                </w:rPr>
                <w:t>CWG-WSIS&amp;SDG website</w:t>
              </w:r>
            </w:hyperlink>
            <w:r w:rsidRPr="008C19B2">
              <w:rPr>
                <w:i/>
                <w:iCs/>
                <w:sz w:val="22"/>
                <w:szCs w:val="22"/>
              </w:rPr>
              <w:t>;</w:t>
            </w:r>
            <w:r w:rsidR="008C19B2" w:rsidRPr="008C19B2">
              <w:rPr>
                <w:i/>
                <w:iCs/>
                <w:sz w:val="22"/>
                <w:szCs w:val="22"/>
              </w:rPr>
              <w:t xml:space="preserve"> UNGA Resolutions </w:t>
            </w:r>
            <w:hyperlink r:id="rId9" w:history="1">
              <w:r w:rsidR="008C19B2" w:rsidRPr="008C19B2">
                <w:rPr>
                  <w:rStyle w:val="Hyperlink"/>
                  <w:i/>
                  <w:iCs/>
                  <w:sz w:val="22"/>
                  <w:szCs w:val="22"/>
                </w:rPr>
                <w:t>A/RES/76/307</w:t>
              </w:r>
            </w:hyperlink>
            <w:r w:rsidR="008C19B2" w:rsidRPr="008C19B2">
              <w:rPr>
                <w:i/>
                <w:iCs/>
                <w:sz w:val="22"/>
                <w:szCs w:val="22"/>
              </w:rPr>
              <w:t xml:space="preserve">, </w:t>
            </w:r>
            <w:hyperlink r:id="rId10" w:history="1">
              <w:r w:rsidR="008C19B2" w:rsidRPr="008C19B2">
                <w:rPr>
                  <w:rStyle w:val="Hyperlink"/>
                  <w:i/>
                  <w:iCs/>
                  <w:sz w:val="22"/>
                  <w:szCs w:val="22"/>
                </w:rPr>
                <w:t>A/77/</w:t>
              </w:r>
              <w:proofErr w:type="spellStart"/>
              <w:r w:rsidR="008C19B2" w:rsidRPr="008C19B2">
                <w:rPr>
                  <w:rStyle w:val="Hyperlink"/>
                  <w:i/>
                  <w:iCs/>
                  <w:sz w:val="22"/>
                  <w:szCs w:val="22"/>
                </w:rPr>
                <w:t>L.109</w:t>
              </w:r>
              <w:proofErr w:type="spellEnd"/>
            </w:hyperlink>
            <w:r w:rsidR="008C19B2" w:rsidRPr="008C19B2">
              <w:rPr>
                <w:i/>
                <w:iCs/>
                <w:sz w:val="22"/>
                <w:szCs w:val="22"/>
              </w:rPr>
              <w:t xml:space="preserve"> (Decision 77/568), </w:t>
            </w:r>
            <w:hyperlink r:id="rId11" w:history="1">
              <w:r w:rsidR="008C19B2" w:rsidRPr="008C19B2">
                <w:rPr>
                  <w:rStyle w:val="Hyperlink"/>
                  <w:i/>
                  <w:iCs/>
                  <w:sz w:val="22"/>
                  <w:szCs w:val="22"/>
                </w:rPr>
                <w:t>A/77/</w:t>
              </w:r>
              <w:proofErr w:type="spellStart"/>
              <w:r w:rsidR="008C19B2" w:rsidRPr="008C19B2">
                <w:rPr>
                  <w:rStyle w:val="Hyperlink"/>
                  <w:i/>
                  <w:iCs/>
                  <w:sz w:val="22"/>
                  <w:szCs w:val="22"/>
                </w:rPr>
                <w:t>L.63</w:t>
              </w:r>
              <w:proofErr w:type="spellEnd"/>
            </w:hyperlink>
            <w:r w:rsidR="008C19B2" w:rsidRPr="008C19B2">
              <w:rPr>
                <w:i/>
                <w:iCs/>
                <w:sz w:val="22"/>
                <w:szCs w:val="22"/>
              </w:rPr>
              <w:t xml:space="preserve">, </w:t>
            </w:r>
            <w:hyperlink r:id="rId12" w:history="1">
              <w:r w:rsidR="008C19B2" w:rsidRPr="008C19B2">
                <w:rPr>
                  <w:rStyle w:val="Hyperlink"/>
                  <w:i/>
                  <w:iCs/>
                  <w:sz w:val="22"/>
                  <w:szCs w:val="22"/>
                </w:rPr>
                <w:t>A/78/</w:t>
              </w:r>
              <w:proofErr w:type="spellStart"/>
              <w:r w:rsidR="008C19B2" w:rsidRPr="008C19B2">
                <w:rPr>
                  <w:rStyle w:val="Hyperlink"/>
                  <w:i/>
                  <w:iCs/>
                  <w:sz w:val="22"/>
                  <w:szCs w:val="22"/>
                </w:rPr>
                <w:t>L.77</w:t>
              </w:r>
              <w:proofErr w:type="spellEnd"/>
              <w:r w:rsidR="008C19B2" w:rsidRPr="008C19B2">
                <w:rPr>
                  <w:rStyle w:val="Hyperlink"/>
                  <w:i/>
                  <w:iCs/>
                  <w:sz w:val="22"/>
                  <w:szCs w:val="22"/>
                  <w:u w:val="none"/>
                </w:rPr>
                <w:t xml:space="preserve"> </w:t>
              </w:r>
            </w:hyperlink>
            <w:r w:rsidR="008C19B2" w:rsidRPr="008C19B2">
              <w:rPr>
                <w:i/>
                <w:iCs/>
                <w:sz w:val="22"/>
                <w:szCs w:val="22"/>
              </w:rPr>
              <w:t>(Decision 78/555),</w:t>
            </w:r>
            <w:r w:rsidR="008C19B2" w:rsidRPr="008C19B2">
              <w:rPr>
                <w:i/>
                <w:iCs/>
                <w:sz w:val="22"/>
                <w:szCs w:val="22"/>
                <w:lang w:eastAsia="ko-KR"/>
              </w:rPr>
              <w:t xml:space="preserve"> </w:t>
            </w:r>
            <w:hyperlink r:id="rId13" w:history="1">
              <w:r w:rsidR="008C19B2" w:rsidRPr="008C19B2">
                <w:rPr>
                  <w:rStyle w:val="Hyperlink"/>
                  <w:i/>
                  <w:iCs/>
                  <w:sz w:val="22"/>
                  <w:szCs w:val="22"/>
                  <w:lang w:eastAsia="ko-KR"/>
                </w:rPr>
                <w:t>A/79/</w:t>
              </w:r>
              <w:proofErr w:type="spellStart"/>
              <w:r w:rsidR="008C19B2" w:rsidRPr="008C19B2">
                <w:rPr>
                  <w:rStyle w:val="Hyperlink"/>
                  <w:i/>
                  <w:iCs/>
                  <w:sz w:val="22"/>
                  <w:szCs w:val="22"/>
                  <w:lang w:eastAsia="ko-KR"/>
                </w:rPr>
                <w:t>L.2</w:t>
              </w:r>
              <w:proofErr w:type="spellEnd"/>
            </w:hyperlink>
            <w:r w:rsidR="008C19B2" w:rsidRPr="008C19B2">
              <w:rPr>
                <w:i/>
                <w:iCs/>
                <w:sz w:val="22"/>
                <w:szCs w:val="22"/>
                <w:lang w:eastAsia="ko-KR"/>
              </w:rPr>
              <w:t xml:space="preserve"> and </w:t>
            </w:r>
            <w:hyperlink r:id="rId14" w:history="1">
              <w:r w:rsidR="008C19B2" w:rsidRPr="008C19B2">
                <w:rPr>
                  <w:rStyle w:val="Hyperlink"/>
                  <w:i/>
                  <w:iCs/>
                  <w:sz w:val="22"/>
                  <w:szCs w:val="22"/>
                  <w:lang w:eastAsia="ko-KR"/>
                </w:rPr>
                <w:t>A/79/</w:t>
              </w:r>
              <w:proofErr w:type="spellStart"/>
              <w:r w:rsidR="008C19B2" w:rsidRPr="008C19B2">
                <w:rPr>
                  <w:rStyle w:val="Hyperlink"/>
                  <w:i/>
                  <w:iCs/>
                  <w:sz w:val="22"/>
                  <w:szCs w:val="22"/>
                  <w:lang w:eastAsia="ko-KR"/>
                </w:rPr>
                <w:t>L.3</w:t>
              </w:r>
              <w:proofErr w:type="spellEnd"/>
            </w:hyperlink>
            <w:r w:rsidR="006009FE">
              <w:rPr>
                <w:i/>
                <w:iCs/>
                <w:sz w:val="22"/>
                <w:szCs w:val="22"/>
                <w:lang w:eastAsia="ko-KR"/>
              </w:rPr>
              <w:t>;</w:t>
            </w:r>
            <w:r w:rsidR="008C19B2" w:rsidRPr="008C19B2">
              <w:rPr>
                <w:i/>
                <w:iCs/>
                <w:sz w:val="22"/>
                <w:szCs w:val="22"/>
              </w:rPr>
              <w:t xml:space="preserve"> </w:t>
            </w:r>
            <w:r w:rsidR="008C19B2" w:rsidRPr="008C19B2">
              <w:rPr>
                <w:rFonts w:eastAsia="SimSun"/>
                <w:i/>
                <w:iCs/>
                <w:sz w:val="22"/>
                <w:szCs w:val="22"/>
              </w:rPr>
              <w:t xml:space="preserve">Documents </w:t>
            </w:r>
            <w:hyperlink r:id="rId15" w:history="1">
              <w:proofErr w:type="spellStart"/>
              <w:r w:rsidR="008C19B2" w:rsidRPr="008C19B2">
                <w:rPr>
                  <w:rStyle w:val="Hyperlink"/>
                  <w:rFonts w:eastAsia="SimSun"/>
                  <w:i/>
                  <w:iCs/>
                  <w:sz w:val="22"/>
                  <w:szCs w:val="22"/>
                </w:rPr>
                <w:t>C19</w:t>
              </w:r>
              <w:proofErr w:type="spellEnd"/>
              <w:r w:rsidR="008C19B2" w:rsidRPr="008C19B2">
                <w:rPr>
                  <w:rStyle w:val="Hyperlink"/>
                  <w:rFonts w:eastAsia="SimSun"/>
                  <w:i/>
                  <w:iCs/>
                  <w:sz w:val="22"/>
                  <w:szCs w:val="22"/>
                </w:rPr>
                <w:t>/INF/8</w:t>
              </w:r>
            </w:hyperlink>
            <w:r w:rsidR="008C19B2" w:rsidRPr="008C19B2">
              <w:rPr>
                <w:rFonts w:eastAsia="SimSun"/>
                <w:i/>
                <w:iCs/>
                <w:sz w:val="22"/>
                <w:szCs w:val="22"/>
              </w:rPr>
              <w:t xml:space="preserve">, </w:t>
            </w:r>
            <w:hyperlink r:id="rId16" w:history="1">
              <w:proofErr w:type="spellStart"/>
              <w:r w:rsidR="008C19B2" w:rsidRPr="008C19B2">
                <w:rPr>
                  <w:rStyle w:val="Hyperlink"/>
                  <w:rFonts w:eastAsia="SimSun"/>
                  <w:i/>
                  <w:iCs/>
                  <w:sz w:val="22"/>
                  <w:szCs w:val="22"/>
                </w:rPr>
                <w:t>C20</w:t>
              </w:r>
              <w:proofErr w:type="spellEnd"/>
              <w:r w:rsidR="008C19B2" w:rsidRPr="008C19B2">
                <w:rPr>
                  <w:rStyle w:val="Hyperlink"/>
                  <w:rFonts w:eastAsia="SimSun"/>
                  <w:i/>
                  <w:iCs/>
                  <w:sz w:val="22"/>
                  <w:szCs w:val="22"/>
                </w:rPr>
                <w:t>/INF/3</w:t>
              </w:r>
            </w:hyperlink>
            <w:r w:rsidR="008C19B2" w:rsidRPr="008C19B2">
              <w:rPr>
                <w:rFonts w:eastAsia="SimSun"/>
                <w:i/>
                <w:iCs/>
                <w:sz w:val="22"/>
                <w:szCs w:val="22"/>
              </w:rPr>
              <w:t xml:space="preserve">; </w:t>
            </w:r>
            <w:hyperlink r:id="rId17" w:history="1">
              <w:proofErr w:type="spellStart"/>
              <w:r w:rsidR="008C19B2" w:rsidRPr="008C19B2">
                <w:rPr>
                  <w:rStyle w:val="Hyperlink"/>
                  <w:rFonts w:eastAsia="SimSun"/>
                  <w:i/>
                  <w:iCs/>
                  <w:sz w:val="22"/>
                  <w:szCs w:val="22"/>
                </w:rPr>
                <w:t>C21</w:t>
              </w:r>
              <w:proofErr w:type="spellEnd"/>
              <w:r w:rsidR="008C19B2" w:rsidRPr="008C19B2">
                <w:rPr>
                  <w:rStyle w:val="Hyperlink"/>
                  <w:rFonts w:eastAsia="SimSun"/>
                  <w:i/>
                  <w:iCs/>
                  <w:sz w:val="22"/>
                  <w:szCs w:val="22"/>
                </w:rPr>
                <w:t>/INF/2</w:t>
              </w:r>
            </w:hyperlink>
            <w:r w:rsidR="008C19B2" w:rsidRPr="008C19B2">
              <w:rPr>
                <w:rFonts w:eastAsia="SimSun"/>
                <w:i/>
                <w:iCs/>
                <w:sz w:val="22"/>
                <w:szCs w:val="22"/>
              </w:rPr>
              <w:t xml:space="preserve">; </w:t>
            </w:r>
            <w:hyperlink r:id="rId18" w:history="1">
              <w:proofErr w:type="spellStart"/>
              <w:r w:rsidR="008C19B2" w:rsidRPr="008C19B2">
                <w:rPr>
                  <w:rStyle w:val="Hyperlink"/>
                  <w:rFonts w:eastAsia="SimSun"/>
                  <w:i/>
                  <w:iCs/>
                  <w:sz w:val="22"/>
                  <w:szCs w:val="22"/>
                </w:rPr>
                <w:t>C22</w:t>
              </w:r>
              <w:proofErr w:type="spellEnd"/>
              <w:r w:rsidR="008C19B2" w:rsidRPr="008C19B2">
                <w:rPr>
                  <w:rStyle w:val="Hyperlink"/>
                  <w:rFonts w:eastAsia="SimSun"/>
                  <w:i/>
                  <w:iCs/>
                  <w:sz w:val="22"/>
                  <w:szCs w:val="22"/>
                </w:rPr>
                <w:t>/INF/2</w:t>
              </w:r>
            </w:hyperlink>
            <w:r w:rsidR="008C19B2" w:rsidRPr="008C19B2">
              <w:rPr>
                <w:rFonts w:eastAsia="SimSun"/>
                <w:i/>
                <w:iCs/>
                <w:sz w:val="22"/>
                <w:szCs w:val="22"/>
              </w:rPr>
              <w:t>;</w:t>
            </w:r>
            <w:r w:rsidR="008C19B2" w:rsidRPr="008C19B2">
              <w:rPr>
                <w:rStyle w:val="Hyperlink"/>
                <w:rFonts w:eastAsia="SimSun"/>
                <w:i/>
                <w:iCs/>
                <w:sz w:val="22"/>
                <w:szCs w:val="22"/>
                <w:u w:val="none"/>
              </w:rPr>
              <w:t xml:space="preserve"> </w:t>
            </w:r>
            <w:hyperlink r:id="rId19" w:history="1">
              <w:proofErr w:type="spellStart"/>
              <w:r w:rsidR="008C19B2" w:rsidRPr="008C19B2">
                <w:rPr>
                  <w:rStyle w:val="Hyperlink"/>
                  <w:rFonts w:eastAsia="SimSun"/>
                  <w:i/>
                  <w:iCs/>
                  <w:sz w:val="22"/>
                  <w:szCs w:val="22"/>
                </w:rPr>
                <w:t>C23</w:t>
              </w:r>
              <w:proofErr w:type="spellEnd"/>
              <w:r w:rsidR="008C19B2" w:rsidRPr="008C19B2">
                <w:rPr>
                  <w:rStyle w:val="Hyperlink"/>
                  <w:rFonts w:eastAsia="SimSun"/>
                  <w:i/>
                  <w:iCs/>
                  <w:sz w:val="22"/>
                  <w:szCs w:val="22"/>
                </w:rPr>
                <w:t>/INF/8</w:t>
              </w:r>
            </w:hyperlink>
            <w:r w:rsidR="008C19B2" w:rsidRPr="008C19B2">
              <w:rPr>
                <w:rFonts w:eastAsia="SimSun"/>
                <w:i/>
                <w:iCs/>
                <w:sz w:val="22"/>
                <w:szCs w:val="22"/>
              </w:rPr>
              <w:t>,</w:t>
            </w:r>
            <w:r w:rsidR="008C19B2" w:rsidRPr="008C19B2">
              <w:rPr>
                <w:i/>
                <w:iCs/>
                <w:sz w:val="22"/>
                <w:szCs w:val="22"/>
              </w:rPr>
              <w:t xml:space="preserve"> </w:t>
            </w:r>
            <w:hyperlink r:id="rId20" w:history="1">
              <w:proofErr w:type="spellStart"/>
              <w:r w:rsidR="008C19B2" w:rsidRPr="008C19B2">
                <w:rPr>
                  <w:rStyle w:val="Hyperlink"/>
                  <w:rFonts w:eastAsia="SimSun"/>
                  <w:i/>
                  <w:iCs/>
                  <w:sz w:val="22"/>
                  <w:szCs w:val="22"/>
                </w:rPr>
                <w:t>C23</w:t>
              </w:r>
              <w:proofErr w:type="spellEnd"/>
              <w:r w:rsidR="008C19B2" w:rsidRPr="008C19B2">
                <w:rPr>
                  <w:rStyle w:val="Hyperlink"/>
                  <w:rFonts w:eastAsia="SimSun"/>
                  <w:i/>
                  <w:iCs/>
                  <w:sz w:val="22"/>
                  <w:szCs w:val="22"/>
                </w:rPr>
                <w:t>/INF/9</w:t>
              </w:r>
            </w:hyperlink>
            <w:r w:rsidR="008C19B2" w:rsidRPr="008C19B2">
              <w:rPr>
                <w:rFonts w:eastAsia="SimSun"/>
                <w:i/>
                <w:iCs/>
                <w:sz w:val="22"/>
                <w:szCs w:val="22"/>
              </w:rPr>
              <w:t xml:space="preserve">; </w:t>
            </w:r>
            <w:hyperlink r:id="rId21" w:history="1">
              <w:proofErr w:type="spellStart"/>
              <w:r w:rsidR="008C19B2" w:rsidRPr="008C19B2">
                <w:rPr>
                  <w:rStyle w:val="Hyperlink"/>
                  <w:rFonts w:eastAsia="SimSun"/>
                  <w:i/>
                  <w:iCs/>
                  <w:sz w:val="22"/>
                  <w:szCs w:val="22"/>
                </w:rPr>
                <w:t>C24</w:t>
              </w:r>
              <w:proofErr w:type="spellEnd"/>
              <w:r w:rsidR="008C19B2" w:rsidRPr="008C19B2">
                <w:rPr>
                  <w:rStyle w:val="Hyperlink"/>
                  <w:rFonts w:eastAsia="SimSun"/>
                  <w:i/>
                  <w:iCs/>
                  <w:sz w:val="22"/>
                  <w:szCs w:val="22"/>
                </w:rPr>
                <w:t>/55</w:t>
              </w:r>
            </w:hyperlink>
            <w:r w:rsidR="008C19B2" w:rsidRPr="008C19B2">
              <w:rPr>
                <w:rFonts w:hint="eastAsia"/>
                <w:sz w:val="22"/>
                <w:szCs w:val="22"/>
                <w:lang w:eastAsia="ko-KR"/>
              </w:rPr>
              <w:t>;</w:t>
            </w:r>
            <w:r w:rsidR="008C19B2" w:rsidRPr="008C19B2">
              <w:rPr>
                <w:rFonts w:eastAsia="SimSun"/>
                <w:i/>
                <w:iCs/>
                <w:sz w:val="22"/>
                <w:szCs w:val="22"/>
              </w:rPr>
              <w:t xml:space="preserve"> </w:t>
            </w:r>
            <w:hyperlink r:id="rId22" w:history="1">
              <w:proofErr w:type="spellStart"/>
              <w:r w:rsidR="008C19B2" w:rsidRPr="008C19B2">
                <w:rPr>
                  <w:rStyle w:val="Hyperlink"/>
                  <w:rFonts w:eastAsia="SimSun"/>
                  <w:i/>
                  <w:iCs/>
                  <w:sz w:val="22"/>
                  <w:szCs w:val="22"/>
                </w:rPr>
                <w:t>C24</w:t>
              </w:r>
              <w:proofErr w:type="spellEnd"/>
              <w:r w:rsidR="008C19B2" w:rsidRPr="008C19B2">
                <w:rPr>
                  <w:rStyle w:val="Hyperlink"/>
                  <w:rFonts w:eastAsia="SimSun"/>
                  <w:i/>
                  <w:iCs/>
                  <w:sz w:val="22"/>
                  <w:szCs w:val="22"/>
                </w:rPr>
                <w:t>/INF/9</w:t>
              </w:r>
            </w:hyperlink>
            <w:r w:rsidR="008C19B2" w:rsidRPr="008C19B2">
              <w:rPr>
                <w:rFonts w:hint="eastAsia"/>
                <w:i/>
                <w:iCs/>
                <w:sz w:val="22"/>
                <w:szCs w:val="22"/>
                <w:lang w:eastAsia="ko-KR"/>
              </w:rPr>
              <w:t xml:space="preserve">; </w:t>
            </w:r>
            <w:hyperlink r:id="rId23" w:history="1">
              <w:proofErr w:type="spellStart"/>
              <w:r w:rsidR="008C19B2" w:rsidRPr="008C19B2">
                <w:rPr>
                  <w:rStyle w:val="Hyperlink"/>
                  <w:rFonts w:asciiTheme="minorHAnsi" w:hAnsiTheme="minorHAnsi" w:cstheme="minorHAnsi"/>
                  <w:i/>
                  <w:iCs/>
                  <w:sz w:val="22"/>
                  <w:szCs w:val="22"/>
                </w:rPr>
                <w:t>C25</w:t>
              </w:r>
              <w:proofErr w:type="spellEnd"/>
              <w:r w:rsidR="008C19B2" w:rsidRPr="008C19B2">
                <w:rPr>
                  <w:rStyle w:val="Hyperlink"/>
                  <w:rFonts w:asciiTheme="minorHAnsi" w:hAnsiTheme="minorHAnsi" w:cstheme="minorHAnsi"/>
                  <w:i/>
                  <w:iCs/>
                  <w:sz w:val="22"/>
                  <w:szCs w:val="22"/>
                </w:rPr>
                <w:t>/52</w:t>
              </w:r>
            </w:hyperlink>
            <w:r w:rsidR="008C19B2" w:rsidRPr="008C19B2">
              <w:rPr>
                <w:rFonts w:asciiTheme="minorHAnsi" w:hAnsiTheme="minorHAnsi" w:cstheme="minorHAnsi" w:hint="eastAsia"/>
                <w:i/>
                <w:iCs/>
                <w:sz w:val="22"/>
                <w:szCs w:val="22"/>
                <w:lang w:eastAsia="ko-KR"/>
              </w:rPr>
              <w:t>;</w:t>
            </w:r>
            <w:r w:rsidR="008C19B2" w:rsidRPr="008C19B2">
              <w:rPr>
                <w:rFonts w:hint="eastAsia"/>
                <w:i/>
                <w:iCs/>
                <w:sz w:val="22"/>
                <w:szCs w:val="22"/>
                <w:lang w:eastAsia="ko-KR"/>
              </w:rPr>
              <w:t xml:space="preserve"> </w:t>
            </w:r>
            <w:hyperlink r:id="rId24" w:history="1">
              <w:proofErr w:type="spellStart"/>
              <w:r w:rsidR="008C19B2" w:rsidRPr="008C19B2">
                <w:rPr>
                  <w:rStyle w:val="Hyperlink"/>
                  <w:rFonts w:hint="eastAsia"/>
                  <w:i/>
                  <w:iCs/>
                  <w:sz w:val="22"/>
                  <w:szCs w:val="22"/>
                  <w:lang w:eastAsia="ko-KR"/>
                </w:rPr>
                <w:t>C25</w:t>
              </w:r>
              <w:proofErr w:type="spellEnd"/>
              <w:r w:rsidR="008C19B2" w:rsidRPr="008C19B2">
                <w:rPr>
                  <w:rStyle w:val="Hyperlink"/>
                  <w:rFonts w:hint="eastAsia"/>
                  <w:i/>
                  <w:iCs/>
                  <w:sz w:val="22"/>
                  <w:szCs w:val="22"/>
                  <w:lang w:eastAsia="ko-KR"/>
                </w:rPr>
                <w:t xml:space="preserve">/70; </w:t>
              </w:r>
            </w:hyperlink>
            <w:r w:rsidR="008C19B2" w:rsidRPr="008C19B2">
              <w:rPr>
                <w:rFonts w:hint="eastAsia"/>
                <w:i/>
                <w:iCs/>
                <w:sz w:val="22"/>
                <w:szCs w:val="22"/>
                <w:lang w:eastAsia="ko-KR"/>
              </w:rPr>
              <w:t xml:space="preserve">and </w:t>
            </w:r>
            <w:hyperlink r:id="rId25" w:history="1">
              <w:proofErr w:type="spellStart"/>
              <w:r w:rsidR="008C19B2" w:rsidRPr="008C19B2">
                <w:rPr>
                  <w:rStyle w:val="Hyperlink"/>
                  <w:rFonts w:hint="eastAsia"/>
                  <w:i/>
                  <w:iCs/>
                  <w:sz w:val="22"/>
                  <w:szCs w:val="22"/>
                  <w:lang w:eastAsia="ko-KR"/>
                </w:rPr>
                <w:t>C25</w:t>
              </w:r>
              <w:proofErr w:type="spellEnd"/>
              <w:r w:rsidR="008C19B2" w:rsidRPr="008C19B2">
                <w:rPr>
                  <w:rStyle w:val="Hyperlink"/>
                  <w:rFonts w:hint="eastAsia"/>
                  <w:i/>
                  <w:iCs/>
                  <w:sz w:val="22"/>
                  <w:szCs w:val="22"/>
                  <w:lang w:eastAsia="ko-KR"/>
                </w:rPr>
                <w:t>/INF/8</w:t>
              </w:r>
            </w:hyperlink>
            <w:r w:rsidR="008C19B2" w:rsidRPr="008C19B2">
              <w:rPr>
                <w:rFonts w:hint="eastAsia"/>
                <w:i/>
                <w:iCs/>
                <w:sz w:val="22"/>
                <w:szCs w:val="22"/>
                <w:lang w:eastAsia="ko-KR"/>
              </w:rPr>
              <w:t>.</w:t>
            </w:r>
          </w:p>
        </w:tc>
      </w:tr>
    </w:tbl>
    <w:p w14:paraId="4FF9402B"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281F944E"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3097AFDD" w14:textId="33D3C034" w:rsidR="00776744" w:rsidRPr="00CB679E" w:rsidRDefault="001E7494" w:rsidP="001E7494">
      <w:pPr>
        <w:pStyle w:val="nBodyCalibri"/>
        <w:rPr>
          <w:rFonts w:cstheme="minorBidi"/>
        </w:rPr>
      </w:pPr>
      <w:r w:rsidRPr="00CB679E">
        <w:lastRenderedPageBreak/>
        <w:t xml:space="preserve">The ITU is committed to </w:t>
      </w:r>
      <w:r>
        <w:t xml:space="preserve">playing its role in leading </w:t>
      </w:r>
      <w:r w:rsidRPr="00CB679E">
        <w:t xml:space="preserve">global digital transformation, </w:t>
      </w:r>
      <w:r>
        <w:t xml:space="preserve">aligned with </w:t>
      </w:r>
      <w:r w:rsidRPr="00CB679E">
        <w:t>the objectives</w:t>
      </w:r>
      <w:r>
        <w:t xml:space="preserve"> of </w:t>
      </w:r>
      <w:r w:rsidRPr="00CB679E">
        <w:t>the Global Digital Compact (</w:t>
      </w:r>
      <w:proofErr w:type="spellStart"/>
      <w:r w:rsidRPr="00CB679E">
        <w:t>GDC</w:t>
      </w:r>
      <w:proofErr w:type="spellEnd"/>
      <w:r w:rsidRPr="00CB679E">
        <w:t>)</w:t>
      </w:r>
      <w:r>
        <w:t xml:space="preserve">, which is an Annex to </w:t>
      </w:r>
      <w:r>
        <w:rPr>
          <w:rFonts w:hint="eastAsia"/>
        </w:rPr>
        <w:t>the Pact for the Future</w:t>
      </w:r>
      <w:r w:rsidRPr="00CB679E">
        <w:t>.</w:t>
      </w:r>
      <w:r>
        <w:rPr>
          <w:rFonts w:hint="eastAsia"/>
        </w:rPr>
        <w:t xml:space="preserve"> </w:t>
      </w:r>
      <w:r w:rsidRPr="6CE9D56E">
        <w:rPr>
          <w:rFonts w:cstheme="minorBidi"/>
        </w:rPr>
        <w:t>This document provide</w:t>
      </w:r>
      <w:r>
        <w:rPr>
          <w:rFonts w:cstheme="minorBidi"/>
        </w:rPr>
        <w:t>s</w:t>
      </w:r>
      <w:r w:rsidRPr="6CE9D56E">
        <w:rPr>
          <w:rFonts w:cstheme="minorBidi"/>
        </w:rPr>
        <w:t xml:space="preserve"> updates on</w:t>
      </w:r>
      <w:r>
        <w:rPr>
          <w:rFonts w:cstheme="minorBidi"/>
        </w:rPr>
        <w:t xml:space="preserve"> ITU’s own</w:t>
      </w:r>
      <w:r w:rsidRPr="6CE9D56E">
        <w:rPr>
          <w:rFonts w:cstheme="minorBidi"/>
        </w:rPr>
        <w:t xml:space="preserve"> </w:t>
      </w:r>
      <w:hyperlink r:id="rId26">
        <w:r w:rsidRPr="6CE9D56E">
          <w:rPr>
            <w:rStyle w:val="Hyperlink"/>
            <w:rFonts w:cstheme="minorBidi"/>
          </w:rPr>
          <w:t>Action Plan</w:t>
        </w:r>
      </w:hyperlink>
      <w:r w:rsidRPr="6CE9D56E">
        <w:rPr>
          <w:rFonts w:cstheme="minorBidi"/>
        </w:rPr>
        <w:t xml:space="preserve"> </w:t>
      </w:r>
      <w:r>
        <w:rPr>
          <w:rFonts w:cstheme="minorBidi"/>
        </w:rPr>
        <w:t xml:space="preserve">on the Global Digital Compact </w:t>
      </w:r>
      <w:r w:rsidRPr="6CE9D56E">
        <w:rPr>
          <w:rFonts w:cstheme="minorBidi"/>
        </w:rPr>
        <w:t>since the last Council, held in</w:t>
      </w:r>
      <w:r>
        <w:rPr>
          <w:rFonts w:cstheme="minorBidi" w:hint="eastAsia"/>
        </w:rPr>
        <w:t xml:space="preserve"> June this year</w:t>
      </w:r>
      <w:r w:rsidRPr="6CE9D56E">
        <w:rPr>
          <w:rFonts w:cstheme="minorBidi"/>
        </w:rPr>
        <w:t>.</w:t>
      </w:r>
    </w:p>
    <w:p w14:paraId="46427518" w14:textId="77777777" w:rsidR="00776744" w:rsidRPr="001E7494" w:rsidRDefault="00776744" w:rsidP="005B2EE0">
      <w:pPr>
        <w:pStyle w:val="Heading1"/>
        <w:spacing w:before="240"/>
      </w:pPr>
      <w:r w:rsidRPr="001E7494">
        <w:t>1</w:t>
      </w:r>
      <w:r w:rsidRPr="001E7494">
        <w:tab/>
      </w:r>
      <w:r w:rsidRPr="001E7494">
        <w:rPr>
          <w:rFonts w:hint="eastAsia"/>
        </w:rPr>
        <w:t xml:space="preserve">Implementation of the </w:t>
      </w:r>
      <w:proofErr w:type="spellStart"/>
      <w:r w:rsidRPr="001E7494">
        <w:t>GDC</w:t>
      </w:r>
      <w:proofErr w:type="spellEnd"/>
      <w:r w:rsidRPr="001E7494">
        <w:t xml:space="preserve"> in ITU </w:t>
      </w:r>
      <w:r w:rsidRPr="001E7494">
        <w:rPr>
          <w:rFonts w:hint="eastAsia"/>
        </w:rPr>
        <w:t>activities</w:t>
      </w:r>
      <w:r w:rsidRPr="001E7494">
        <w:t xml:space="preserve"> </w:t>
      </w:r>
    </w:p>
    <w:p w14:paraId="7E930251" w14:textId="7ADE770E" w:rsidR="00776744" w:rsidRPr="006009FE" w:rsidRDefault="00776744" w:rsidP="006009FE">
      <w:pPr>
        <w:jc w:val="both"/>
        <w:rPr>
          <w:rFonts w:asciiTheme="minorHAnsi" w:hAnsiTheme="minorHAnsi" w:cstheme="minorHAnsi"/>
          <w:lang w:eastAsia="ko-KR"/>
        </w:rPr>
      </w:pPr>
      <w:r w:rsidRPr="006009FE">
        <w:rPr>
          <w:rFonts w:asciiTheme="minorHAnsi" w:hAnsiTheme="minorHAnsi" w:cstheme="minorHAnsi"/>
        </w:rPr>
        <w:t>As part of its contribution to the GDC implementation, ITU continues to advance inclusive and responsible digital development in line with its mandate and the WSIS framework. Ongoing efforts include the expansion of the Giga initiative, with over 40 countries now engaged to connect every school to the internet by 2030,</w:t>
      </w:r>
      <w:r w:rsidRPr="006009FE">
        <w:rPr>
          <w:rFonts w:asciiTheme="minorHAnsi" w:hAnsiTheme="minorHAnsi" w:cstheme="minorHAnsi"/>
          <w:lang w:eastAsia="ko-KR"/>
        </w:rPr>
        <w:t xml:space="preserve"> and </w:t>
      </w:r>
      <w:hyperlink r:id="rId27" w:history="1">
        <w:r w:rsidRPr="006009FE">
          <w:rPr>
            <w:rStyle w:val="Hyperlink"/>
            <w:rFonts w:asciiTheme="minorHAnsi" w:hAnsiTheme="minorHAnsi" w:cstheme="minorHAnsi"/>
            <w:lang w:eastAsia="ko-KR"/>
          </w:rPr>
          <w:t xml:space="preserve">the launch of </w:t>
        </w:r>
        <w:r w:rsidRPr="006009FE">
          <w:rPr>
            <w:rStyle w:val="Hyperlink"/>
            <w:rFonts w:asciiTheme="minorHAnsi" w:hAnsiTheme="minorHAnsi" w:cstheme="minorHAnsi"/>
            <w:i/>
            <w:iCs/>
            <w:lang w:eastAsia="ko-KR"/>
          </w:rPr>
          <w:t xml:space="preserve">the ITU-UNCTAD Digital Infrastructure Investment </w:t>
        </w:r>
        <w:proofErr w:type="spellStart"/>
        <w:r w:rsidRPr="006009FE">
          <w:rPr>
            <w:rStyle w:val="Hyperlink"/>
            <w:rFonts w:asciiTheme="minorHAnsi" w:hAnsiTheme="minorHAnsi" w:cstheme="minorHAnsi"/>
            <w:i/>
            <w:iCs/>
            <w:lang w:eastAsia="ko-KR"/>
          </w:rPr>
          <w:t>Catalyzer</w:t>
        </w:r>
        <w:proofErr w:type="spellEnd"/>
      </w:hyperlink>
      <w:r w:rsidRPr="006009FE">
        <w:rPr>
          <w:rFonts w:asciiTheme="minorHAnsi" w:hAnsiTheme="minorHAnsi" w:cstheme="minorHAnsi"/>
          <w:i/>
          <w:iCs/>
          <w:lang w:eastAsia="ko-KR"/>
        </w:rPr>
        <w:t xml:space="preserve"> </w:t>
      </w:r>
      <w:r w:rsidRPr="006009FE">
        <w:rPr>
          <w:rFonts w:asciiTheme="minorHAnsi" w:hAnsiTheme="minorHAnsi" w:cstheme="minorHAnsi"/>
          <w:lang w:eastAsia="ko-KR"/>
        </w:rPr>
        <w:t xml:space="preserve">at the Fourth International Conference on Financing for Development (FfD4), aiming to mobilize the roughly US $1.6 </w:t>
      </w:r>
      <w:r w:rsidR="001E7494" w:rsidRPr="00396F0F">
        <w:rPr>
          <w:lang w:eastAsia="ko-KR"/>
        </w:rPr>
        <w:t>trillion needed to address</w:t>
      </w:r>
      <w:r w:rsidR="001E7494">
        <w:rPr>
          <w:lang w:eastAsia="ko-KR"/>
        </w:rPr>
        <w:t xml:space="preserve"> the</w:t>
      </w:r>
      <w:r w:rsidR="001E7494" w:rsidRPr="00396F0F">
        <w:rPr>
          <w:lang w:eastAsia="ko-KR"/>
        </w:rPr>
        <w:t xml:space="preserve"> critical digital infrastructure financing gap</w:t>
      </w:r>
      <w:r w:rsidR="001E7494">
        <w:rPr>
          <w:rFonts w:hint="eastAsia"/>
          <w:lang w:eastAsia="ko-KR"/>
        </w:rPr>
        <w:t xml:space="preserve">. ITU also advances the development of the UN AI Toolkit with UNESCO, UNDP and the UN Inter-Agency Working Group on AI, to </w:t>
      </w:r>
      <w:r w:rsidR="001E7494">
        <w:rPr>
          <w:lang w:eastAsia="ko-KR"/>
        </w:rPr>
        <w:t>strengthen</w:t>
      </w:r>
      <w:r w:rsidR="001E7494">
        <w:rPr>
          <w:rFonts w:hint="eastAsia"/>
          <w:lang w:eastAsia="ko-KR"/>
        </w:rPr>
        <w:t xml:space="preserve"> global AI capacity building</w:t>
      </w:r>
      <w:r w:rsidR="001E7494" w:rsidRPr="005D3AFD">
        <w:t>.</w:t>
      </w:r>
      <w:r w:rsidRPr="006009FE">
        <w:rPr>
          <w:rFonts w:asciiTheme="minorHAnsi" w:hAnsiTheme="minorHAnsi" w:cstheme="minorHAnsi"/>
          <w:lang w:eastAsia="ko-KR"/>
        </w:rPr>
        <w:t xml:space="preserve"> </w:t>
      </w:r>
    </w:p>
    <w:p w14:paraId="68CCCD24" w14:textId="2A6C50F9" w:rsidR="00776744" w:rsidRPr="00396F0F" w:rsidRDefault="00776744" w:rsidP="006009FE">
      <w:pPr>
        <w:jc w:val="both"/>
        <w:rPr>
          <w:lang w:eastAsia="ko-KR"/>
        </w:rPr>
      </w:pPr>
      <w:r w:rsidRPr="006009FE">
        <w:rPr>
          <w:rFonts w:asciiTheme="minorHAnsi" w:hAnsiTheme="minorHAnsi" w:cstheme="minorHAnsi"/>
          <w:lang w:eastAsia="ko-KR"/>
        </w:rPr>
        <w:t>In July</w:t>
      </w:r>
      <w:r w:rsidR="001E7494">
        <w:rPr>
          <w:rFonts w:asciiTheme="minorHAnsi" w:hAnsiTheme="minorHAnsi" w:cstheme="minorHAnsi"/>
          <w:lang w:eastAsia="ko-KR"/>
        </w:rPr>
        <w:t xml:space="preserve"> 2025</w:t>
      </w:r>
      <w:r w:rsidRPr="006009FE">
        <w:rPr>
          <w:rFonts w:asciiTheme="minorHAnsi" w:hAnsiTheme="minorHAnsi" w:cstheme="minorHAnsi"/>
          <w:lang w:eastAsia="ko-KR"/>
        </w:rPr>
        <w:t xml:space="preserve">, the AI for Good Global Summit and </w:t>
      </w:r>
      <w:proofErr w:type="spellStart"/>
      <w:r w:rsidRPr="006009FE">
        <w:rPr>
          <w:rFonts w:asciiTheme="minorHAnsi" w:hAnsiTheme="minorHAnsi" w:cstheme="minorHAnsi"/>
          <w:lang w:eastAsia="ko-KR"/>
        </w:rPr>
        <w:t>WSIS+20</w:t>
      </w:r>
      <w:proofErr w:type="spellEnd"/>
      <w:r w:rsidRPr="006009FE">
        <w:rPr>
          <w:rFonts w:asciiTheme="minorHAnsi" w:hAnsiTheme="minorHAnsi" w:cstheme="minorHAnsi"/>
          <w:lang w:eastAsia="ko-KR"/>
        </w:rPr>
        <w:t xml:space="preserve"> High-Level Event </w:t>
      </w:r>
      <w:r w:rsidR="006009FE" w:rsidRPr="006009FE">
        <w:rPr>
          <w:rFonts w:asciiTheme="minorHAnsi" w:eastAsia="Malgun Gothic" w:hAnsiTheme="minorHAnsi" w:cstheme="minorHAnsi"/>
          <w:lang w:eastAsia="ko-KR"/>
        </w:rPr>
        <w:t>–</w:t>
      </w:r>
      <w:r w:rsidRPr="006009FE">
        <w:rPr>
          <w:rFonts w:asciiTheme="minorHAnsi" w:hAnsiTheme="minorHAnsi" w:cstheme="minorHAnsi"/>
          <w:lang w:eastAsia="ko-KR"/>
        </w:rPr>
        <w:t xml:space="preserve"> held in Geneva, brought together thousands of global participants and UN partners to advance dialogue on connectivity, digital skills, AI governance and standards. Key outcomes included the launch of the Global Initiatives on AI for Food Systems, new resources on multimedia authenticity standards, </w:t>
      </w:r>
      <w:r w:rsidR="001E7494">
        <w:rPr>
          <w:rFonts w:asciiTheme="minorHAnsi" w:hAnsiTheme="minorHAnsi" w:cstheme="minorHAnsi"/>
          <w:lang w:eastAsia="ko-KR"/>
        </w:rPr>
        <w:t xml:space="preserve">the </w:t>
      </w:r>
      <w:r w:rsidRPr="006009FE">
        <w:rPr>
          <w:rFonts w:asciiTheme="minorHAnsi" w:hAnsiTheme="minorHAnsi" w:cstheme="minorHAnsi"/>
          <w:lang w:eastAsia="ko-KR"/>
        </w:rPr>
        <w:t>AI standard exchange database, and the appointment of will.i.am as ITU Goodwill Ambassador to promote AI skills training for 10</w:t>
      </w:r>
      <w:r w:rsidR="006009FE" w:rsidRPr="006009FE">
        <w:rPr>
          <w:rFonts w:asciiTheme="minorHAnsi" w:hAnsiTheme="minorHAnsi" w:cstheme="minorHAnsi"/>
          <w:lang w:eastAsia="ko-KR"/>
        </w:rPr>
        <w:t> </w:t>
      </w:r>
      <w:r w:rsidRPr="006009FE">
        <w:rPr>
          <w:rFonts w:asciiTheme="minorHAnsi" w:hAnsiTheme="minorHAnsi" w:cstheme="minorHAnsi"/>
          <w:lang w:eastAsia="ko-KR"/>
        </w:rPr>
        <w:t>000 people, especially from developing countries. A high-level global dialogue on AI governance with 53 UN entities reinforced inclusive and sustainable AI development.</w:t>
      </w:r>
      <w:r>
        <w:rPr>
          <w:rFonts w:hint="eastAsia"/>
          <w:lang w:eastAsia="ko-KR"/>
        </w:rPr>
        <w:t xml:space="preserve"> </w:t>
      </w:r>
    </w:p>
    <w:p w14:paraId="13E6D7B1" w14:textId="77777777" w:rsidR="00776744" w:rsidRPr="001E7494" w:rsidRDefault="00776744" w:rsidP="005B2EE0">
      <w:pPr>
        <w:pStyle w:val="Heading1"/>
        <w:spacing w:before="240"/>
      </w:pPr>
      <w:r w:rsidRPr="001E7494">
        <w:t>2</w:t>
      </w:r>
      <w:r w:rsidRPr="001E7494">
        <w:tab/>
      </w:r>
      <w:r w:rsidRPr="001E7494">
        <w:rPr>
          <w:rFonts w:hint="eastAsia"/>
        </w:rPr>
        <w:t xml:space="preserve">Development of the </w:t>
      </w:r>
      <w:proofErr w:type="spellStart"/>
      <w:r w:rsidRPr="001E7494">
        <w:rPr>
          <w:rFonts w:hint="eastAsia"/>
        </w:rPr>
        <w:t>GDC</w:t>
      </w:r>
      <w:proofErr w:type="spellEnd"/>
      <w:r w:rsidRPr="001E7494">
        <w:rPr>
          <w:rFonts w:hint="eastAsia"/>
        </w:rPr>
        <w:t xml:space="preserve"> Implementation Map</w:t>
      </w:r>
    </w:p>
    <w:p w14:paraId="13E9643A" w14:textId="55E1A80A" w:rsidR="005B2EE0" w:rsidRDefault="005B2EE0" w:rsidP="005B2EE0">
      <w:pPr>
        <w:jc w:val="both"/>
        <w:rPr>
          <w:lang w:eastAsia="ko-KR"/>
        </w:rPr>
      </w:pPr>
      <w:r>
        <w:rPr>
          <w:rFonts w:hint="eastAsia"/>
          <w:lang w:eastAsia="ko-KR"/>
        </w:rPr>
        <w:t xml:space="preserve">ITU co-leads </w:t>
      </w:r>
      <w:r>
        <w:rPr>
          <w:lang w:eastAsia="ko-KR"/>
        </w:rPr>
        <w:t xml:space="preserve">with the UN Office for Digital and Emerging Technologies </w:t>
      </w:r>
      <w:r>
        <w:rPr>
          <w:rFonts w:hint="eastAsia"/>
          <w:lang w:eastAsia="ko-KR"/>
        </w:rPr>
        <w:t xml:space="preserve">the Working Group on Digital Technologies </w:t>
      </w:r>
      <w:r>
        <w:rPr>
          <w:lang w:eastAsia="ko-KR"/>
        </w:rPr>
        <w:t>(</w:t>
      </w:r>
      <w:proofErr w:type="spellStart"/>
      <w:r>
        <w:rPr>
          <w:lang w:eastAsia="ko-KR"/>
        </w:rPr>
        <w:t>WGDT</w:t>
      </w:r>
      <w:proofErr w:type="spellEnd"/>
      <w:r>
        <w:rPr>
          <w:lang w:eastAsia="ko-KR"/>
        </w:rPr>
        <w:t>) –</w:t>
      </w:r>
      <w:r>
        <w:rPr>
          <w:rFonts w:hint="eastAsia"/>
          <w:lang w:eastAsia="ko-KR"/>
        </w:rPr>
        <w:t xml:space="preserve"> an inter-agency group supporting the implementation of the </w:t>
      </w:r>
      <w:proofErr w:type="spellStart"/>
      <w:r>
        <w:rPr>
          <w:rFonts w:hint="eastAsia"/>
          <w:lang w:eastAsia="ko-KR"/>
        </w:rPr>
        <w:t>GDC</w:t>
      </w:r>
      <w:proofErr w:type="spellEnd"/>
      <w:r>
        <w:rPr>
          <w:lang w:eastAsia="ko-KR"/>
        </w:rPr>
        <w:t xml:space="preserve"> and chapter 3 of the Pact for the Future. It is one of several working groups under </w:t>
      </w:r>
      <w:r>
        <w:rPr>
          <w:rFonts w:hint="eastAsia"/>
          <w:lang w:eastAsia="ko-KR"/>
        </w:rPr>
        <w:t xml:space="preserve">the UN Steering Committee for Pact </w:t>
      </w:r>
      <w:r>
        <w:rPr>
          <w:lang w:eastAsia="ko-KR"/>
        </w:rPr>
        <w:t>implementation</w:t>
      </w:r>
      <w:r>
        <w:rPr>
          <w:rFonts w:hint="eastAsia"/>
          <w:lang w:eastAsia="ko-KR"/>
        </w:rPr>
        <w:t xml:space="preserve">, </w:t>
      </w:r>
      <w:r>
        <w:rPr>
          <w:lang w:eastAsia="ko-KR"/>
        </w:rPr>
        <w:t xml:space="preserve">which is </w:t>
      </w:r>
      <w:r>
        <w:rPr>
          <w:rFonts w:hint="eastAsia"/>
          <w:lang w:eastAsia="ko-KR"/>
        </w:rPr>
        <w:t xml:space="preserve">chaired by the UN Secretary-General. </w:t>
      </w:r>
    </w:p>
    <w:p w14:paraId="3FB7D507" w14:textId="73C493A5" w:rsidR="00776744" w:rsidRPr="00572B08" w:rsidRDefault="005B2EE0" w:rsidP="00484B9D">
      <w:pPr>
        <w:jc w:val="both"/>
        <w:rPr>
          <w:lang w:eastAsia="ko-KR"/>
        </w:rPr>
      </w:pPr>
      <w:r>
        <w:rPr>
          <w:lang w:eastAsia="ko-KR"/>
        </w:rPr>
        <w:t>Under</w:t>
      </w:r>
      <w:r>
        <w:rPr>
          <w:rFonts w:hint="eastAsia"/>
          <w:lang w:eastAsia="ko-KR"/>
        </w:rPr>
        <w:t xml:space="preserve"> ITU</w:t>
      </w:r>
      <w:r>
        <w:rPr>
          <w:lang w:eastAsia="ko-KR"/>
        </w:rPr>
        <w:t>’</w:t>
      </w:r>
      <w:r>
        <w:rPr>
          <w:rFonts w:hint="eastAsia"/>
          <w:lang w:eastAsia="ko-KR"/>
        </w:rPr>
        <w:t xml:space="preserve">s leadership, the </w:t>
      </w:r>
      <w:proofErr w:type="spellStart"/>
      <w:r>
        <w:rPr>
          <w:lang w:eastAsia="ko-KR"/>
        </w:rPr>
        <w:t>WGDT</w:t>
      </w:r>
      <w:proofErr w:type="spellEnd"/>
      <w:r>
        <w:rPr>
          <w:rFonts w:hint="eastAsia"/>
          <w:lang w:eastAsia="ko-KR"/>
        </w:rPr>
        <w:t xml:space="preserve"> developed </w:t>
      </w:r>
      <w:hyperlink r:id="rId28" w:history="1">
        <w:r w:rsidRPr="006C322F">
          <w:rPr>
            <w:rStyle w:val="Hyperlink"/>
            <w:rFonts w:hint="eastAsia"/>
            <w:lang w:eastAsia="ko-KR"/>
          </w:rPr>
          <w:t xml:space="preserve">the </w:t>
        </w:r>
        <w:proofErr w:type="spellStart"/>
        <w:r w:rsidRPr="006C322F">
          <w:rPr>
            <w:rStyle w:val="Hyperlink"/>
            <w:rFonts w:hint="eastAsia"/>
            <w:lang w:eastAsia="ko-KR"/>
          </w:rPr>
          <w:t>GDC</w:t>
        </w:r>
        <w:proofErr w:type="spellEnd"/>
        <w:r w:rsidRPr="006C322F">
          <w:rPr>
            <w:rStyle w:val="Hyperlink"/>
            <w:rFonts w:hint="eastAsia"/>
            <w:lang w:eastAsia="ko-KR"/>
          </w:rPr>
          <w:t xml:space="preserve"> Implementation Map</w:t>
        </w:r>
      </w:hyperlink>
      <w:r>
        <w:rPr>
          <w:rFonts w:hint="eastAsia"/>
          <w:lang w:eastAsia="ko-KR"/>
        </w:rPr>
        <w:t xml:space="preserve">, building on </w:t>
      </w:r>
      <w:hyperlink r:id="rId29" w:history="1">
        <w:r w:rsidRPr="00572B08">
          <w:rPr>
            <w:rStyle w:val="Hyperlink"/>
            <w:rFonts w:hint="eastAsia"/>
            <w:lang w:eastAsia="ko-KR"/>
          </w:rPr>
          <w:t>the WSIS-2030</w:t>
        </w:r>
        <w:r>
          <w:rPr>
            <w:rStyle w:val="Hyperlink"/>
            <w:lang w:eastAsia="ko-KR"/>
          </w:rPr>
          <w:t xml:space="preserve"> </w:t>
        </w:r>
        <w:r w:rsidRPr="00572B08">
          <w:rPr>
            <w:rStyle w:val="Hyperlink"/>
            <w:rFonts w:hint="eastAsia"/>
            <w:lang w:eastAsia="ko-KR"/>
          </w:rPr>
          <w:t>Agenda-</w:t>
        </w:r>
        <w:proofErr w:type="spellStart"/>
        <w:r w:rsidRPr="00572B08">
          <w:rPr>
            <w:rStyle w:val="Hyperlink"/>
            <w:rFonts w:hint="eastAsia"/>
            <w:lang w:eastAsia="ko-KR"/>
          </w:rPr>
          <w:t>GDC</w:t>
        </w:r>
        <w:proofErr w:type="spellEnd"/>
        <w:r w:rsidRPr="00572B08">
          <w:rPr>
            <w:rStyle w:val="Hyperlink"/>
            <w:rFonts w:hint="eastAsia"/>
            <w:lang w:eastAsia="ko-KR"/>
          </w:rPr>
          <w:t xml:space="preserve"> matrix</w:t>
        </w:r>
      </w:hyperlink>
      <w:r>
        <w:t>, which was</w:t>
      </w:r>
      <w:r>
        <w:rPr>
          <w:rFonts w:hint="eastAsia"/>
          <w:lang w:eastAsia="ko-KR"/>
        </w:rPr>
        <w:t xml:space="preserve"> created by </w:t>
      </w:r>
      <w:proofErr w:type="spellStart"/>
      <w:r>
        <w:rPr>
          <w:rFonts w:hint="eastAsia"/>
          <w:lang w:eastAsia="ko-KR"/>
        </w:rPr>
        <w:t>UNGIS</w:t>
      </w:r>
      <w:proofErr w:type="spellEnd"/>
      <w:r>
        <w:rPr>
          <w:rFonts w:hint="eastAsia"/>
          <w:lang w:eastAsia="ko-KR"/>
        </w:rPr>
        <w:t xml:space="preserve">. </w:t>
      </w:r>
      <w:r>
        <w:rPr>
          <w:lang w:eastAsia="ko-KR"/>
        </w:rPr>
        <w:t xml:space="preserve">The </w:t>
      </w:r>
      <w:proofErr w:type="spellStart"/>
      <w:r>
        <w:rPr>
          <w:lang w:eastAsia="ko-KR"/>
        </w:rPr>
        <w:t>GDC</w:t>
      </w:r>
      <w:proofErr w:type="spellEnd"/>
      <w:r>
        <w:rPr>
          <w:lang w:eastAsia="ko-KR"/>
        </w:rPr>
        <w:t xml:space="preserve"> Implementation Map responds to the request in paragraph 71 of the </w:t>
      </w:r>
      <w:proofErr w:type="spellStart"/>
      <w:r>
        <w:rPr>
          <w:lang w:eastAsia="ko-KR"/>
        </w:rPr>
        <w:t>GDC</w:t>
      </w:r>
      <w:proofErr w:type="spellEnd"/>
      <w:r>
        <w:rPr>
          <w:lang w:eastAsia="ko-KR"/>
        </w:rPr>
        <w:t xml:space="preserve">. It </w:t>
      </w:r>
      <w:r>
        <w:rPr>
          <w:rFonts w:hint="eastAsia"/>
          <w:lang w:eastAsia="ko-KR"/>
        </w:rPr>
        <w:t xml:space="preserve">outlines the implementation framework, including </w:t>
      </w:r>
      <w:r>
        <w:rPr>
          <w:lang w:eastAsia="ko-KR"/>
        </w:rPr>
        <w:t>a</w:t>
      </w:r>
      <w:r>
        <w:rPr>
          <w:rFonts w:hint="eastAsia"/>
          <w:lang w:eastAsia="ko-KR"/>
        </w:rPr>
        <w:t xml:space="preserve"> shared vision, collaboration mechanisms, phased strategy, available resources, and monitoring and evaluation processes, as well as </w:t>
      </w:r>
      <w:hyperlink r:id="rId30" w:history="1">
        <w:r w:rsidRPr="006C322F">
          <w:rPr>
            <w:rStyle w:val="Hyperlink"/>
            <w:rFonts w:hint="eastAsia"/>
            <w:lang w:eastAsia="ko-KR"/>
          </w:rPr>
          <w:t>detailed UN system initiatives</w:t>
        </w:r>
      </w:hyperlink>
      <w:r>
        <w:rPr>
          <w:rFonts w:hint="eastAsia"/>
          <w:lang w:eastAsia="ko-KR"/>
        </w:rPr>
        <w:t xml:space="preserve"> supporting the </w:t>
      </w:r>
      <w:proofErr w:type="spellStart"/>
      <w:r>
        <w:rPr>
          <w:rFonts w:hint="eastAsia"/>
          <w:lang w:eastAsia="ko-KR"/>
        </w:rPr>
        <w:t>GDC</w:t>
      </w:r>
      <w:proofErr w:type="spellEnd"/>
      <w:r>
        <w:rPr>
          <w:rFonts w:hint="eastAsia"/>
          <w:lang w:eastAsia="ko-KR"/>
        </w:rPr>
        <w:t xml:space="preserve"> and key milestones identified by the </w:t>
      </w:r>
      <w:proofErr w:type="spellStart"/>
      <w:r>
        <w:rPr>
          <w:lang w:eastAsia="ko-KR"/>
        </w:rPr>
        <w:t>WGDT</w:t>
      </w:r>
      <w:proofErr w:type="spellEnd"/>
      <w:r>
        <w:rPr>
          <w:rFonts w:hint="eastAsia"/>
          <w:lang w:eastAsia="ko-KR"/>
        </w:rPr>
        <w:t xml:space="preserve"> </w:t>
      </w:r>
      <w:r>
        <w:rPr>
          <w:lang w:eastAsia="ko-KR"/>
        </w:rPr>
        <w:t>toward</w:t>
      </w:r>
      <w:r>
        <w:rPr>
          <w:rFonts w:hint="eastAsia"/>
          <w:lang w:eastAsia="ko-KR"/>
        </w:rPr>
        <w:t xml:space="preserve"> the High-Level Review of the </w:t>
      </w:r>
      <w:proofErr w:type="spellStart"/>
      <w:r>
        <w:rPr>
          <w:rFonts w:hint="eastAsia"/>
          <w:lang w:eastAsia="ko-KR"/>
        </w:rPr>
        <w:t>GDC</w:t>
      </w:r>
      <w:proofErr w:type="spellEnd"/>
      <w:r>
        <w:rPr>
          <w:rFonts w:hint="eastAsia"/>
          <w:lang w:eastAsia="ko-KR"/>
        </w:rPr>
        <w:t xml:space="preserve"> scheduled to take place </w:t>
      </w:r>
      <w:r w:rsidRPr="00271574">
        <w:rPr>
          <w:lang w:eastAsia="ko-KR"/>
        </w:rPr>
        <w:t>during the eighty-second session of the</w:t>
      </w:r>
      <w:r>
        <w:rPr>
          <w:lang w:eastAsia="ko-KR"/>
        </w:rPr>
        <w:t xml:space="preserve"> UN</w:t>
      </w:r>
      <w:r w:rsidRPr="00271574">
        <w:rPr>
          <w:lang w:eastAsia="ko-KR"/>
        </w:rPr>
        <w:t xml:space="preserve"> General Assembly</w:t>
      </w:r>
      <w:r>
        <w:rPr>
          <w:rFonts w:hint="eastAsia"/>
          <w:lang w:eastAsia="ko-KR"/>
        </w:rPr>
        <w:t>.</w:t>
      </w:r>
    </w:p>
    <w:p w14:paraId="0A74412B" w14:textId="77777777" w:rsidR="00776744" w:rsidRPr="001E7494" w:rsidRDefault="00776744" w:rsidP="005B2EE0">
      <w:pPr>
        <w:pStyle w:val="Heading1"/>
        <w:spacing w:before="240"/>
      </w:pPr>
      <w:r w:rsidRPr="001E7494">
        <w:rPr>
          <w:rFonts w:hint="eastAsia"/>
        </w:rPr>
        <w:t>3</w:t>
      </w:r>
      <w:r w:rsidRPr="001E7494">
        <w:tab/>
      </w:r>
      <w:r w:rsidRPr="001E7494">
        <w:rPr>
          <w:rFonts w:hint="eastAsia"/>
        </w:rPr>
        <w:t xml:space="preserve">Supporting Implementation of the Pact for the Future </w:t>
      </w:r>
    </w:p>
    <w:p w14:paraId="28F4B702" w14:textId="664334CC" w:rsidR="00776744" w:rsidRPr="006009FE" w:rsidRDefault="005B2EE0" w:rsidP="00484B9D">
      <w:pPr>
        <w:jc w:val="both"/>
        <w:rPr>
          <w:rFonts w:asciiTheme="minorHAnsi" w:hAnsiTheme="minorHAnsi" w:cstheme="minorHAnsi"/>
        </w:rPr>
      </w:pPr>
      <w:r>
        <w:t xml:space="preserve">In addition to ITU’s co-leadership of the </w:t>
      </w:r>
      <w:proofErr w:type="spellStart"/>
      <w:r>
        <w:t>WGDT</w:t>
      </w:r>
      <w:proofErr w:type="spellEnd"/>
      <w:r>
        <w:t xml:space="preserve">, </w:t>
      </w:r>
      <w:r w:rsidRPr="005D3AFD">
        <w:t>ITU</w:t>
      </w:r>
      <w:r>
        <w:rPr>
          <w:rFonts w:hint="eastAsia"/>
          <w:lang w:eastAsia="ko-KR"/>
        </w:rPr>
        <w:t xml:space="preserve"> </w:t>
      </w:r>
      <w:r>
        <w:rPr>
          <w:lang w:eastAsia="ko-KR"/>
        </w:rPr>
        <w:t>continues</w:t>
      </w:r>
      <w:r>
        <w:rPr>
          <w:rFonts w:hint="eastAsia"/>
          <w:lang w:eastAsia="ko-KR"/>
        </w:rPr>
        <w:t xml:space="preserve"> to support the implementation of the Pact for the Future through active engagement in </w:t>
      </w:r>
      <w:r>
        <w:rPr>
          <w:lang w:eastAsia="ko-KR"/>
        </w:rPr>
        <w:t xml:space="preserve">a number of the other </w:t>
      </w:r>
      <w:r>
        <w:rPr>
          <w:rFonts w:hint="eastAsia"/>
          <w:lang w:eastAsia="ko-KR"/>
        </w:rPr>
        <w:t xml:space="preserve">Working Groups of the Pact Steering Committee - on SDGs, Peace and Security, Youth, and UN Governance Reform. </w:t>
      </w:r>
      <w:r>
        <w:rPr>
          <w:lang w:eastAsia="ko-KR"/>
        </w:rPr>
        <w:t xml:space="preserve">For example, </w:t>
      </w:r>
      <w:r>
        <w:rPr>
          <w:rFonts w:hint="eastAsia"/>
          <w:lang w:eastAsia="ko-KR"/>
        </w:rPr>
        <w:t>ITU co-leads the Pact</w:t>
      </w:r>
      <w:r>
        <w:rPr>
          <w:lang w:eastAsia="ko-KR"/>
        </w:rPr>
        <w:t>’</w:t>
      </w:r>
      <w:r>
        <w:rPr>
          <w:rFonts w:hint="eastAsia"/>
          <w:lang w:eastAsia="ko-KR"/>
        </w:rPr>
        <w:t xml:space="preserve">s Action 27 (c) on bridging digital divides and contributes to Action 24 (b) on ICT-related crime prevention. </w:t>
      </w:r>
    </w:p>
    <w:p w14:paraId="2D7C5776" w14:textId="04B01EDA" w:rsidR="007E691F" w:rsidRPr="007E691F" w:rsidRDefault="007E691F" w:rsidP="007E691F">
      <w:pPr>
        <w:jc w:val="center"/>
      </w:pPr>
      <w:r>
        <w:t>______________</w:t>
      </w:r>
    </w:p>
    <w:sectPr w:rsidR="007E691F" w:rsidRPr="007E691F" w:rsidSect="00AD3606">
      <w:footerReference w:type="default" r:id="rId31"/>
      <w:headerReference w:type="first" r:id="rId32"/>
      <w:footerReference w:type="first" r:id="rId3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9BD04" w14:textId="77777777" w:rsidR="00745EBC" w:rsidRDefault="00745EBC">
      <w:r>
        <w:separator/>
      </w:r>
    </w:p>
  </w:endnote>
  <w:endnote w:type="continuationSeparator" w:id="0">
    <w:p w14:paraId="643B7D22" w14:textId="77777777" w:rsidR="00745EBC" w:rsidRDefault="00745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76744" w14:paraId="1D326A6B" w14:textId="77777777" w:rsidTr="0042469C">
      <w:trPr>
        <w:jc w:val="center"/>
      </w:trPr>
      <w:tc>
        <w:tcPr>
          <w:tcW w:w="1803" w:type="dxa"/>
          <w:vAlign w:val="center"/>
        </w:tcPr>
        <w:p w14:paraId="7B71F93F" w14:textId="77777777" w:rsidR="00EE49E8" w:rsidRDefault="00EE49E8" w:rsidP="00EE49E8">
          <w:pPr>
            <w:pStyle w:val="Header"/>
            <w:jc w:val="left"/>
            <w:rPr>
              <w:noProof/>
            </w:rPr>
          </w:pPr>
        </w:p>
      </w:tc>
      <w:tc>
        <w:tcPr>
          <w:tcW w:w="8261" w:type="dxa"/>
        </w:tcPr>
        <w:p w14:paraId="5E73D800" w14:textId="22D79452" w:rsidR="00EE49E8" w:rsidRPr="00877BF2" w:rsidRDefault="00EE49E8" w:rsidP="00C1014F">
          <w:pPr>
            <w:pStyle w:val="Header"/>
            <w:tabs>
              <w:tab w:val="left" w:pos="5740"/>
              <w:tab w:val="right" w:pos="8505"/>
              <w:tab w:val="right" w:pos="9639"/>
            </w:tabs>
            <w:jc w:val="left"/>
            <w:rPr>
              <w:rFonts w:ascii="Arial" w:hAnsi="Arial" w:cs="Arial"/>
              <w:b/>
              <w:bCs/>
              <w:szCs w:val="18"/>
              <w:lang w:val="es-ES"/>
            </w:rPr>
          </w:pPr>
          <w:r w:rsidRPr="005C13D4">
            <w:rPr>
              <w:bCs/>
              <w:lang w:val="fr-CH"/>
            </w:rPr>
            <w:tab/>
          </w:r>
          <w:proofErr w:type="spellStart"/>
          <w:r w:rsidR="00227AAB" w:rsidRPr="00227AAB">
            <w:rPr>
              <w:bCs/>
              <w:lang w:val="es-ES"/>
            </w:rPr>
            <w:t>CWG-WSIS&amp;SDG-</w:t>
          </w:r>
          <w:r w:rsidR="00A52102">
            <w:rPr>
              <w:bCs/>
              <w:lang w:val="es-ES"/>
            </w:rPr>
            <w:t>43</w:t>
          </w:r>
          <w:proofErr w:type="spellEnd"/>
          <w:r w:rsidR="00227AAB">
            <w:rPr>
              <w:bCs/>
              <w:lang w:val="es-ES"/>
            </w:rPr>
            <w:t>/</w:t>
          </w:r>
          <w:r w:rsidR="008C19B2">
            <w:rPr>
              <w:bCs/>
              <w:lang w:val="es-ES"/>
            </w:rPr>
            <w:t>12</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32294C5C"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76744" w14:paraId="5B25C486" w14:textId="77777777" w:rsidTr="00A52C84">
      <w:trPr>
        <w:jc w:val="center"/>
      </w:trPr>
      <w:tc>
        <w:tcPr>
          <w:tcW w:w="3107" w:type="dxa"/>
          <w:vAlign w:val="center"/>
        </w:tcPr>
        <w:p w14:paraId="59526C57" w14:textId="06B629FA" w:rsidR="00EE49E8" w:rsidRPr="0009569D" w:rsidRDefault="0025570E" w:rsidP="00EE49E8">
          <w:pPr>
            <w:pStyle w:val="Header"/>
            <w:jc w:val="left"/>
            <w:rPr>
              <w:noProof/>
            </w:rPr>
          </w:pPr>
          <w:hyperlink r:id="rId1" w:history="1">
            <w:r w:rsidRPr="0009569D">
              <w:rPr>
                <w:rStyle w:val="Hyperlink"/>
                <w:u w:val="none"/>
              </w:rPr>
              <w:t>council.itu.int/working-groups</w:t>
            </w:r>
          </w:hyperlink>
        </w:p>
      </w:tc>
      <w:tc>
        <w:tcPr>
          <w:tcW w:w="6957" w:type="dxa"/>
        </w:tcPr>
        <w:p w14:paraId="4A1322AB" w14:textId="1571EBBE" w:rsidR="00EE49E8" w:rsidRPr="000F6AB8" w:rsidRDefault="00EE49E8" w:rsidP="00C1014F">
          <w:pPr>
            <w:pStyle w:val="Header"/>
            <w:tabs>
              <w:tab w:val="left" w:pos="4443"/>
              <w:tab w:val="right" w:pos="8505"/>
              <w:tab w:val="right" w:pos="9639"/>
            </w:tabs>
            <w:jc w:val="left"/>
            <w:rPr>
              <w:rFonts w:ascii="Arial" w:hAnsi="Arial" w:cs="Arial"/>
              <w:b/>
              <w:bCs/>
              <w:szCs w:val="18"/>
              <w:lang w:val="es-ES"/>
            </w:rPr>
          </w:pPr>
          <w:r>
            <w:rPr>
              <w:bCs/>
            </w:rPr>
            <w:tab/>
          </w:r>
          <w:proofErr w:type="spellStart"/>
          <w:r w:rsidR="00227AAB" w:rsidRPr="00227AAB">
            <w:rPr>
              <w:bCs/>
              <w:lang w:val="es-ES"/>
            </w:rPr>
            <w:t>CWG-WSIS&amp;SDG-</w:t>
          </w:r>
          <w:r w:rsidR="00A52102">
            <w:rPr>
              <w:bCs/>
              <w:lang w:val="es-ES"/>
            </w:rPr>
            <w:t>43</w:t>
          </w:r>
          <w:proofErr w:type="spellEnd"/>
          <w:r w:rsidR="002F2D06">
            <w:rPr>
              <w:bCs/>
              <w:lang w:val="es-ES"/>
            </w:rPr>
            <w:t>/</w:t>
          </w:r>
          <w:r w:rsidR="008C19B2">
            <w:rPr>
              <w:bCs/>
              <w:lang w:val="es-ES"/>
            </w:rPr>
            <w:t>12</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52F130AE"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E1CD5" w14:textId="77777777" w:rsidR="00745EBC" w:rsidRDefault="00745EBC">
      <w:r>
        <w:t>____________________</w:t>
      </w:r>
    </w:p>
  </w:footnote>
  <w:footnote w:type="continuationSeparator" w:id="0">
    <w:p w14:paraId="4C519035" w14:textId="77777777" w:rsidR="00745EBC" w:rsidRDefault="00745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3B2E4CB7" w14:textId="77777777" w:rsidTr="00F74694">
      <w:trPr>
        <w:trHeight w:val="1304"/>
        <w:jc w:val="center"/>
      </w:trPr>
      <w:tc>
        <w:tcPr>
          <w:tcW w:w="6546" w:type="dxa"/>
        </w:tcPr>
        <w:p w14:paraId="7A148F4E" w14:textId="77777777" w:rsidR="00AD3606" w:rsidRPr="009621F8" w:rsidRDefault="004D1D7E" w:rsidP="00130599">
          <w:pPr>
            <w:pStyle w:val="Header"/>
            <w:jc w:val="left"/>
            <w:rPr>
              <w:rFonts w:ascii="Arial" w:hAnsi="Arial" w:cs="Arial"/>
              <w:b/>
              <w:bCs/>
              <w:color w:val="009CD6"/>
              <w:sz w:val="36"/>
              <w:szCs w:val="36"/>
            </w:rPr>
          </w:pPr>
          <w:bookmarkStart w:id="11" w:name="_Hlk133422111"/>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76D10685" wp14:editId="078BE305">
                    <wp:simplePos x="0" y="0"/>
                    <wp:positionH relativeFrom="column">
                      <wp:posOffset>1431234</wp:posOffset>
                    </wp:positionH>
                    <wp:positionV relativeFrom="paragraph">
                      <wp:posOffset>1905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CA7D120" w14:textId="4F4DC1CE"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A52102">
                                  <w:rPr>
                                    <w:sz w:val="20"/>
                                  </w:rPr>
                                  <w:t>third</w:t>
                                </w:r>
                                <w:r w:rsidRPr="00130599">
                                  <w:rPr>
                                    <w:sz w:val="20"/>
                                  </w:rPr>
                                  <w:t xml:space="preserve"> </w:t>
                                </w:r>
                                <w:r w:rsidRPr="001603DA">
                                  <w:rPr>
                                    <w:sz w:val="20"/>
                                  </w:rPr>
                                  <w:t xml:space="preserve">meeting - From </w:t>
                                </w:r>
                                <w:r w:rsidR="001603DA" w:rsidRPr="001603DA">
                                  <w:rPr>
                                    <w:sz w:val="20"/>
                                  </w:rPr>
                                  <w:t>9</w:t>
                                </w:r>
                                <w:r w:rsidRPr="001603DA">
                                  <w:rPr>
                                    <w:sz w:val="20"/>
                                  </w:rPr>
                                  <w:t xml:space="preserve"> to 1</w:t>
                                </w:r>
                                <w:r w:rsidR="001603DA" w:rsidRPr="001603DA">
                                  <w:rPr>
                                    <w:sz w:val="20"/>
                                  </w:rPr>
                                  <w:t>0</w:t>
                                </w:r>
                                <w:r w:rsidRPr="001603DA">
                                  <w:rPr>
                                    <w:sz w:val="20"/>
                                  </w:rPr>
                                  <w:t xml:space="preserve"> (a.m.) </w:t>
                                </w:r>
                                <w:r w:rsidR="001603DA" w:rsidRPr="001603DA">
                                  <w:rPr>
                                    <w:sz w:val="20"/>
                                  </w:rPr>
                                  <w:t>September</w:t>
                                </w:r>
                                <w:r w:rsidRPr="001603DA">
                                  <w:rPr>
                                    <w:sz w:val="20"/>
                                  </w:rPr>
                                  <w:t xml:space="preserve">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6D10685" id="_x0000_t202" coordsize="21600,21600" o:spt="202" path="m,l,21600r21600,l21600,xe">
                    <v:stroke joinstyle="miter"/>
                    <v:path gradientshapeok="t" o:connecttype="rect"/>
                  </v:shapetype>
                  <v:shape id="Text Box 2" o:spid="_x0000_s1026" type="#_x0000_t202" style="position:absolute;margin-left:112.7pt;margin-top:.1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" fillcolor="white [3212]" stroked="f">
                    <v:textbox style="mso-fit-shape-to-text:t" inset="1mm">
                      <w:txbxContent>
                        <w:p w14:paraId="2CA7D120" w14:textId="4F4DC1CE"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A52102">
                            <w:rPr>
                              <w:sz w:val="20"/>
                            </w:rPr>
                            <w:t>third</w:t>
                          </w:r>
                          <w:r w:rsidRPr="00130599">
                            <w:rPr>
                              <w:sz w:val="20"/>
                            </w:rPr>
                            <w:t xml:space="preserve"> </w:t>
                          </w:r>
                          <w:r w:rsidRPr="001603DA">
                            <w:rPr>
                              <w:sz w:val="20"/>
                            </w:rPr>
                            <w:t xml:space="preserve">meeting - From </w:t>
                          </w:r>
                          <w:r w:rsidR="001603DA" w:rsidRPr="001603DA">
                            <w:rPr>
                              <w:sz w:val="20"/>
                            </w:rPr>
                            <w:t>9</w:t>
                          </w:r>
                          <w:r w:rsidRPr="001603DA">
                            <w:rPr>
                              <w:sz w:val="20"/>
                            </w:rPr>
                            <w:t xml:space="preserve"> to 1</w:t>
                          </w:r>
                          <w:r w:rsidR="001603DA" w:rsidRPr="001603DA">
                            <w:rPr>
                              <w:sz w:val="20"/>
                            </w:rPr>
                            <w:t>0</w:t>
                          </w:r>
                          <w:r w:rsidRPr="001603DA">
                            <w:rPr>
                              <w:sz w:val="20"/>
                            </w:rPr>
                            <w:t xml:space="preserve"> (a.m.) </w:t>
                          </w:r>
                          <w:r w:rsidR="001603DA" w:rsidRPr="001603DA">
                            <w:rPr>
                              <w:sz w:val="20"/>
                            </w:rPr>
                            <w:t>September</w:t>
                          </w:r>
                          <w:r w:rsidRPr="001603DA">
                            <w:rPr>
                              <w:sz w:val="20"/>
                            </w:rPr>
                            <w:t xml:space="preserve"> 2025</w:t>
                          </w:r>
                        </w:p>
                      </w:txbxContent>
                    </v:textbox>
                  </v:shape>
                </w:pict>
              </mc:Fallback>
            </mc:AlternateContent>
          </w:r>
          <w:r>
            <w:rPr>
              <w:rFonts w:ascii="Arial" w:hAnsi="Arial" w:cs="Arial"/>
              <w:b/>
              <w:bCs/>
              <w:noProof/>
              <w:color w:val="009CD6"/>
              <w:sz w:val="36"/>
              <w:szCs w:val="36"/>
            </w:rPr>
            <w:drawing>
              <wp:inline distT="0" distB="0" distL="0" distR="0" wp14:anchorId="6AD7FB73" wp14:editId="7AD6546C">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01CA9143" w14:textId="77777777" w:rsidR="00AD3606" w:rsidRDefault="00AD3606" w:rsidP="00AD3606">
          <w:pPr>
            <w:pStyle w:val="Header"/>
            <w:jc w:val="right"/>
            <w:rPr>
              <w:rFonts w:ascii="Arial" w:hAnsi="Arial" w:cs="Arial"/>
              <w:b/>
              <w:bCs/>
              <w:color w:val="009CD6"/>
              <w:szCs w:val="18"/>
            </w:rPr>
          </w:pPr>
        </w:p>
        <w:p w14:paraId="5333566F" w14:textId="77777777" w:rsidR="00AD3606" w:rsidRDefault="00AD3606" w:rsidP="00AD3606">
          <w:pPr>
            <w:pStyle w:val="Header"/>
            <w:jc w:val="right"/>
            <w:rPr>
              <w:rFonts w:ascii="Arial" w:hAnsi="Arial" w:cs="Arial"/>
              <w:b/>
              <w:bCs/>
              <w:color w:val="009CD6"/>
              <w:szCs w:val="18"/>
            </w:rPr>
          </w:pPr>
        </w:p>
        <w:p w14:paraId="7387C8C6"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7A41DAD3"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0B71B7F0" wp14:editId="24AA19AD">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13705"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BC"/>
    <w:rsid w:val="000041A9"/>
    <w:rsid w:val="00004C8C"/>
    <w:rsid w:val="000120E4"/>
    <w:rsid w:val="000210D4"/>
    <w:rsid w:val="00046146"/>
    <w:rsid w:val="00063016"/>
    <w:rsid w:val="00066795"/>
    <w:rsid w:val="00076AF6"/>
    <w:rsid w:val="00085CF2"/>
    <w:rsid w:val="0009569D"/>
    <w:rsid w:val="000A1525"/>
    <w:rsid w:val="000B1705"/>
    <w:rsid w:val="000D75B2"/>
    <w:rsid w:val="000F6AB8"/>
    <w:rsid w:val="001121F5"/>
    <w:rsid w:val="00130599"/>
    <w:rsid w:val="00131E18"/>
    <w:rsid w:val="001400DC"/>
    <w:rsid w:val="00140CE1"/>
    <w:rsid w:val="00147C54"/>
    <w:rsid w:val="001603DA"/>
    <w:rsid w:val="0017539C"/>
    <w:rsid w:val="00175AC2"/>
    <w:rsid w:val="0017609F"/>
    <w:rsid w:val="001A7D1D"/>
    <w:rsid w:val="001B51DD"/>
    <w:rsid w:val="001C628E"/>
    <w:rsid w:val="001D4B31"/>
    <w:rsid w:val="001E0F7B"/>
    <w:rsid w:val="001E0FBE"/>
    <w:rsid w:val="001E5FE7"/>
    <w:rsid w:val="001E7494"/>
    <w:rsid w:val="002119FD"/>
    <w:rsid w:val="002130E0"/>
    <w:rsid w:val="00227AAB"/>
    <w:rsid w:val="00244F7F"/>
    <w:rsid w:val="0025197E"/>
    <w:rsid w:val="0025570E"/>
    <w:rsid w:val="002608B7"/>
    <w:rsid w:val="00264425"/>
    <w:rsid w:val="00265875"/>
    <w:rsid w:val="0027303B"/>
    <w:rsid w:val="0028109B"/>
    <w:rsid w:val="002A2188"/>
    <w:rsid w:val="002B1F58"/>
    <w:rsid w:val="002C1C7A"/>
    <w:rsid w:val="002C54E2"/>
    <w:rsid w:val="002E0AC3"/>
    <w:rsid w:val="002F2D06"/>
    <w:rsid w:val="0030160F"/>
    <w:rsid w:val="00301AEE"/>
    <w:rsid w:val="003145DF"/>
    <w:rsid w:val="00320223"/>
    <w:rsid w:val="00322D0D"/>
    <w:rsid w:val="00361465"/>
    <w:rsid w:val="003877F5"/>
    <w:rsid w:val="003942D4"/>
    <w:rsid w:val="0039514F"/>
    <w:rsid w:val="003958A8"/>
    <w:rsid w:val="003B29C2"/>
    <w:rsid w:val="003C20CA"/>
    <w:rsid w:val="003C2533"/>
    <w:rsid w:val="003D5A7F"/>
    <w:rsid w:val="003D635C"/>
    <w:rsid w:val="003D71D8"/>
    <w:rsid w:val="004016E2"/>
    <w:rsid w:val="0040435A"/>
    <w:rsid w:val="00416A24"/>
    <w:rsid w:val="0042059E"/>
    <w:rsid w:val="00431D9E"/>
    <w:rsid w:val="00433CE8"/>
    <w:rsid w:val="00434A5C"/>
    <w:rsid w:val="004544D9"/>
    <w:rsid w:val="00472BAD"/>
    <w:rsid w:val="00484009"/>
    <w:rsid w:val="00490E72"/>
    <w:rsid w:val="00491157"/>
    <w:rsid w:val="004921C8"/>
    <w:rsid w:val="00495B0B"/>
    <w:rsid w:val="004A1B8B"/>
    <w:rsid w:val="004D1851"/>
    <w:rsid w:val="004D1D7E"/>
    <w:rsid w:val="004D599D"/>
    <w:rsid w:val="004E2EA5"/>
    <w:rsid w:val="004E3AEB"/>
    <w:rsid w:val="0050223C"/>
    <w:rsid w:val="00507750"/>
    <w:rsid w:val="005170FD"/>
    <w:rsid w:val="005243FF"/>
    <w:rsid w:val="005311D6"/>
    <w:rsid w:val="00536422"/>
    <w:rsid w:val="00564FBC"/>
    <w:rsid w:val="005800BC"/>
    <w:rsid w:val="00582442"/>
    <w:rsid w:val="00596280"/>
    <w:rsid w:val="005A335D"/>
    <w:rsid w:val="005B004A"/>
    <w:rsid w:val="005B2EE0"/>
    <w:rsid w:val="005C13D4"/>
    <w:rsid w:val="005C77C0"/>
    <w:rsid w:val="005D5591"/>
    <w:rsid w:val="005E2BD5"/>
    <w:rsid w:val="005F3269"/>
    <w:rsid w:val="006009FE"/>
    <w:rsid w:val="00615961"/>
    <w:rsid w:val="00623AE3"/>
    <w:rsid w:val="006261F4"/>
    <w:rsid w:val="0064737F"/>
    <w:rsid w:val="006535F1"/>
    <w:rsid w:val="0065557D"/>
    <w:rsid w:val="00660D50"/>
    <w:rsid w:val="00662984"/>
    <w:rsid w:val="006716BB"/>
    <w:rsid w:val="006973C8"/>
    <w:rsid w:val="006A4862"/>
    <w:rsid w:val="006B1859"/>
    <w:rsid w:val="006B6680"/>
    <w:rsid w:val="006B6DCC"/>
    <w:rsid w:val="00702DEF"/>
    <w:rsid w:val="00706861"/>
    <w:rsid w:val="007247CF"/>
    <w:rsid w:val="00726B8C"/>
    <w:rsid w:val="00745EBC"/>
    <w:rsid w:val="0075051B"/>
    <w:rsid w:val="00775655"/>
    <w:rsid w:val="00776744"/>
    <w:rsid w:val="007849D5"/>
    <w:rsid w:val="00793188"/>
    <w:rsid w:val="00794D34"/>
    <w:rsid w:val="007E691F"/>
    <w:rsid w:val="00806E3C"/>
    <w:rsid w:val="00813E5E"/>
    <w:rsid w:val="00816C2C"/>
    <w:rsid w:val="008318F5"/>
    <w:rsid w:val="0083581B"/>
    <w:rsid w:val="00860EED"/>
    <w:rsid w:val="00863874"/>
    <w:rsid w:val="00864AFF"/>
    <w:rsid w:val="00865925"/>
    <w:rsid w:val="00877BF2"/>
    <w:rsid w:val="008807C2"/>
    <w:rsid w:val="00891503"/>
    <w:rsid w:val="008A2F06"/>
    <w:rsid w:val="008B4A6A"/>
    <w:rsid w:val="008C19B2"/>
    <w:rsid w:val="008C7E27"/>
    <w:rsid w:val="008F3822"/>
    <w:rsid w:val="008F7448"/>
    <w:rsid w:val="0090147A"/>
    <w:rsid w:val="0090389B"/>
    <w:rsid w:val="009173EF"/>
    <w:rsid w:val="00932906"/>
    <w:rsid w:val="00961860"/>
    <w:rsid w:val="00961B0B"/>
    <w:rsid w:val="00962D33"/>
    <w:rsid w:val="009B38C3"/>
    <w:rsid w:val="009E17BD"/>
    <w:rsid w:val="009E485A"/>
    <w:rsid w:val="00A04CEC"/>
    <w:rsid w:val="00A27F92"/>
    <w:rsid w:val="00A32257"/>
    <w:rsid w:val="00A36D20"/>
    <w:rsid w:val="00A43C03"/>
    <w:rsid w:val="00A46CD0"/>
    <w:rsid w:val="00A514A4"/>
    <w:rsid w:val="00A52102"/>
    <w:rsid w:val="00A52C84"/>
    <w:rsid w:val="00A55622"/>
    <w:rsid w:val="00A83502"/>
    <w:rsid w:val="00AD15B3"/>
    <w:rsid w:val="00AD1B06"/>
    <w:rsid w:val="00AD3606"/>
    <w:rsid w:val="00AD4A3D"/>
    <w:rsid w:val="00AF6E49"/>
    <w:rsid w:val="00B02E98"/>
    <w:rsid w:val="00B04A67"/>
    <w:rsid w:val="00B0583C"/>
    <w:rsid w:val="00B248BC"/>
    <w:rsid w:val="00B358B2"/>
    <w:rsid w:val="00B40A81"/>
    <w:rsid w:val="00B44910"/>
    <w:rsid w:val="00B72267"/>
    <w:rsid w:val="00B73DD1"/>
    <w:rsid w:val="00B76EB6"/>
    <w:rsid w:val="00B7737B"/>
    <w:rsid w:val="00B824C8"/>
    <w:rsid w:val="00B849D3"/>
    <w:rsid w:val="00B84B9D"/>
    <w:rsid w:val="00BA3A51"/>
    <w:rsid w:val="00BC251A"/>
    <w:rsid w:val="00BC2C8F"/>
    <w:rsid w:val="00BD032B"/>
    <w:rsid w:val="00BD0614"/>
    <w:rsid w:val="00BD094B"/>
    <w:rsid w:val="00BE2640"/>
    <w:rsid w:val="00C01189"/>
    <w:rsid w:val="00C1014F"/>
    <w:rsid w:val="00C2653B"/>
    <w:rsid w:val="00C374DE"/>
    <w:rsid w:val="00C44E27"/>
    <w:rsid w:val="00C47AD4"/>
    <w:rsid w:val="00C52D81"/>
    <w:rsid w:val="00C55198"/>
    <w:rsid w:val="00C725C6"/>
    <w:rsid w:val="00C922C7"/>
    <w:rsid w:val="00CA6393"/>
    <w:rsid w:val="00CB18FF"/>
    <w:rsid w:val="00CB24AA"/>
    <w:rsid w:val="00CD0C08"/>
    <w:rsid w:val="00CD3C91"/>
    <w:rsid w:val="00CE03FB"/>
    <w:rsid w:val="00CE433C"/>
    <w:rsid w:val="00CF0161"/>
    <w:rsid w:val="00CF33F3"/>
    <w:rsid w:val="00D06183"/>
    <w:rsid w:val="00D22C42"/>
    <w:rsid w:val="00D45669"/>
    <w:rsid w:val="00D464CC"/>
    <w:rsid w:val="00D522F6"/>
    <w:rsid w:val="00D65041"/>
    <w:rsid w:val="00D67039"/>
    <w:rsid w:val="00D86E6C"/>
    <w:rsid w:val="00DB00D5"/>
    <w:rsid w:val="00DB1936"/>
    <w:rsid w:val="00DB384B"/>
    <w:rsid w:val="00DF0189"/>
    <w:rsid w:val="00E06FD5"/>
    <w:rsid w:val="00E10E80"/>
    <w:rsid w:val="00E124F0"/>
    <w:rsid w:val="00E227F3"/>
    <w:rsid w:val="00E4728B"/>
    <w:rsid w:val="00E545C6"/>
    <w:rsid w:val="00E60F04"/>
    <w:rsid w:val="00E63EFF"/>
    <w:rsid w:val="00E65B24"/>
    <w:rsid w:val="00E854E4"/>
    <w:rsid w:val="00E86DBF"/>
    <w:rsid w:val="00EB0D6F"/>
    <w:rsid w:val="00EB2232"/>
    <w:rsid w:val="00EC5337"/>
    <w:rsid w:val="00EE49E8"/>
    <w:rsid w:val="00F10B59"/>
    <w:rsid w:val="00F16BAB"/>
    <w:rsid w:val="00F2150A"/>
    <w:rsid w:val="00F231D8"/>
    <w:rsid w:val="00F44C00"/>
    <w:rsid w:val="00F45D2C"/>
    <w:rsid w:val="00F46C5F"/>
    <w:rsid w:val="00F632C0"/>
    <w:rsid w:val="00F74694"/>
    <w:rsid w:val="00F77218"/>
    <w:rsid w:val="00F86596"/>
    <w:rsid w:val="00F93FD4"/>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BDA6F"/>
  <w15:docId w15:val="{4B2D81FF-1DD5-4625-95AD-2CA4FF21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6009FE"/>
    <w:pPr>
      <w:keepNext/>
      <w:keepLines/>
      <w:spacing w:before="360"/>
      <w:ind w:left="567" w:hanging="567"/>
      <w:outlineLvl w:val="0"/>
    </w:pPr>
    <w:rPr>
      <w:rFonts w:asciiTheme="minorHAnsi" w:eastAsiaTheme="minorEastAsia" w:hAnsiTheme="minorHAnsi" w:cstheme="minorBidi"/>
      <w:b/>
      <w:kern w:val="2"/>
      <w:sz w:val="28"/>
      <w:lang w:eastAsia="ko-KR"/>
      <w14:ligatures w14:val="standardContextual"/>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09569D"/>
    <w:rPr>
      <w:color w:val="666666"/>
    </w:rPr>
  </w:style>
  <w:style w:type="paragraph" w:customStyle="1" w:styleId="Reasons">
    <w:name w:val="Reasons"/>
    <w:basedOn w:val="Normal"/>
    <w:qFormat/>
    <w:rsid w:val="007E691F"/>
    <w:pPr>
      <w:tabs>
        <w:tab w:val="clear" w:pos="567"/>
        <w:tab w:val="clear" w:pos="1134"/>
        <w:tab w:val="clear" w:pos="1701"/>
        <w:tab w:val="clear" w:pos="2268"/>
        <w:tab w:val="clear" w:pos="2835"/>
      </w:tabs>
      <w:overflowPunct/>
      <w:autoSpaceDE/>
      <w:autoSpaceDN/>
      <w:adjustRightInd/>
      <w:spacing w:before="0"/>
      <w:textAlignment w:val="auto"/>
    </w:pPr>
    <w:rPr>
      <w:rFonts w:asciiTheme="minorHAnsi" w:hAnsiTheme="minorHAnsi" w:cstheme="minorHAnsi"/>
      <w:lang w:val="en-US"/>
    </w:rPr>
  </w:style>
  <w:style w:type="paragraph" w:customStyle="1" w:styleId="nBodyCalibri">
    <w:name w:val="nBody (Calibri)"/>
    <w:basedOn w:val="Normal"/>
    <w:rsid w:val="001E7494"/>
    <w:pPr>
      <w:jc w:val="both"/>
    </w:pPr>
    <w:rPr>
      <w:rFonts w:asciiTheme="minorHAnsi" w:hAnsiTheme="minorHAnsi" w:cstheme="minorHAnsi"/>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ndocs.org/Home/Mobile?FinalSymbol=A%2F79%2FL.2&amp;Language=E&amp;DeviceType=Desktop&amp;LangRequested=False" TargetMode="External"/><Relationship Id="rId18" Type="http://schemas.openxmlformats.org/officeDocument/2006/relationships/hyperlink" Target="https://www.itu.int/md/S22-CL-INF-0002/en" TargetMode="External"/><Relationship Id="rId26" Type="http://schemas.openxmlformats.org/officeDocument/2006/relationships/hyperlink" Target="https://www.itu.int/md/S25-CWGWSIS42-C-0010/en" TargetMode="External"/><Relationship Id="rId3" Type="http://schemas.openxmlformats.org/officeDocument/2006/relationships/styles" Target="styles.xml"/><Relationship Id="rId21" Type="http://schemas.openxmlformats.org/officeDocument/2006/relationships/hyperlink" Target="https://www.itu.int/md/S24-CL-C-0055/e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ndocs.org/en/A/78/L.77" TargetMode="External"/><Relationship Id="rId17" Type="http://schemas.openxmlformats.org/officeDocument/2006/relationships/hyperlink" Target="https://www.itu.int/md/S21-CL-INF-0002/en" TargetMode="External"/><Relationship Id="rId25" Type="http://schemas.openxmlformats.org/officeDocument/2006/relationships/hyperlink" Target="https://www.itu.int/md/S25-CL-INF-0008/en"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tu.int/md/S20-CL-INF-0003/en" TargetMode="External"/><Relationship Id="rId20" Type="http://schemas.openxmlformats.org/officeDocument/2006/relationships/hyperlink" Target="https://www.itu.int/md/S23-CL-INF-0009/en" TargetMode="External"/><Relationship Id="rId29" Type="http://schemas.openxmlformats.org/officeDocument/2006/relationships/hyperlink" Target="https://www.itu.int/net4/wsis/ungis/Content/upload/gdc/UNGIS-CompiledMatrixOfLinkages-WSIS-GD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docs.org/en/A/77/L.63" TargetMode="External"/><Relationship Id="rId24" Type="http://schemas.openxmlformats.org/officeDocument/2006/relationships/hyperlink" Target="https://www.itu.int/md/S25-CL-C-0070/en"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tu.int/md/S19-CL-INF-0008/en" TargetMode="External"/><Relationship Id="rId23" Type="http://schemas.openxmlformats.org/officeDocument/2006/relationships/hyperlink" Target="https://www.itu.int/md/S25-CL-C-0052/en" TargetMode="External"/><Relationship Id="rId28" Type="http://schemas.openxmlformats.org/officeDocument/2006/relationships/hyperlink" Target="https://unctad.org/system/files/information-document/gdc_implementation_map_en.pdf" TargetMode="External"/><Relationship Id="rId10" Type="http://schemas.openxmlformats.org/officeDocument/2006/relationships/hyperlink" Target="https://undocs.org/en/A/77/L.109" TargetMode="External"/><Relationship Id="rId19" Type="http://schemas.openxmlformats.org/officeDocument/2006/relationships/hyperlink" Target="https://www.itu.int/md/S23-CL-INF-0008/en"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ndocs.org/en/A/RES/76/307" TargetMode="External"/><Relationship Id="rId14" Type="http://schemas.openxmlformats.org/officeDocument/2006/relationships/hyperlink" Target="https://undocs.org/Home/Mobile?FinalSymbol=A%2F79%2FL.3&amp;Language=E&amp;DeviceType=Desktop&amp;LangRequested=False" TargetMode="External"/><Relationship Id="rId22" Type="http://schemas.openxmlformats.org/officeDocument/2006/relationships/hyperlink" Target="https://www.itu.int/md/S24-CL-INF-0009/en" TargetMode="External"/><Relationship Id="rId27" Type="http://schemas.openxmlformats.org/officeDocument/2006/relationships/hyperlink" Target="https://www.linkedin.com/posts/international-telecommunication-union_investindigital-ffd4-activity-7345853975088259072-p0pG?utm_source=chatgpt.com" TargetMode="External"/><Relationship Id="rId30" Type="http://schemas.openxmlformats.org/officeDocument/2006/relationships/hyperlink" Target="https://unctad.org/system/files/information-document/gdc_implementatation_map_detailed_initiatives_en.pdf" TargetMode="External"/><Relationship Id="rId35" Type="http://schemas.openxmlformats.org/officeDocument/2006/relationships/theme" Target="theme/theme1.xml"/><Relationship Id="rId8" Type="http://schemas.openxmlformats.org/officeDocument/2006/relationships/hyperlink" Target="https://www.itu.int/en/council/cwg-wsis/Pages/default.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622</Words>
  <Characters>3459</Characters>
  <Application>Microsoft Office Word</Application>
  <DocSecurity>0</DocSecurity>
  <Lines>65</Lines>
  <Paragraphs>22</Paragraphs>
  <ScaleCrop>false</ScaleCrop>
  <HeadingPairs>
    <vt:vector size="2" baseType="variant">
      <vt:variant>
        <vt:lpstr>Title</vt:lpstr>
      </vt:variant>
      <vt:variant>
        <vt:i4>1</vt:i4>
      </vt:variant>
    </vt:vector>
  </HeadingPairs>
  <TitlesOfParts>
    <vt:vector size="1" baseType="lpstr">
      <vt:lpstr>Updates on the ITU Action Plan for implementing the Global Digital Compact</vt:lpstr>
    </vt:vector>
  </TitlesOfParts>
  <Manager/>
  <Company/>
  <LinksUpToDate>false</LinksUpToDate>
  <CharactersWithSpaces>4068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Updates on the ITU Action Plan for implementing the Global Digital Compact</dc:title>
  <dc:subject>ITU Council Working Group on WSIS &amp; SDGs</dc:subject>
  <cp:keywords>CWG-WSIS&amp;SDG</cp:keywords>
  <dc:description/>
  <dcterms:created xsi:type="dcterms:W3CDTF">2025-08-08T19:19:00Z</dcterms:created>
  <dcterms:modified xsi:type="dcterms:W3CDTF">2025-08-08T19:24:00Z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d3be8a6487004cdb273814a21f212301ce25cc61c39f9f16fd3fbbc5e0974fc1</vt:lpwstr>
  </property>
</Properties>
</file>