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D6BC4"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014669BD"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r w:rsidR="00227AAB" w:rsidRPr="00227AAB">
              <w:rPr>
                <w:b/>
                <w:lang w:val="fr-FR"/>
              </w:rPr>
              <w:t>CWG-WSIS&amp;SDG-4</w:t>
            </w:r>
            <w:r w:rsidR="00C354AF">
              <w:rPr>
                <w:b/>
                <w:lang w:val="fr-FR"/>
              </w:rPr>
              <w:t>3</w:t>
            </w:r>
            <w:r w:rsidR="002F2D06">
              <w:rPr>
                <w:b/>
                <w:lang w:val="fr-FR"/>
              </w:rPr>
              <w:t>/</w:t>
            </w:r>
            <w:r w:rsidR="007D6BC4">
              <w:rPr>
                <w:b/>
                <w:lang w:val="fr-FR"/>
              </w:rPr>
              <w:t>8</w:t>
            </w:r>
          </w:p>
        </w:tc>
      </w:tr>
      <w:tr w:rsidR="00AD3606" w:rsidRPr="008B774C" w14:paraId="7298C460" w14:textId="77777777" w:rsidTr="00AD3606">
        <w:trPr>
          <w:cantSplit/>
        </w:trPr>
        <w:tc>
          <w:tcPr>
            <w:tcW w:w="3969" w:type="dxa"/>
            <w:vMerge/>
          </w:tcPr>
          <w:p w14:paraId="2AC99EA9"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3D878A3" w14:textId="2561E2E8" w:rsidR="00AD3606" w:rsidRPr="008B774C" w:rsidRDefault="00523D1D" w:rsidP="00AD3606">
            <w:pPr>
              <w:tabs>
                <w:tab w:val="left" w:pos="851"/>
              </w:tabs>
              <w:spacing w:before="0"/>
              <w:jc w:val="right"/>
              <w:rPr>
                <w:b/>
              </w:rPr>
            </w:pPr>
            <w:r>
              <w:rPr>
                <w:b/>
              </w:rPr>
              <w:t>8 August</w:t>
            </w:r>
            <w:r w:rsidR="00997E97">
              <w:rPr>
                <w:b/>
              </w:rPr>
              <w:t xml:space="preserve">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AD3606">
            <w:pPr>
              <w:tabs>
                <w:tab w:val="left" w:pos="851"/>
              </w:tabs>
              <w:spacing w:line="240" w:lineRule="atLeast"/>
              <w:rPr>
                <w:b/>
              </w:rPr>
            </w:pPr>
          </w:p>
        </w:tc>
        <w:tc>
          <w:tcPr>
            <w:tcW w:w="5245" w:type="dxa"/>
          </w:tcPr>
          <w:p w14:paraId="3A9852C1" w14:textId="77777777" w:rsidR="00472BAD" w:rsidRPr="00147C54" w:rsidRDefault="00472BAD" w:rsidP="00AD3606">
            <w:pPr>
              <w:tabs>
                <w:tab w:val="left" w:pos="851"/>
              </w:tabs>
              <w:spacing w:before="0" w:line="240" w:lineRule="atLeast"/>
              <w:jc w:val="right"/>
              <w:rPr>
                <w:b/>
              </w:rPr>
            </w:pPr>
          </w:p>
        </w:tc>
      </w:tr>
      <w:tr w:rsidR="00AD3606" w:rsidRPr="00147C54" w14:paraId="52871CB7" w14:textId="77777777" w:rsidTr="00AD3606">
        <w:trPr>
          <w:cantSplit/>
        </w:trPr>
        <w:tc>
          <w:tcPr>
            <w:tcW w:w="9214" w:type="dxa"/>
            <w:gridSpan w:val="2"/>
            <w:tcMar>
              <w:left w:w="0" w:type="dxa"/>
            </w:tcMar>
          </w:tcPr>
          <w:p w14:paraId="4F9642A2" w14:textId="1343A860" w:rsidR="00AD3606" w:rsidRPr="00147C54" w:rsidRDefault="00997E97" w:rsidP="00E4728B">
            <w:pPr>
              <w:pStyle w:val="Source"/>
              <w:framePr w:hSpace="0" w:wrap="auto" w:vAnchor="margin" w:hAnchor="text" w:xAlign="left" w:yAlign="inline"/>
            </w:pPr>
            <w:bookmarkStart w:id="8" w:name="dsource" w:colFirst="0" w:colLast="0"/>
            <w:bookmarkEnd w:id="7"/>
            <w:r w:rsidRPr="00997E97">
              <w:t xml:space="preserve">Report by the Secretary-General </w:t>
            </w:r>
          </w:p>
        </w:tc>
      </w:tr>
      <w:tr w:rsidR="00AD3606" w:rsidRPr="00147C54" w14:paraId="62D1261B" w14:textId="77777777" w:rsidTr="00AD3606">
        <w:trPr>
          <w:cantSplit/>
        </w:trPr>
        <w:tc>
          <w:tcPr>
            <w:tcW w:w="9214" w:type="dxa"/>
            <w:gridSpan w:val="2"/>
            <w:tcMar>
              <w:left w:w="0" w:type="dxa"/>
            </w:tcMar>
          </w:tcPr>
          <w:p w14:paraId="246571F2" w14:textId="64001636" w:rsidR="00AD3606" w:rsidRPr="00147C54" w:rsidRDefault="00997E97" w:rsidP="00E4728B">
            <w:pPr>
              <w:pStyle w:val="Subtitle"/>
              <w:framePr w:hSpace="0" w:wrap="auto" w:xAlign="left" w:yAlign="inline"/>
            </w:pPr>
            <w:bookmarkStart w:id="9" w:name="dtitle1" w:colFirst="0" w:colLast="0"/>
            <w:bookmarkEnd w:id="8"/>
            <w:r w:rsidRPr="00997E97">
              <w:t>REGIONAL ACTIVITIES TOWARDS AN ALIGNMENT OF WSIS AND SDG PROCESSES</w:t>
            </w:r>
          </w:p>
        </w:tc>
      </w:tr>
      <w:tr w:rsidR="00AD3606" w:rsidRPr="00147C54"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147C54" w:rsidRDefault="00F16BAB" w:rsidP="00F16BAB">
            <w:pPr>
              <w:spacing w:before="160"/>
              <w:rPr>
                <w:b/>
                <w:bCs/>
                <w:sz w:val="26"/>
                <w:szCs w:val="26"/>
              </w:rPr>
            </w:pPr>
            <w:r w:rsidRPr="00147C54">
              <w:rPr>
                <w:b/>
                <w:bCs/>
                <w:sz w:val="26"/>
                <w:szCs w:val="26"/>
              </w:rPr>
              <w:t>Purpose</w:t>
            </w:r>
          </w:p>
          <w:p w14:paraId="4E90F630" w14:textId="0C378F02" w:rsidR="00AD3606" w:rsidRPr="00147C54" w:rsidRDefault="00997E97" w:rsidP="00997E97">
            <w:pPr>
              <w:jc w:val="both"/>
            </w:pPr>
            <w:r w:rsidRPr="00D724D1">
              <w:rPr>
                <w:rFonts w:eastAsia="SimSun" w:cstheme="minorHAnsi"/>
              </w:rPr>
              <w:t xml:space="preserve">The document provides an update on the implementation of the WSIS process at the regional </w:t>
            </w:r>
            <w:r w:rsidRPr="005517AF">
              <w:rPr>
                <w:rFonts w:eastAsia="SimSun" w:cstheme="minorHAnsi"/>
                <w:spacing w:val="-2"/>
              </w:rPr>
              <w:t xml:space="preserve">level in 2025 in collaboration with the ITU </w:t>
            </w:r>
            <w:r>
              <w:rPr>
                <w:rFonts w:eastAsia="SimSun" w:cstheme="minorHAnsi"/>
                <w:spacing w:val="-2"/>
              </w:rPr>
              <w:t>r</w:t>
            </w:r>
            <w:r w:rsidRPr="005517AF">
              <w:rPr>
                <w:rFonts w:eastAsia="SimSun" w:cstheme="minorHAnsi"/>
                <w:spacing w:val="-2"/>
              </w:rPr>
              <w:t xml:space="preserve">egional </w:t>
            </w:r>
            <w:r>
              <w:rPr>
                <w:rFonts w:eastAsia="SimSun" w:cstheme="minorHAnsi"/>
                <w:spacing w:val="-2"/>
              </w:rPr>
              <w:t>o</w:t>
            </w:r>
            <w:r w:rsidRPr="005517AF">
              <w:rPr>
                <w:rFonts w:eastAsia="SimSun" w:cstheme="minorHAnsi"/>
                <w:spacing w:val="-2"/>
              </w:rPr>
              <w:t>ffices, UN Regional Commissions,</w:t>
            </w:r>
            <w:r w:rsidRPr="00D724D1">
              <w:rPr>
                <w:rFonts w:eastAsia="SimSun" w:cstheme="minorHAnsi"/>
              </w:rPr>
              <w:t xml:space="preserve"> and other regional bodies.</w:t>
            </w:r>
          </w:p>
          <w:p w14:paraId="2A416CCD" w14:textId="77777777" w:rsidR="00AD3606" w:rsidRPr="00147C54" w:rsidRDefault="00AD3606" w:rsidP="00F16BAB">
            <w:pPr>
              <w:spacing w:before="160"/>
              <w:rPr>
                <w:b/>
                <w:bCs/>
                <w:sz w:val="26"/>
                <w:szCs w:val="26"/>
              </w:rPr>
            </w:pPr>
            <w:r w:rsidRPr="00147C54">
              <w:rPr>
                <w:b/>
                <w:bCs/>
                <w:sz w:val="26"/>
                <w:szCs w:val="26"/>
              </w:rPr>
              <w:t>Action required</w:t>
            </w:r>
          </w:p>
          <w:p w14:paraId="2AF7B463" w14:textId="6DD56826" w:rsidR="0025570E" w:rsidRPr="004405AB" w:rsidRDefault="005536C2" w:rsidP="000F6AB8">
            <w:pPr>
              <w:spacing w:before="160"/>
            </w:pPr>
            <w:r w:rsidRPr="00997E97">
              <w:rPr>
                <w:szCs w:val="24"/>
              </w:rPr>
              <w:t>The Council Working Group on WSIS and the SDGs is invited to</w:t>
            </w:r>
            <w:r w:rsidRPr="00997E97">
              <w:rPr>
                <w:b/>
                <w:bCs/>
                <w:szCs w:val="24"/>
              </w:rPr>
              <w:t xml:space="preserve"> </w:t>
            </w:r>
            <w:r w:rsidR="00997E97" w:rsidRPr="00997E97">
              <w:rPr>
                <w:b/>
                <w:bCs/>
                <w:szCs w:val="24"/>
              </w:rPr>
              <w:t xml:space="preserve">take </w:t>
            </w:r>
            <w:r w:rsidRPr="00997E97">
              <w:rPr>
                <w:b/>
                <w:bCs/>
                <w:szCs w:val="24"/>
              </w:rPr>
              <w:t>note</w:t>
            </w:r>
            <w:r w:rsidRPr="00997E97">
              <w:rPr>
                <w:szCs w:val="24"/>
              </w:rPr>
              <w:t xml:space="preserve"> this document.</w:t>
            </w:r>
          </w:p>
          <w:p w14:paraId="7BD0117A" w14:textId="77777777" w:rsidR="00AD3606" w:rsidRPr="00CD3C91" w:rsidRDefault="00CD3C91" w:rsidP="00CD3C91">
            <w:r>
              <w:t>_______________</w:t>
            </w:r>
          </w:p>
          <w:p w14:paraId="783B7B84" w14:textId="2F097D28" w:rsidR="00AD3606" w:rsidRPr="00147C54" w:rsidRDefault="00AD3606" w:rsidP="00F16BAB">
            <w:pPr>
              <w:spacing w:before="160"/>
              <w:rPr>
                <w:b/>
                <w:bCs/>
                <w:sz w:val="26"/>
                <w:szCs w:val="26"/>
              </w:rPr>
            </w:pPr>
            <w:r w:rsidRPr="00147C54">
              <w:rPr>
                <w:b/>
                <w:bCs/>
                <w:sz w:val="26"/>
                <w:szCs w:val="26"/>
              </w:rPr>
              <w:t>References</w:t>
            </w:r>
          </w:p>
          <w:p w14:paraId="1CFE5D15" w14:textId="4352ABFB" w:rsidR="00AD3606" w:rsidRPr="001B0595" w:rsidRDefault="00C01CA7" w:rsidP="00F16BAB">
            <w:pPr>
              <w:spacing w:after="160"/>
              <w:rPr>
                <w:i/>
                <w:iCs/>
                <w:sz w:val="22"/>
                <w:szCs w:val="22"/>
              </w:rPr>
            </w:pPr>
            <w:hyperlink r:id="rId11" w:history="1">
              <w:r w:rsidRPr="00FE11B4">
                <w:rPr>
                  <w:rStyle w:val="Hyperlink"/>
                  <w:i/>
                  <w:iCs/>
                  <w:sz w:val="22"/>
                  <w:szCs w:val="22"/>
                </w:rPr>
                <w:t>CWG-WSIS&amp;SDG website</w:t>
              </w:r>
            </w:hyperlink>
            <w:r w:rsidRPr="00ED6278">
              <w:rPr>
                <w:i/>
                <w:iCs/>
                <w:sz w:val="22"/>
                <w:szCs w:val="22"/>
              </w:rPr>
              <w:t xml:space="preserve">; UNGA Resolutions </w:t>
            </w:r>
            <w:hyperlink r:id="rId12" w:history="1">
              <w:r w:rsidRPr="00FE11B4">
                <w:rPr>
                  <w:rStyle w:val="Hyperlink"/>
                  <w:i/>
                  <w:iCs/>
                  <w:sz w:val="22"/>
                  <w:szCs w:val="22"/>
                </w:rPr>
                <w:t>A/RES/70/125</w:t>
              </w:r>
            </w:hyperlink>
            <w:r w:rsidRPr="00ED6278">
              <w:rPr>
                <w:i/>
                <w:iCs/>
                <w:sz w:val="22"/>
                <w:szCs w:val="22"/>
              </w:rPr>
              <w:t xml:space="preserve">, </w:t>
            </w:r>
            <w:hyperlink r:id="rId13" w:history="1">
              <w:r w:rsidRPr="00FE11B4">
                <w:rPr>
                  <w:rStyle w:val="Hyperlink"/>
                  <w:i/>
                  <w:iCs/>
                  <w:sz w:val="22"/>
                  <w:szCs w:val="22"/>
                </w:rPr>
                <w:t>A/RES/70/1</w:t>
              </w:r>
            </w:hyperlink>
            <w:r w:rsidRPr="00ED6278">
              <w:rPr>
                <w:i/>
                <w:iCs/>
                <w:sz w:val="22"/>
                <w:szCs w:val="22"/>
              </w:rPr>
              <w:t xml:space="preserve">, </w:t>
            </w:r>
            <w:hyperlink r:id="rId14" w:history="1">
              <w:r w:rsidRPr="00A97A7F">
                <w:rPr>
                  <w:rStyle w:val="Hyperlink"/>
                  <w:i/>
                  <w:iCs/>
                  <w:sz w:val="22"/>
                  <w:szCs w:val="22"/>
                </w:rPr>
                <w:t>A/RES/77/150</w:t>
              </w:r>
            </w:hyperlink>
            <w:r w:rsidRPr="00ED6278">
              <w:rPr>
                <w:i/>
                <w:iCs/>
                <w:sz w:val="22"/>
                <w:szCs w:val="22"/>
              </w:rPr>
              <w:t xml:space="preserve">; UN ECOSOC Resolution </w:t>
            </w:r>
            <w:hyperlink r:id="rId15" w:history="1">
              <w:r w:rsidRPr="00A97A7F">
                <w:rPr>
                  <w:rStyle w:val="Hyperlink"/>
                  <w:i/>
                  <w:iCs/>
                  <w:sz w:val="22"/>
                  <w:szCs w:val="22"/>
                </w:rPr>
                <w:t>E/RES/2024/13</w:t>
              </w:r>
            </w:hyperlink>
            <w:r w:rsidRPr="00ED6278">
              <w:rPr>
                <w:i/>
                <w:iCs/>
                <w:sz w:val="22"/>
                <w:szCs w:val="22"/>
              </w:rPr>
              <w:t xml:space="preserve"> </w:t>
            </w:r>
            <w:r>
              <w:rPr>
                <w:i/>
                <w:iCs/>
                <w:sz w:val="22"/>
                <w:szCs w:val="22"/>
              </w:rPr>
              <w:t xml:space="preserve">and Report </w:t>
            </w:r>
            <w:hyperlink r:id="rId16" w:history="1">
              <w:r w:rsidRPr="00A97A7F">
                <w:rPr>
                  <w:rStyle w:val="Hyperlink"/>
                  <w:i/>
                  <w:iCs/>
                  <w:sz w:val="22"/>
                  <w:szCs w:val="22"/>
                </w:rPr>
                <w:t>E/2025/31–E/CN.16/2025/4</w:t>
              </w:r>
            </w:hyperlink>
            <w:r w:rsidRPr="00ED6278">
              <w:rPr>
                <w:i/>
                <w:iCs/>
                <w:sz w:val="22"/>
                <w:szCs w:val="22"/>
              </w:rPr>
              <w:t>; PP Resolution</w:t>
            </w:r>
            <w:r>
              <w:rPr>
                <w:i/>
                <w:iCs/>
                <w:sz w:val="22"/>
                <w:szCs w:val="22"/>
              </w:rPr>
              <w:t>s</w:t>
            </w:r>
            <w:r w:rsidRPr="00ED6278">
              <w:rPr>
                <w:i/>
                <w:iCs/>
                <w:sz w:val="22"/>
                <w:szCs w:val="22"/>
              </w:rPr>
              <w:t xml:space="preserve"> </w:t>
            </w:r>
            <w:hyperlink r:id="rId17" w:history="1">
              <w:r w:rsidRPr="009824C0">
                <w:rPr>
                  <w:rStyle w:val="Hyperlink"/>
                  <w:i/>
                  <w:iCs/>
                  <w:sz w:val="22"/>
                  <w:szCs w:val="22"/>
                </w:rPr>
                <w:t>172 (Guadalajara, 2010)</w:t>
              </w:r>
            </w:hyperlink>
            <w:r>
              <w:rPr>
                <w:i/>
                <w:iCs/>
                <w:sz w:val="22"/>
                <w:szCs w:val="22"/>
              </w:rPr>
              <w:t xml:space="preserve"> and</w:t>
            </w:r>
            <w:r w:rsidRPr="00ED6278">
              <w:rPr>
                <w:i/>
                <w:iCs/>
                <w:sz w:val="22"/>
                <w:szCs w:val="22"/>
              </w:rPr>
              <w:t xml:space="preserve"> </w:t>
            </w:r>
            <w:hyperlink r:id="rId18" w:history="1">
              <w:r w:rsidRPr="009824C0">
                <w:rPr>
                  <w:rStyle w:val="Hyperlink"/>
                  <w:i/>
                  <w:iCs/>
                  <w:sz w:val="22"/>
                  <w:szCs w:val="22"/>
                </w:rPr>
                <w:t>140 (Rev. Bucharest, 2022)</w:t>
              </w:r>
            </w:hyperlink>
            <w:r w:rsidRPr="00ED6278">
              <w:rPr>
                <w:i/>
                <w:iCs/>
                <w:sz w:val="22"/>
                <w:szCs w:val="22"/>
              </w:rPr>
              <w:t>; Council Resolution</w:t>
            </w:r>
            <w:r>
              <w:rPr>
                <w:i/>
                <w:iCs/>
                <w:sz w:val="22"/>
                <w:szCs w:val="22"/>
              </w:rPr>
              <w:t>s</w:t>
            </w:r>
            <w:r w:rsidRPr="00ED6278">
              <w:rPr>
                <w:i/>
                <w:iCs/>
                <w:sz w:val="22"/>
                <w:szCs w:val="22"/>
              </w:rPr>
              <w:t xml:space="preserve"> </w:t>
            </w:r>
            <w:hyperlink r:id="rId19" w:history="1">
              <w:r w:rsidRPr="008766E6">
                <w:rPr>
                  <w:rStyle w:val="Hyperlink"/>
                  <w:i/>
                  <w:iCs/>
                  <w:sz w:val="22"/>
                  <w:szCs w:val="22"/>
                </w:rPr>
                <w:t>1332 (Modified 2024)</w:t>
              </w:r>
            </w:hyperlink>
            <w:r>
              <w:rPr>
                <w:i/>
                <w:iCs/>
                <w:sz w:val="22"/>
                <w:szCs w:val="22"/>
              </w:rPr>
              <w:t xml:space="preserve"> and</w:t>
            </w:r>
            <w:r w:rsidRPr="00ED6278">
              <w:rPr>
                <w:i/>
                <w:iCs/>
                <w:sz w:val="22"/>
                <w:szCs w:val="22"/>
              </w:rPr>
              <w:t xml:space="preserve"> </w:t>
            </w:r>
            <w:hyperlink r:id="rId20" w:history="1">
              <w:r w:rsidRPr="008766E6">
                <w:rPr>
                  <w:rStyle w:val="Hyperlink"/>
                  <w:i/>
                  <w:iCs/>
                  <w:sz w:val="22"/>
                  <w:szCs w:val="22"/>
                </w:rPr>
                <w:t>1334 (Modified 2023)</w:t>
              </w:r>
            </w:hyperlink>
            <w:r w:rsidRPr="00ED6278">
              <w:rPr>
                <w:i/>
                <w:iCs/>
                <w:sz w:val="22"/>
                <w:szCs w:val="22"/>
              </w:rPr>
              <w:t xml:space="preserve">; WTDC Resolution </w:t>
            </w:r>
            <w:hyperlink r:id="rId21" w:history="1">
              <w:r w:rsidRPr="00DF1857">
                <w:rPr>
                  <w:rStyle w:val="Hyperlink"/>
                  <w:i/>
                  <w:iCs/>
                  <w:sz w:val="22"/>
                  <w:szCs w:val="22"/>
                </w:rPr>
                <w:t>30 (Rev. Kigali, 2022)</w:t>
              </w:r>
            </w:hyperlink>
            <w:r w:rsidRPr="00ED6278">
              <w:rPr>
                <w:i/>
                <w:iCs/>
                <w:sz w:val="22"/>
                <w:szCs w:val="22"/>
              </w:rPr>
              <w:t xml:space="preserve">; WTSA Resolution </w:t>
            </w:r>
            <w:hyperlink r:id="rId22" w:history="1">
              <w:r w:rsidRPr="00DF1857">
                <w:rPr>
                  <w:rStyle w:val="Hyperlink"/>
                  <w:i/>
                  <w:iCs/>
                  <w:sz w:val="22"/>
                  <w:szCs w:val="22"/>
                </w:rPr>
                <w:t>75 (Rev. Geneva, 2022)</w:t>
              </w:r>
            </w:hyperlink>
            <w:r w:rsidRPr="00ED6278">
              <w:rPr>
                <w:i/>
                <w:iCs/>
                <w:sz w:val="22"/>
                <w:szCs w:val="22"/>
              </w:rPr>
              <w:t>;</w:t>
            </w:r>
            <w:r>
              <w:rPr>
                <w:i/>
                <w:iCs/>
                <w:sz w:val="22"/>
                <w:szCs w:val="22"/>
              </w:rPr>
              <w:t xml:space="preserve"> RA</w:t>
            </w:r>
            <w:r w:rsidRPr="00ED6278">
              <w:rPr>
                <w:i/>
                <w:iCs/>
                <w:sz w:val="22"/>
                <w:szCs w:val="22"/>
              </w:rPr>
              <w:t xml:space="preserve"> Resolution </w:t>
            </w:r>
            <w:hyperlink r:id="rId23" w:history="1">
              <w:r w:rsidRPr="00DF1857">
                <w:rPr>
                  <w:rStyle w:val="Hyperlink"/>
                  <w:i/>
                  <w:iCs/>
                  <w:sz w:val="22"/>
                  <w:szCs w:val="22"/>
                </w:rPr>
                <w:t>ITU-R 61-3 (Rev. Dubai, 2023)</w:t>
              </w:r>
            </w:hyperlink>
            <w:r w:rsidRPr="00ED6278">
              <w:rPr>
                <w:i/>
                <w:iCs/>
                <w:sz w:val="22"/>
                <w:szCs w:val="22"/>
              </w:rPr>
              <w:t xml:space="preserve">; Reports of the CWG-WSIS&amp;SDG meetings </w:t>
            </w:r>
            <w:hyperlink r:id="rId24" w:history="1">
              <w:r w:rsidRPr="00EF68FD">
                <w:rPr>
                  <w:rStyle w:val="Hyperlink"/>
                  <w:i/>
                  <w:iCs/>
                  <w:sz w:val="22"/>
                  <w:szCs w:val="22"/>
                </w:rPr>
                <w:t>33</w:t>
              </w:r>
              <w:r w:rsidRPr="00EF68FD">
                <w:rPr>
                  <w:rStyle w:val="Hyperlink"/>
                  <w:i/>
                  <w:iCs/>
                  <w:sz w:val="22"/>
                  <w:szCs w:val="22"/>
                  <w:vertAlign w:val="superscript"/>
                </w:rPr>
                <w:t>rd</w:t>
              </w:r>
              <w:r w:rsidRPr="00EF68FD">
                <w:rPr>
                  <w:rStyle w:val="Hyperlink"/>
                  <w:i/>
                  <w:iCs/>
                  <w:sz w:val="22"/>
                  <w:szCs w:val="22"/>
                </w:rPr>
                <w:t>, 34</w:t>
              </w:r>
              <w:r w:rsidRPr="00EF68FD">
                <w:rPr>
                  <w:rStyle w:val="Hyperlink"/>
                  <w:i/>
                  <w:iCs/>
                  <w:sz w:val="22"/>
                  <w:szCs w:val="22"/>
                  <w:vertAlign w:val="superscript"/>
                </w:rPr>
                <w:t>th</w:t>
              </w:r>
              <w:r w:rsidRPr="00EF68FD">
                <w:rPr>
                  <w:rStyle w:val="Hyperlink"/>
                  <w:i/>
                  <w:iCs/>
                  <w:sz w:val="22"/>
                  <w:szCs w:val="22"/>
                </w:rPr>
                <w:t>, 35</w:t>
              </w:r>
              <w:r w:rsidRPr="00EF68FD">
                <w:rPr>
                  <w:rStyle w:val="Hyperlink"/>
                  <w:i/>
                  <w:iCs/>
                  <w:sz w:val="22"/>
                  <w:szCs w:val="22"/>
                  <w:vertAlign w:val="superscript"/>
                </w:rPr>
                <w:t>th</w:t>
              </w:r>
              <w:r w:rsidRPr="00EF68FD">
                <w:rPr>
                  <w:rStyle w:val="Hyperlink"/>
                  <w:i/>
                  <w:iCs/>
                  <w:sz w:val="22"/>
                  <w:szCs w:val="22"/>
                </w:rPr>
                <w:t>, 36</w:t>
              </w:r>
              <w:r w:rsidRPr="00EF68FD">
                <w:rPr>
                  <w:rStyle w:val="Hyperlink"/>
                  <w:i/>
                  <w:iCs/>
                  <w:sz w:val="22"/>
                  <w:szCs w:val="22"/>
                  <w:vertAlign w:val="superscript"/>
                </w:rPr>
                <w:t>th</w:t>
              </w:r>
              <w:r w:rsidRPr="00EF68FD">
                <w:rPr>
                  <w:rStyle w:val="Hyperlink"/>
                  <w:i/>
                  <w:iCs/>
                  <w:sz w:val="22"/>
                  <w:szCs w:val="22"/>
                </w:rPr>
                <w:t>, 37</w:t>
              </w:r>
              <w:r w:rsidRPr="00EF68FD">
                <w:rPr>
                  <w:rStyle w:val="Hyperlink"/>
                  <w:i/>
                  <w:iCs/>
                  <w:sz w:val="22"/>
                  <w:szCs w:val="22"/>
                  <w:vertAlign w:val="superscript"/>
                </w:rPr>
                <w:t>th</w:t>
              </w:r>
              <w:r w:rsidRPr="00EF68FD">
                <w:rPr>
                  <w:rStyle w:val="Hyperlink"/>
                  <w:i/>
                  <w:iCs/>
                  <w:sz w:val="22"/>
                  <w:szCs w:val="22"/>
                </w:rPr>
                <w:t>, 38</w:t>
              </w:r>
              <w:r w:rsidRPr="00EF68FD">
                <w:rPr>
                  <w:rStyle w:val="Hyperlink"/>
                  <w:i/>
                  <w:iCs/>
                  <w:sz w:val="22"/>
                  <w:szCs w:val="22"/>
                  <w:vertAlign w:val="superscript"/>
                </w:rPr>
                <w:t>th</w:t>
              </w:r>
              <w:r w:rsidRPr="00EF68FD">
                <w:rPr>
                  <w:rStyle w:val="Hyperlink"/>
                  <w:i/>
                  <w:iCs/>
                  <w:sz w:val="22"/>
                  <w:szCs w:val="22"/>
                </w:rPr>
                <w:t>, 39</w:t>
              </w:r>
              <w:r w:rsidRPr="00EF68FD">
                <w:rPr>
                  <w:rStyle w:val="Hyperlink"/>
                  <w:i/>
                  <w:iCs/>
                  <w:sz w:val="22"/>
                  <w:szCs w:val="22"/>
                  <w:vertAlign w:val="superscript"/>
                </w:rPr>
                <w:t>th</w:t>
              </w:r>
              <w:r w:rsidRPr="00EF68FD">
                <w:rPr>
                  <w:rStyle w:val="Hyperlink"/>
                  <w:i/>
                  <w:iCs/>
                  <w:sz w:val="22"/>
                  <w:szCs w:val="22"/>
                </w:rPr>
                <w:t>, 40</w:t>
              </w:r>
              <w:r w:rsidRPr="00EF68FD">
                <w:rPr>
                  <w:rStyle w:val="Hyperlink"/>
                  <w:i/>
                  <w:iCs/>
                  <w:sz w:val="22"/>
                  <w:szCs w:val="22"/>
                  <w:vertAlign w:val="superscript"/>
                </w:rPr>
                <w:t>th</w:t>
              </w:r>
              <w:r w:rsidRPr="00EF68FD">
                <w:rPr>
                  <w:rStyle w:val="Hyperlink"/>
                  <w:i/>
                  <w:iCs/>
                  <w:sz w:val="22"/>
                  <w:szCs w:val="22"/>
                </w:rPr>
                <w:t>, 41</w:t>
              </w:r>
              <w:r w:rsidRPr="00EF68FD">
                <w:rPr>
                  <w:rStyle w:val="Hyperlink"/>
                  <w:i/>
                  <w:iCs/>
                  <w:sz w:val="22"/>
                  <w:szCs w:val="22"/>
                  <w:vertAlign w:val="superscript"/>
                </w:rPr>
                <w:t>st</w:t>
              </w:r>
              <w:r w:rsidRPr="00EF68FD">
                <w:rPr>
                  <w:rStyle w:val="Hyperlink"/>
                  <w:i/>
                  <w:iCs/>
                  <w:sz w:val="22"/>
                  <w:szCs w:val="22"/>
                </w:rPr>
                <w:t>, 42</w:t>
              </w:r>
              <w:r w:rsidRPr="00EF68FD">
                <w:rPr>
                  <w:rStyle w:val="Hyperlink"/>
                  <w:i/>
                  <w:iCs/>
                  <w:sz w:val="22"/>
                  <w:szCs w:val="22"/>
                  <w:vertAlign w:val="superscript"/>
                </w:rPr>
                <w:t>nd</w:t>
              </w:r>
            </w:hyperlink>
            <w:r w:rsidRPr="00ED6278">
              <w:rPr>
                <w:i/>
                <w:iCs/>
                <w:sz w:val="22"/>
                <w:szCs w:val="22"/>
              </w:rPr>
              <w:t xml:space="preserve">; </w:t>
            </w:r>
            <w:hyperlink r:id="rId25" w:history="1">
              <w:r w:rsidRPr="00EF68FD">
                <w:rPr>
                  <w:rStyle w:val="Hyperlink"/>
                  <w:i/>
                  <w:iCs/>
                  <w:sz w:val="22"/>
                  <w:szCs w:val="22"/>
                </w:rPr>
                <w:t>Final Report on the outcomes of the CWG-WSIS&amp;SDG 41</w:t>
              </w:r>
              <w:r w:rsidRPr="00EF68FD">
                <w:rPr>
                  <w:rStyle w:val="Hyperlink"/>
                  <w:i/>
                  <w:iCs/>
                  <w:sz w:val="22"/>
                  <w:szCs w:val="22"/>
                  <w:vertAlign w:val="superscript"/>
                </w:rPr>
                <w:t>st</w:t>
              </w:r>
              <w:r w:rsidRPr="00EF68FD">
                <w:rPr>
                  <w:rStyle w:val="Hyperlink"/>
                  <w:i/>
                  <w:iCs/>
                  <w:sz w:val="22"/>
                  <w:szCs w:val="22"/>
                </w:rPr>
                <w:t xml:space="preserve"> and 42</w:t>
              </w:r>
              <w:r w:rsidRPr="00EF68FD">
                <w:rPr>
                  <w:rStyle w:val="Hyperlink"/>
                  <w:i/>
                  <w:iCs/>
                  <w:sz w:val="22"/>
                  <w:szCs w:val="22"/>
                  <w:vertAlign w:val="superscript"/>
                </w:rPr>
                <w:t>nd</w:t>
              </w:r>
              <w:r w:rsidRPr="00EF68FD">
                <w:rPr>
                  <w:rStyle w:val="Hyperlink"/>
                  <w:i/>
                  <w:iCs/>
                  <w:sz w:val="22"/>
                  <w:szCs w:val="22"/>
                </w:rPr>
                <w:t xml:space="preserve"> meetings</w:t>
              </w:r>
            </w:hyperlink>
            <w:r w:rsidRPr="00ED6278">
              <w:rPr>
                <w:i/>
                <w:iCs/>
                <w:sz w:val="22"/>
                <w:szCs w:val="22"/>
              </w:rPr>
              <w:t xml:space="preserve">; </w:t>
            </w:r>
            <w:hyperlink r:id="rId26" w:history="1">
              <w:r w:rsidRPr="00C00198">
                <w:rPr>
                  <w:rStyle w:val="Hyperlink"/>
                  <w:i/>
                  <w:iCs/>
                  <w:sz w:val="22"/>
                  <w:szCs w:val="22"/>
                </w:rPr>
                <w:t>Roadmap for ITU’s activities to help achieve the 2030 Agenda for Sustainable Development</w:t>
              </w:r>
            </w:hyperlink>
            <w:r>
              <w:rPr>
                <w:i/>
                <w:iCs/>
                <w:sz w:val="22"/>
                <w:szCs w:val="22"/>
              </w:rPr>
              <w:t>;</w:t>
            </w:r>
            <w:r w:rsidRPr="00C00198">
              <w:rPr>
                <w:i/>
                <w:iCs/>
                <w:sz w:val="22"/>
                <w:szCs w:val="22"/>
              </w:rPr>
              <w:t xml:space="preserve"> </w:t>
            </w:r>
            <w:hyperlink r:id="rId27" w:history="1">
              <w:r w:rsidRPr="00C00198">
                <w:rPr>
                  <w:rStyle w:val="Hyperlink"/>
                  <w:i/>
                  <w:iCs/>
                  <w:sz w:val="22"/>
                  <w:szCs w:val="22"/>
                </w:rPr>
                <w:t>WSIS Stocktaking 2025 Report</w:t>
              </w:r>
            </w:hyperlink>
            <w:r w:rsidRPr="00ED6278">
              <w:rPr>
                <w:i/>
                <w:iCs/>
                <w:sz w:val="22"/>
                <w:szCs w:val="22"/>
              </w:rPr>
              <w:t>.</w:t>
            </w:r>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3B3234E5" w14:textId="77777777" w:rsidR="007D6BC4" w:rsidRDefault="007D6BC4" w:rsidP="00432442">
      <w:pPr>
        <w:pStyle w:val="Headingb"/>
      </w:pPr>
      <w:r w:rsidRPr="00CE485D">
        <w:lastRenderedPageBreak/>
        <w:t>Update on Regional Implementation of WSIS and SDGs – 2025</w:t>
      </w:r>
    </w:p>
    <w:p w14:paraId="507BAD6F" w14:textId="6B0E031F" w:rsidR="007D6BC4" w:rsidRPr="00CB50C7" w:rsidRDefault="007D6BC4" w:rsidP="00432442">
      <w:pPr>
        <w:jc w:val="both"/>
      </w:pPr>
      <w:r>
        <w:t xml:space="preserve">In alignment with </w:t>
      </w:r>
      <w:r w:rsidR="008049FB">
        <w:t xml:space="preserve">United Nations General Assembly </w:t>
      </w:r>
      <w:r>
        <w:t xml:space="preserve">Resolution </w:t>
      </w:r>
      <w:hyperlink r:id="rId28" w:history="1">
        <w:r w:rsidRPr="00A02329">
          <w:rPr>
            <w:rStyle w:val="Hyperlink"/>
          </w:rPr>
          <w:t>A/</w:t>
        </w:r>
        <w:r w:rsidR="008049FB" w:rsidRPr="00A02329">
          <w:rPr>
            <w:rStyle w:val="Hyperlink"/>
          </w:rPr>
          <w:t>RES/</w:t>
        </w:r>
        <w:r w:rsidRPr="00A02329">
          <w:rPr>
            <w:rStyle w:val="Hyperlink"/>
          </w:rPr>
          <w:t>70/125</w:t>
        </w:r>
      </w:hyperlink>
      <w:r>
        <w:t>, the regional dimension remains a vital pillar of the WSIS architecture, implemented through collaborative efforts by UN Regional Commissions, ITU regional offices, and regional technical organizations, in partnership with governments, the private sector, civil society, and academia. These initiatives align with the WSIS Action Lines and support the 2030 Agenda for Sustainable Development. By integrating region-specific priorities into global digital strategies, the regional process promotes inclusivity, coherence, and responsiveness to local needs.</w:t>
      </w:r>
    </w:p>
    <w:p w14:paraId="4E26DC43" w14:textId="670EB05F" w:rsidR="007D6BC4" w:rsidRDefault="007D6BC4" w:rsidP="00432442">
      <w:pPr>
        <w:jc w:val="both"/>
      </w:pPr>
      <w:r>
        <w:t xml:space="preserve">In </w:t>
      </w:r>
      <w:r w:rsidR="0EAD013F">
        <w:t>close collaboration with UN Regional Commissions and p</w:t>
      </w:r>
      <w:r w:rsidR="2BFF7861">
        <w:t>ar</w:t>
      </w:r>
      <w:r w:rsidR="0EAD013F">
        <w:t>t</w:t>
      </w:r>
      <w:r w:rsidR="2B240E68">
        <w:t>n</w:t>
      </w:r>
      <w:r w:rsidR="0EAD013F">
        <w:t>ers like UNES</w:t>
      </w:r>
      <w:r w:rsidR="60FB5E6A">
        <w:t>CO, UNDP</w:t>
      </w:r>
      <w:r w:rsidR="0EAD013F">
        <w:t xml:space="preserve">, ITU will </w:t>
      </w:r>
      <w:r w:rsidR="3637D35F">
        <w:t xml:space="preserve">continue to contribute towards the regional WSIS implementation reviews. </w:t>
      </w:r>
      <w:r w:rsidR="27F1EF23">
        <w:t xml:space="preserve">Additionally, ITU </w:t>
      </w:r>
      <w:r>
        <w:t>will present regional insights drawn from key WSIS mechanisms</w:t>
      </w:r>
      <w:r w:rsidR="008049FB">
        <w:t xml:space="preserve"> </w:t>
      </w:r>
      <w:r>
        <w:t>—</w:t>
      </w:r>
      <w:r w:rsidR="7E36266B">
        <w:t xml:space="preserve"> </w:t>
      </w:r>
      <w:r>
        <w:t>including the WSIS Forum, the WSIS Stocktaking database, and the WSIS Prizes</w:t>
      </w:r>
      <w:r w:rsidR="4C46C7DF">
        <w:t xml:space="preserve"> </w:t>
      </w:r>
      <w:r>
        <w:t>—</w:t>
      </w:r>
      <w:r w:rsidR="24180D42">
        <w:t xml:space="preserve"> </w:t>
      </w:r>
      <w:r w:rsidR="19BE9FE1">
        <w:t xml:space="preserve">through the </w:t>
      </w:r>
      <w:r w:rsidR="4F77B028">
        <w:t xml:space="preserve">WSIS Stocktaking global and regional reports 2025, and the </w:t>
      </w:r>
      <w:r w:rsidR="19BE9FE1">
        <w:t xml:space="preserve">WSIS+20 Report. </w:t>
      </w:r>
    </w:p>
    <w:p w14:paraId="3DB59439" w14:textId="7F7A20B6" w:rsidR="007D6BC4" w:rsidRDefault="007D6BC4" w:rsidP="00432442">
      <w:pPr>
        <w:jc w:val="both"/>
      </w:pPr>
      <w:r>
        <w:t>As informed during the 42</w:t>
      </w:r>
      <w:r w:rsidRPr="430FC1FD">
        <w:rPr>
          <w:vertAlign w:val="superscript"/>
        </w:rPr>
        <w:t>nd</w:t>
      </w:r>
      <w:r>
        <w:t xml:space="preserve"> meeting of the CWG-WSIS&amp;SDG (</w:t>
      </w:r>
      <w:r w:rsidR="00252A4B">
        <w:t xml:space="preserve">Doc. </w:t>
      </w:r>
      <w:hyperlink r:id="rId29">
        <w:r w:rsidR="00252A4B" w:rsidRPr="430FC1FD">
          <w:rPr>
            <w:rStyle w:val="Hyperlink"/>
          </w:rPr>
          <w:t>CWG-WSIS&amp;SDG-42/5</w:t>
        </w:r>
      </w:hyperlink>
      <w:r>
        <w:t>), ITU has actively contributed throughout 2024 and 2025 to a series of WSIS+20 regional review events, organized in collaboration with UN Regional Commissions, CSTD, and other UN partners. These platforms enable the assessment of regional progress, identification of gaps, and alignment of regional priorities with the GDC and the WSIS vision beyond 2025.</w:t>
      </w:r>
    </w:p>
    <w:p w14:paraId="0C2FB910" w14:textId="77777777" w:rsidR="007D6BC4" w:rsidRPr="00CB50C7" w:rsidRDefault="007D6BC4" w:rsidP="00432442">
      <w:pPr>
        <w:jc w:val="both"/>
      </w:pPr>
      <w:r w:rsidRPr="00CB50C7">
        <w:t>Key events in 2025 include the Digital Cooperation and Development Forum (DCDF) held in February in Amman, Jordan, organized by ESCWA, and the upcoming Africa WSIS+20 and GDC Consultation planned for October 2025 in Lusaka, Zambia (</w:t>
      </w:r>
      <w:r w:rsidRPr="003178B1">
        <w:rPr>
          <w:i/>
          <w:iCs/>
        </w:rPr>
        <w:t>TBC</w:t>
      </w:r>
      <w:r w:rsidRPr="00CB50C7">
        <w:t>). These meetings reaffirm the WSIS framework as a trusted UN-led multistakeholder coordination mechanism for digital development and underline ITU’s leadership in technical facilitation and policy engagement at the regional level.</w:t>
      </w:r>
    </w:p>
    <w:p w14:paraId="7FE74F1B" w14:textId="745A5B57" w:rsidR="007D6BC4" w:rsidRPr="00A74BD6" w:rsidRDefault="007D6BC4" w:rsidP="00432442">
      <w:pPr>
        <w:pStyle w:val="Headingb"/>
      </w:pPr>
      <w:r w:rsidRPr="00A74BD6">
        <w:t xml:space="preserve">ITU </w:t>
      </w:r>
      <w:r w:rsidR="00252A4B" w:rsidRPr="00A74BD6">
        <w:t xml:space="preserve">contribution </w:t>
      </w:r>
      <w:r w:rsidRPr="00A74BD6">
        <w:t>to WSIS regional activities</w:t>
      </w:r>
    </w:p>
    <w:p w14:paraId="1975792B" w14:textId="43DB889B" w:rsidR="007D6BC4" w:rsidRPr="00010F58" w:rsidRDefault="007D6BC4" w:rsidP="008049FB">
      <w:pPr>
        <w:jc w:val="both"/>
      </w:pPr>
      <w:r w:rsidRPr="00010F58">
        <w:t>ITU regional offices continue to drive WSIS implementation through the Kigali Action Plan (WTDC</w:t>
      </w:r>
      <w:r w:rsidR="00252A4B">
        <w:t>-</w:t>
      </w:r>
      <w:r w:rsidRPr="00010F58">
        <w:t>2022) and its Regional Initiatives (2023</w:t>
      </w:r>
      <w:r w:rsidR="00252A4B">
        <w:t>-</w:t>
      </w:r>
      <w:r w:rsidRPr="00010F58">
        <w:t>2025), which address specific regional needs in digital transformation, sustainability, and resilience. In 2025, regional offices supported WSIS Forum programming, contributed to WSIS+20 consultations, and advanced multistakeholder engagement through both the Regional Development Forums (RDFs) and UN Regional Forums for Sustainable Development (RFSDs).</w:t>
      </w:r>
    </w:p>
    <w:p w14:paraId="4A52BD61" w14:textId="77777777" w:rsidR="007D6BC4" w:rsidRPr="00010F58" w:rsidRDefault="007D6BC4" w:rsidP="008049FB">
      <w:pPr>
        <w:jc w:val="both"/>
      </w:pPr>
      <w:r w:rsidRPr="00010F58">
        <w:t xml:space="preserve">In 2025, </w:t>
      </w:r>
      <w:hyperlink r:id="rId30" w:history="1">
        <w:r w:rsidRPr="00010F58">
          <w:rPr>
            <w:rStyle w:val="Hyperlink"/>
          </w:rPr>
          <w:t>ITU organized six R</w:t>
        </w:r>
        <w:r w:rsidRPr="00B459D6">
          <w:rPr>
            <w:rStyle w:val="Hyperlink"/>
          </w:rPr>
          <w:t xml:space="preserve">egional </w:t>
        </w:r>
        <w:r w:rsidRPr="00010F58">
          <w:rPr>
            <w:rStyle w:val="Hyperlink"/>
          </w:rPr>
          <w:t>D</w:t>
        </w:r>
        <w:r w:rsidRPr="00B459D6">
          <w:rPr>
            <w:rStyle w:val="Hyperlink"/>
          </w:rPr>
          <w:t xml:space="preserve">evelopment </w:t>
        </w:r>
        <w:r w:rsidRPr="00010F58">
          <w:rPr>
            <w:rStyle w:val="Hyperlink"/>
          </w:rPr>
          <w:t>F</w:t>
        </w:r>
        <w:r w:rsidRPr="00B459D6">
          <w:rPr>
            <w:rStyle w:val="Hyperlink"/>
          </w:rPr>
          <w:t>orum</w:t>
        </w:r>
        <w:r w:rsidRPr="00010F58">
          <w:rPr>
            <w:rStyle w:val="Hyperlink"/>
          </w:rPr>
          <w:t>s</w:t>
        </w:r>
      </w:hyperlink>
      <w:r w:rsidRPr="00010F58">
        <w:t xml:space="preserve"> across the regions, fostering dialogue among national authorities, industry, and development partners. These RDFs were aligned with WSIS outcomes and served as venues for sharing best practices, addressing common challenges, and promoting regional coordination in digital policy and implementation.</w:t>
      </w:r>
    </w:p>
    <w:p w14:paraId="77E0D0AF" w14:textId="77777777" w:rsidR="007D6BC4" w:rsidRPr="00010F58" w:rsidRDefault="007D6BC4" w:rsidP="008049FB">
      <w:pPr>
        <w:jc w:val="both"/>
      </w:pPr>
      <w:r w:rsidRPr="00010F58">
        <w:t>Complementing these efforts, CSTD regional consultations on WSIS at 20 were held across all five UN regions, enabling inclusive reflection on two decades of WSIS achievements and challenges. ITU participated in each of these consultations, helping channel regional perspectives into the CSTD report to ECOSOC and the broader WSIS+20 review process at the General Assembly.</w:t>
      </w:r>
    </w:p>
    <w:p w14:paraId="148C021D" w14:textId="1A9864D8" w:rsidR="007D6BC4" w:rsidRPr="00CE485D" w:rsidRDefault="007D6BC4" w:rsidP="00432442">
      <w:pPr>
        <w:pStyle w:val="Headingb"/>
      </w:pPr>
      <w:r w:rsidRPr="00CE485D">
        <w:lastRenderedPageBreak/>
        <w:t xml:space="preserve">UNGIS and </w:t>
      </w:r>
      <w:r w:rsidR="00252A4B" w:rsidRPr="00CE485D">
        <w:t>regional coordination</w:t>
      </w:r>
    </w:p>
    <w:p w14:paraId="77203F3B" w14:textId="442A5D2C" w:rsidR="007D6BC4" w:rsidRPr="004F2B99" w:rsidRDefault="007D6BC4" w:rsidP="008049FB">
      <w:pPr>
        <w:jc w:val="both"/>
      </w:pPr>
      <w:r w:rsidRPr="004F2B99">
        <w:t>Under the coordination of ECLAC as Vice-Chair of the United Nations Group on the Information Society (UNGIS) in 2024</w:t>
      </w:r>
      <w:r w:rsidR="00252A4B">
        <w:t>-</w:t>
      </w:r>
      <w:r w:rsidRPr="004F2B99">
        <w:t>2025</w:t>
      </w:r>
      <w:r w:rsidR="00252A4B">
        <w:t xml:space="preserve"> </w:t>
      </w:r>
      <w:r w:rsidRPr="004F2B99">
        <w:t>—and now ESCWA for the 2025</w:t>
      </w:r>
      <w:r w:rsidR="00252A4B">
        <w:t>-</w:t>
      </w:r>
      <w:r w:rsidRPr="004F2B99">
        <w:t>2026 cycle—</w:t>
      </w:r>
      <w:r w:rsidR="00252A4B">
        <w:t xml:space="preserve"> </w:t>
      </w:r>
      <w:r w:rsidRPr="004F2B99">
        <w:t>UN agencies continue to strengthen coherence between global and regional digital policy frameworks. In</w:t>
      </w:r>
      <w:r w:rsidR="00252A4B">
        <w:t> </w:t>
      </w:r>
      <w:r w:rsidRPr="004F2B99">
        <w:t>2025, UNGIS members actively contributed to WSIS+20 regional consultations and provided coordinated inputs to the WSIS+20 Elements Paper.</w:t>
      </w:r>
    </w:p>
    <w:p w14:paraId="067CC048" w14:textId="77777777" w:rsidR="007D6BC4" w:rsidRPr="007E691F" w:rsidRDefault="007D6BC4" w:rsidP="008049FB">
      <w:pPr>
        <w:jc w:val="both"/>
      </w:pPr>
      <w:r w:rsidRPr="0040648B">
        <w:t xml:space="preserve">Regional engagement remains a cornerstone of WSIS implementation and has significantly shaped preparations for the WSIS+20 Overall Review and the Global Digital Compact. ITU, in close partnership with the UN Regional Commissions and regional stakeholders, will continue to advance regional priorities through the WSIS </w:t>
      </w:r>
      <w:r>
        <w:t>architecture</w:t>
      </w:r>
      <w:r w:rsidRPr="0040648B">
        <w:t>, ensuring that digital development remains inclusive, regionally relevant, and globally coordinated.</w:t>
      </w:r>
    </w:p>
    <w:p w14:paraId="274783E1" w14:textId="77777777" w:rsidR="00C354AF" w:rsidRDefault="00C354AF" w:rsidP="00A02329">
      <w:pPr>
        <w:pStyle w:val="Reasons"/>
      </w:pPr>
    </w:p>
    <w:p w14:paraId="01044D95" w14:textId="77D321EE" w:rsidR="00C354AF" w:rsidRPr="005B0763" w:rsidRDefault="00C354AF" w:rsidP="00C354AF">
      <w:pPr>
        <w:jc w:val="center"/>
      </w:pPr>
      <w:r>
        <w:t>______________</w:t>
      </w:r>
    </w:p>
    <w:sectPr w:rsidR="00C354AF" w:rsidRPr="005B0763" w:rsidSect="00AD3606">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D6BC4" w14:paraId="36BBDE98" w14:textId="77777777" w:rsidTr="00A02329">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3BBDD8AB"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432442">
            <w:rPr>
              <w:bCs/>
              <w:lang w:val="es-ES"/>
            </w:rPr>
            <w:t>8</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D6BC4"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44FA0EBA"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432442">
            <w:rPr>
              <w:bCs/>
              <w:lang w:val="es-ES"/>
            </w:rPr>
            <w:t>8</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3E3D49E0">
                    <v:stroke joinstyle="miter"/>
                    <v:path gradientshapeok="t" o:connecttype="rect"/>
                  </v:shapetype>
                  <v:shape id="Text Box 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v:textbox style="mso-fit-shape-to-text:t" inset="1mm">
                      <w:txbxContent>
                        <w:p w:rsidR="00130599" w:rsidP="000120E4" w:rsidRDefault="000A1525" w14:paraId="2EC34A44" w14:textId="302EF1FA">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Pr="009266BB" w:rsidR="009266BB">
                            <w:rPr>
                              <w:sz w:val="20"/>
                            </w:rPr>
                            <w:t>9</w:t>
                          </w:r>
                          <w:r w:rsidRPr="009266BB">
                            <w:rPr>
                              <w:sz w:val="20"/>
                            </w:rPr>
                            <w:t xml:space="preserve"> to 1</w:t>
                          </w:r>
                          <w:r w:rsidRPr="009266BB" w:rsidR="009266BB">
                            <w:rPr>
                              <w:sz w:val="20"/>
                            </w:rPr>
                            <w:t>0</w:t>
                          </w:r>
                          <w:r w:rsidRPr="009266BB">
                            <w:rPr>
                              <w:sz w:val="20"/>
                            </w:rPr>
                            <w:t xml:space="preserve"> (a.m.) </w:t>
                          </w:r>
                          <w:r w:rsidRPr="009266BB" w:rsid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1D530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795"/>
    <w:rsid w:val="00076AF6"/>
    <w:rsid w:val="00085CF2"/>
    <w:rsid w:val="00096851"/>
    <w:rsid w:val="000A1525"/>
    <w:rsid w:val="000B1705"/>
    <w:rsid w:val="000C5D2A"/>
    <w:rsid w:val="000D75B2"/>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2119FD"/>
    <w:rsid w:val="002130E0"/>
    <w:rsid w:val="002169EC"/>
    <w:rsid w:val="00227AAB"/>
    <w:rsid w:val="002440E4"/>
    <w:rsid w:val="00244F7F"/>
    <w:rsid w:val="0025197E"/>
    <w:rsid w:val="00252A4B"/>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178B1"/>
    <w:rsid w:val="00320223"/>
    <w:rsid w:val="00322D0D"/>
    <w:rsid w:val="00361465"/>
    <w:rsid w:val="003877F5"/>
    <w:rsid w:val="003942D4"/>
    <w:rsid w:val="0039514F"/>
    <w:rsid w:val="003958A8"/>
    <w:rsid w:val="003B29C2"/>
    <w:rsid w:val="003C20CA"/>
    <w:rsid w:val="003C2533"/>
    <w:rsid w:val="003D2D21"/>
    <w:rsid w:val="003D5A7F"/>
    <w:rsid w:val="003D635C"/>
    <w:rsid w:val="003D71D8"/>
    <w:rsid w:val="004016E2"/>
    <w:rsid w:val="0040435A"/>
    <w:rsid w:val="00416A24"/>
    <w:rsid w:val="0042059E"/>
    <w:rsid w:val="00431D9E"/>
    <w:rsid w:val="00432442"/>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3D1D"/>
    <w:rsid w:val="005243FF"/>
    <w:rsid w:val="005311D6"/>
    <w:rsid w:val="00536422"/>
    <w:rsid w:val="005536C2"/>
    <w:rsid w:val="00564FBC"/>
    <w:rsid w:val="005800BC"/>
    <w:rsid w:val="00582442"/>
    <w:rsid w:val="005A335D"/>
    <w:rsid w:val="005B0763"/>
    <w:rsid w:val="005C13D4"/>
    <w:rsid w:val="005C77C0"/>
    <w:rsid w:val="005E2BD5"/>
    <w:rsid w:val="005F3269"/>
    <w:rsid w:val="005F7176"/>
    <w:rsid w:val="005F728E"/>
    <w:rsid w:val="00615961"/>
    <w:rsid w:val="00623AE3"/>
    <w:rsid w:val="006261F4"/>
    <w:rsid w:val="0064737F"/>
    <w:rsid w:val="006535F1"/>
    <w:rsid w:val="0065557D"/>
    <w:rsid w:val="00660D50"/>
    <w:rsid w:val="00662984"/>
    <w:rsid w:val="006672D6"/>
    <w:rsid w:val="006716BB"/>
    <w:rsid w:val="00696496"/>
    <w:rsid w:val="006973C8"/>
    <w:rsid w:val="006A4862"/>
    <w:rsid w:val="006B1859"/>
    <w:rsid w:val="006B6680"/>
    <w:rsid w:val="006B6DCC"/>
    <w:rsid w:val="00701C70"/>
    <w:rsid w:val="00702DEF"/>
    <w:rsid w:val="00706861"/>
    <w:rsid w:val="00722ECF"/>
    <w:rsid w:val="007247CF"/>
    <w:rsid w:val="00726B8C"/>
    <w:rsid w:val="007350F1"/>
    <w:rsid w:val="0075051B"/>
    <w:rsid w:val="0077110E"/>
    <w:rsid w:val="00775655"/>
    <w:rsid w:val="00781461"/>
    <w:rsid w:val="007849D5"/>
    <w:rsid w:val="00793188"/>
    <w:rsid w:val="00794D34"/>
    <w:rsid w:val="007D6BC4"/>
    <w:rsid w:val="008049FB"/>
    <w:rsid w:val="00806E3C"/>
    <w:rsid w:val="00813E5E"/>
    <w:rsid w:val="00816C2C"/>
    <w:rsid w:val="0083581B"/>
    <w:rsid w:val="00860EED"/>
    <w:rsid w:val="00863874"/>
    <w:rsid w:val="00864AFF"/>
    <w:rsid w:val="00865925"/>
    <w:rsid w:val="00877BF2"/>
    <w:rsid w:val="00891503"/>
    <w:rsid w:val="008A2F06"/>
    <w:rsid w:val="008B4A6A"/>
    <w:rsid w:val="008B774C"/>
    <w:rsid w:val="008C7E27"/>
    <w:rsid w:val="008F3822"/>
    <w:rsid w:val="008F7448"/>
    <w:rsid w:val="0090147A"/>
    <w:rsid w:val="0090389B"/>
    <w:rsid w:val="009173EF"/>
    <w:rsid w:val="009266BB"/>
    <w:rsid w:val="00932906"/>
    <w:rsid w:val="00961860"/>
    <w:rsid w:val="00961B0B"/>
    <w:rsid w:val="00962D33"/>
    <w:rsid w:val="00997E97"/>
    <w:rsid w:val="009B38C3"/>
    <w:rsid w:val="009E17BD"/>
    <w:rsid w:val="009E485A"/>
    <w:rsid w:val="00A02329"/>
    <w:rsid w:val="00A04CEC"/>
    <w:rsid w:val="00A27F92"/>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248BC"/>
    <w:rsid w:val="00B358B2"/>
    <w:rsid w:val="00B35CC6"/>
    <w:rsid w:val="00B40A81"/>
    <w:rsid w:val="00B44910"/>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01CA7"/>
    <w:rsid w:val="00C354AF"/>
    <w:rsid w:val="00C374DE"/>
    <w:rsid w:val="00C47AD4"/>
    <w:rsid w:val="00C52D81"/>
    <w:rsid w:val="00C55198"/>
    <w:rsid w:val="00C7056D"/>
    <w:rsid w:val="00C71AC3"/>
    <w:rsid w:val="00C725C6"/>
    <w:rsid w:val="00C922C7"/>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33254"/>
    <w:rsid w:val="00E4728B"/>
    <w:rsid w:val="00E545C6"/>
    <w:rsid w:val="00E60F04"/>
    <w:rsid w:val="00E63EFF"/>
    <w:rsid w:val="00E65B24"/>
    <w:rsid w:val="00E854E4"/>
    <w:rsid w:val="00E86DBF"/>
    <w:rsid w:val="00EB0D6F"/>
    <w:rsid w:val="00EB2232"/>
    <w:rsid w:val="00EC5337"/>
    <w:rsid w:val="00EE49E8"/>
    <w:rsid w:val="00EE7CAF"/>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4077"/>
    <w:rsid w:val="00FE500D"/>
    <w:rsid w:val="00FE75B0"/>
    <w:rsid w:val="00FE77D2"/>
    <w:rsid w:val="0EAD013F"/>
    <w:rsid w:val="19BE9FE1"/>
    <w:rsid w:val="24180D42"/>
    <w:rsid w:val="27F1EF23"/>
    <w:rsid w:val="2B240E68"/>
    <w:rsid w:val="2BFF7861"/>
    <w:rsid w:val="324C1C27"/>
    <w:rsid w:val="3497AEE8"/>
    <w:rsid w:val="3637D35F"/>
    <w:rsid w:val="430FC1FD"/>
    <w:rsid w:val="4884D1E6"/>
    <w:rsid w:val="4B8C6F48"/>
    <w:rsid w:val="4C46C7DF"/>
    <w:rsid w:val="4F77B028"/>
    <w:rsid w:val="51C22B9B"/>
    <w:rsid w:val="60FB5E6A"/>
    <w:rsid w:val="62BF357A"/>
    <w:rsid w:val="6523F2D4"/>
    <w:rsid w:val="6C765FD5"/>
    <w:rsid w:val="7E36266B"/>
    <w:rsid w:val="7E46BE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6711B629-265A-4317-9B46-7D020443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character" w:customStyle="1" w:styleId="normaltextrun">
    <w:name w:val="normaltextrun"/>
    <w:basedOn w:val="DefaultParagraphFont"/>
    <w:rsid w:val="007D6BC4"/>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un.org/en/A/RES/70/1" TargetMode="External"/><Relationship Id="rId18" Type="http://schemas.openxmlformats.org/officeDocument/2006/relationships/hyperlink" Target="https://www.itu.int/en/council/Documents/basic-texts-2023/RES-140-E.pdf" TargetMode="External"/><Relationship Id="rId26" Type="http://schemas.openxmlformats.org/officeDocument/2006/relationships/hyperlink" Target="https://www.itu.int/md/S25-CWGWSIS42-INF-0006/en" TargetMode="External"/><Relationship Id="rId3" Type="http://schemas.openxmlformats.org/officeDocument/2006/relationships/customXml" Target="../customXml/item3.xml"/><Relationship Id="rId21" Type="http://schemas.openxmlformats.org/officeDocument/2006/relationships/hyperlink" Target="https://www.itu.int/dms_pub/itu-d/opb/tdc/D-TDC-WTDC-2022-PDF-E.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s.un.org/en/A/RES/70/125" TargetMode="External"/><Relationship Id="rId17" Type="http://schemas.openxmlformats.org/officeDocument/2006/relationships/hyperlink" Target="https://www.itu.int/en/council/cwg-wsis/Documents/Resolution172-PP10.pdf" TargetMode="External"/><Relationship Id="rId25" Type="http://schemas.openxmlformats.org/officeDocument/2006/relationships/hyperlink" Target="https://www.itu.int/md/S25-CWGWSIS42-C-0020/e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nctad.org/system/files/official-document/ecn162025d4_en.pdf" TargetMode="External"/><Relationship Id="rId20" Type="http://schemas.openxmlformats.org/officeDocument/2006/relationships/hyperlink" Target="https://www.itu.int/md/S23-CL-C-0120/en" TargetMode="External"/><Relationship Id="rId29" Type="http://schemas.openxmlformats.org/officeDocument/2006/relationships/hyperlink" Target="https://www.itu.int/md/S25-CWGWSIS42-C-0005/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en/council/cwg-wsis/Pages/Previous-meetings.asp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cs.un.org/en/E/RES/2024/13" TargetMode="External"/><Relationship Id="rId23" Type="http://schemas.openxmlformats.org/officeDocument/2006/relationships/hyperlink" Target="https://www.itu.int/pub/R-RES-R.61-3-2023" TargetMode="External"/><Relationship Id="rId28" Type="http://schemas.openxmlformats.org/officeDocument/2006/relationships/hyperlink" Target="https://docs.un.org/en/A/RES/70/125" TargetMode="External"/><Relationship Id="rId10" Type="http://schemas.openxmlformats.org/officeDocument/2006/relationships/endnotes" Target="endnotes.xml"/><Relationship Id="rId19" Type="http://schemas.openxmlformats.org/officeDocument/2006/relationships/hyperlink" Target="https://www.itu.int/md/S24-CL-C-0141/e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en/A/RES/77/150" TargetMode="External"/><Relationship Id="rId22" Type="http://schemas.openxmlformats.org/officeDocument/2006/relationships/hyperlink" Target="https://www.itu.int/pub/T-RES-T.75-2022" TargetMode="External"/><Relationship Id="rId27" Type="http://schemas.openxmlformats.org/officeDocument/2006/relationships/hyperlink" Target="https://www.itu.int/net4/wsis/forum/2025/Files/outcomes/draft/WSISStocktaking2025GlobalReport__DRAFT.pdf" TargetMode="External"/><Relationship Id="rId30" Type="http://schemas.openxmlformats.org/officeDocument/2006/relationships/hyperlink" Target="https://www.itu.int/itu-d/meetings/r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3.xml><?xml version="1.0" encoding="utf-8"?>
<ds:datastoreItem xmlns:ds="http://schemas.openxmlformats.org/officeDocument/2006/customXml" ds:itemID="{5371A7F4-6B86-4081-AB7C-DBAC44D380D0}">
  <ds:schemaRef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1aaea1ea-72e4-4374-b05e-72e2f16fb7ae"/>
    <ds:schemaRef ds:uri="http://schemas.microsoft.com/sharepoint/v3"/>
    <ds:schemaRef ds:uri="http://schemas.microsoft.com/office/2006/metadata/properties"/>
    <ds:schemaRef ds:uri="a1cf676c-2816-4389-ad5d-0f2e7c7e67c4"/>
  </ds:schemaRefs>
</ds:datastoreItem>
</file>

<file path=customXml/itemProps4.xml><?xml version="1.0" encoding="utf-8"?>
<ds:datastoreItem xmlns:ds="http://schemas.openxmlformats.org/officeDocument/2006/customXml" ds:itemID="{EA271ABB-DC60-4DF5-B6D5-297A224E2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739</Words>
  <Characters>5970</Characters>
  <Application>Microsoft Office Word</Application>
  <DocSecurity>0</DocSecurity>
  <Lines>108</Lines>
  <Paragraphs>36</Paragraphs>
  <ScaleCrop>false</ScaleCrop>
  <Manager/>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activities towards an alignment of WSIS and SDG processes</dc:title>
  <dc:subject>ITU Council Working Group on WSIS &amp; SDGs</dc:subject>
  <cp:keywords>CWG-WSIS&amp;SDG</cp:keywords>
  <dc:description/>
  <dcterms:created xsi:type="dcterms:W3CDTF">2025-08-08T16:53:00Z</dcterms:created>
  <dcterms:modified xsi:type="dcterms:W3CDTF">2025-08-08T16:53:00Z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