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B6170C" w14:paraId="4DD62155" w14:textId="77777777" w:rsidTr="00AD3606">
        <w:trPr>
          <w:cantSplit/>
          <w:trHeight w:val="23"/>
        </w:trPr>
        <w:tc>
          <w:tcPr>
            <w:tcW w:w="3969" w:type="dxa"/>
            <w:vMerge w:val="restart"/>
            <w:tcMar>
              <w:left w:w="0" w:type="dxa"/>
            </w:tcMar>
          </w:tcPr>
          <w:p w14:paraId="618A5B5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3DE2FA2" w14:textId="5DCFCD98" w:rsidR="00AD3606" w:rsidRPr="00301AEE" w:rsidRDefault="00AD3606" w:rsidP="00472BAD">
            <w:pPr>
              <w:tabs>
                <w:tab w:val="left" w:pos="851"/>
              </w:tabs>
              <w:spacing w:before="0" w:line="240" w:lineRule="atLeast"/>
              <w:jc w:val="right"/>
              <w:rPr>
                <w:b/>
                <w:lang w:val="fr-FR"/>
              </w:rPr>
            </w:pPr>
            <w:r w:rsidRPr="00301AEE">
              <w:rPr>
                <w:b/>
                <w:lang w:val="fr-FR"/>
              </w:rPr>
              <w:t xml:space="preserve">Document </w:t>
            </w:r>
            <w:proofErr w:type="spellStart"/>
            <w:r w:rsidR="00227AAB" w:rsidRPr="00227AAB">
              <w:rPr>
                <w:b/>
                <w:lang w:val="fr-FR"/>
              </w:rPr>
              <w:t>CWG-WSIS&amp;SDG-4</w:t>
            </w:r>
            <w:r w:rsidR="00C354AF">
              <w:rPr>
                <w:b/>
                <w:lang w:val="fr-FR"/>
              </w:rPr>
              <w:t>3</w:t>
            </w:r>
            <w:proofErr w:type="spellEnd"/>
            <w:r w:rsidR="002F2D06">
              <w:rPr>
                <w:b/>
                <w:lang w:val="fr-FR"/>
              </w:rPr>
              <w:t>/</w:t>
            </w:r>
            <w:r w:rsidR="00B6170C">
              <w:rPr>
                <w:b/>
                <w:lang w:val="fr-FR"/>
              </w:rPr>
              <w:t>7</w:t>
            </w:r>
          </w:p>
        </w:tc>
      </w:tr>
      <w:tr w:rsidR="00AD3606" w:rsidRPr="008B774C" w14:paraId="7298C460" w14:textId="77777777" w:rsidTr="00AD3606">
        <w:trPr>
          <w:cantSplit/>
        </w:trPr>
        <w:tc>
          <w:tcPr>
            <w:tcW w:w="3969" w:type="dxa"/>
            <w:vMerge/>
          </w:tcPr>
          <w:p w14:paraId="2AC99EA9"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13D878A3" w14:textId="65FB7FA1" w:rsidR="00AD3606" w:rsidRPr="008B774C" w:rsidRDefault="00647B0D" w:rsidP="00AD3606">
            <w:pPr>
              <w:tabs>
                <w:tab w:val="left" w:pos="851"/>
              </w:tabs>
              <w:spacing w:before="0"/>
              <w:jc w:val="right"/>
              <w:rPr>
                <w:b/>
              </w:rPr>
            </w:pPr>
            <w:r>
              <w:rPr>
                <w:b/>
              </w:rPr>
              <w:t>8 August</w:t>
            </w:r>
            <w:r w:rsidR="00B6170C">
              <w:rPr>
                <w:b/>
              </w:rPr>
              <w:t xml:space="preserve"> 2025</w:t>
            </w:r>
          </w:p>
        </w:tc>
      </w:tr>
      <w:tr w:rsidR="00AD3606" w:rsidRPr="00147C54" w14:paraId="6BDCBE6D" w14:textId="77777777" w:rsidTr="00AD3606">
        <w:trPr>
          <w:cantSplit/>
          <w:trHeight w:val="23"/>
        </w:trPr>
        <w:tc>
          <w:tcPr>
            <w:tcW w:w="3969" w:type="dxa"/>
            <w:vMerge/>
          </w:tcPr>
          <w:p w14:paraId="69B29BCC" w14:textId="77777777" w:rsidR="00AD3606" w:rsidRPr="008B774C" w:rsidRDefault="00AD3606" w:rsidP="00AD3606">
            <w:pPr>
              <w:tabs>
                <w:tab w:val="left" w:pos="851"/>
              </w:tabs>
              <w:spacing w:line="240" w:lineRule="atLeast"/>
              <w:rPr>
                <w:b/>
              </w:rPr>
            </w:pPr>
            <w:bookmarkStart w:id="7" w:name="dorlang" w:colFirst="1" w:colLast="1"/>
            <w:bookmarkEnd w:id="6"/>
          </w:p>
        </w:tc>
        <w:tc>
          <w:tcPr>
            <w:tcW w:w="5245" w:type="dxa"/>
          </w:tcPr>
          <w:p w14:paraId="040FC3F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0AB883D" w14:textId="77777777" w:rsidTr="00AD3606">
        <w:trPr>
          <w:cantSplit/>
          <w:trHeight w:val="23"/>
        </w:trPr>
        <w:tc>
          <w:tcPr>
            <w:tcW w:w="3969" w:type="dxa"/>
          </w:tcPr>
          <w:p w14:paraId="0E825F8D" w14:textId="77777777" w:rsidR="00472BAD" w:rsidRPr="00147C54" w:rsidRDefault="00472BAD" w:rsidP="00AD3606">
            <w:pPr>
              <w:tabs>
                <w:tab w:val="left" w:pos="851"/>
              </w:tabs>
              <w:spacing w:line="240" w:lineRule="atLeast"/>
              <w:rPr>
                <w:b/>
              </w:rPr>
            </w:pPr>
          </w:p>
        </w:tc>
        <w:tc>
          <w:tcPr>
            <w:tcW w:w="5245" w:type="dxa"/>
          </w:tcPr>
          <w:p w14:paraId="3A9852C1" w14:textId="77777777" w:rsidR="00472BAD" w:rsidRPr="00147C54" w:rsidRDefault="00472BAD" w:rsidP="00AD3606">
            <w:pPr>
              <w:tabs>
                <w:tab w:val="left" w:pos="851"/>
              </w:tabs>
              <w:spacing w:before="0" w:line="240" w:lineRule="atLeast"/>
              <w:jc w:val="right"/>
              <w:rPr>
                <w:b/>
              </w:rPr>
            </w:pPr>
          </w:p>
        </w:tc>
      </w:tr>
      <w:tr w:rsidR="00AD3606" w:rsidRPr="00147C54" w14:paraId="52871CB7" w14:textId="77777777" w:rsidTr="00AD3606">
        <w:trPr>
          <w:cantSplit/>
        </w:trPr>
        <w:tc>
          <w:tcPr>
            <w:tcW w:w="9214" w:type="dxa"/>
            <w:gridSpan w:val="2"/>
            <w:tcMar>
              <w:left w:w="0" w:type="dxa"/>
            </w:tcMar>
          </w:tcPr>
          <w:p w14:paraId="4F9642A2" w14:textId="15600387" w:rsidR="00AD3606" w:rsidRPr="00147C54" w:rsidRDefault="00B6170C" w:rsidP="00E4728B">
            <w:pPr>
              <w:pStyle w:val="Source"/>
              <w:framePr w:hSpace="0" w:wrap="auto" w:vAnchor="margin" w:hAnchor="text" w:xAlign="left" w:yAlign="inline"/>
            </w:pPr>
            <w:bookmarkStart w:id="8" w:name="dsource" w:colFirst="0" w:colLast="0"/>
            <w:bookmarkEnd w:id="7"/>
            <w:r w:rsidRPr="00B6170C">
              <w:t xml:space="preserve">Report by the Secretary-General </w:t>
            </w:r>
          </w:p>
        </w:tc>
      </w:tr>
      <w:tr w:rsidR="00AD3606" w:rsidRPr="00147C54" w14:paraId="62D1261B" w14:textId="77777777" w:rsidTr="00AD3606">
        <w:trPr>
          <w:cantSplit/>
        </w:trPr>
        <w:tc>
          <w:tcPr>
            <w:tcW w:w="9214" w:type="dxa"/>
            <w:gridSpan w:val="2"/>
            <w:tcMar>
              <w:left w:w="0" w:type="dxa"/>
            </w:tcMar>
          </w:tcPr>
          <w:p w14:paraId="246571F2" w14:textId="467A13AB" w:rsidR="00AD3606" w:rsidRPr="00147C54" w:rsidRDefault="00F3761C" w:rsidP="00E4728B">
            <w:pPr>
              <w:pStyle w:val="Subtitle"/>
              <w:framePr w:hSpace="0" w:wrap="auto" w:xAlign="left" w:yAlign="inline"/>
            </w:pPr>
            <w:bookmarkStart w:id="9" w:name="dtitle1" w:colFirst="0" w:colLast="0"/>
            <w:bookmarkEnd w:id="8"/>
            <w:r w:rsidRPr="00B6170C">
              <w:t xml:space="preserve">UPDATE ON THE IMPLEMENTATION OF THE </w:t>
            </w:r>
            <w:proofErr w:type="spellStart"/>
            <w:r w:rsidRPr="00B6170C">
              <w:t>WTDC</w:t>
            </w:r>
            <w:proofErr w:type="spellEnd"/>
            <w:r w:rsidRPr="00B6170C">
              <w:t xml:space="preserve">, </w:t>
            </w:r>
            <w:proofErr w:type="spellStart"/>
            <w:r w:rsidRPr="00B6170C">
              <w:t>WTSA</w:t>
            </w:r>
            <w:proofErr w:type="spellEnd"/>
            <w:r w:rsidRPr="00B6170C">
              <w:t xml:space="preserve"> AND </w:t>
            </w:r>
            <w:r>
              <w:t>RA</w:t>
            </w:r>
            <w:r w:rsidRPr="00B6170C">
              <w:t xml:space="preserve"> RESOLUTIONS ON WSIS</w:t>
            </w:r>
          </w:p>
        </w:tc>
      </w:tr>
      <w:tr w:rsidR="00AD3606" w:rsidRPr="00147C54" w14:paraId="6545B848" w14:textId="77777777" w:rsidTr="00AD3606">
        <w:trPr>
          <w:cantSplit/>
        </w:trPr>
        <w:tc>
          <w:tcPr>
            <w:tcW w:w="9214" w:type="dxa"/>
            <w:gridSpan w:val="2"/>
            <w:tcBorders>
              <w:top w:val="single" w:sz="4" w:space="0" w:color="auto"/>
              <w:bottom w:val="single" w:sz="4" w:space="0" w:color="auto"/>
            </w:tcBorders>
            <w:tcMar>
              <w:left w:w="0" w:type="dxa"/>
            </w:tcMar>
          </w:tcPr>
          <w:p w14:paraId="0CAFC7CF" w14:textId="77777777" w:rsidR="00AD3606" w:rsidRPr="00147C54" w:rsidRDefault="00F16BAB" w:rsidP="00F16BAB">
            <w:pPr>
              <w:spacing w:before="160"/>
              <w:rPr>
                <w:b/>
                <w:bCs/>
                <w:sz w:val="26"/>
                <w:szCs w:val="26"/>
              </w:rPr>
            </w:pPr>
            <w:r w:rsidRPr="00147C54">
              <w:rPr>
                <w:b/>
                <w:bCs/>
                <w:sz w:val="26"/>
                <w:szCs w:val="26"/>
              </w:rPr>
              <w:t>Purpose</w:t>
            </w:r>
          </w:p>
          <w:p w14:paraId="4E90F630" w14:textId="6ABB1FBD" w:rsidR="00AD3606" w:rsidRPr="00147C54" w:rsidRDefault="00F3761C" w:rsidP="00F16BAB">
            <w:r w:rsidRPr="003749C5">
              <w:rPr>
                <w:szCs w:val="24"/>
              </w:rPr>
              <w:t>The objective of this document is to provide information on the activities, actions, and engagements that the Sectors are undertaking in the context of the implementation of the WSIS process as mandated by relevant resolutions.</w:t>
            </w:r>
          </w:p>
          <w:p w14:paraId="2A416CCD" w14:textId="77777777" w:rsidR="00AD3606" w:rsidRPr="00147C54" w:rsidRDefault="00AD3606" w:rsidP="00F16BAB">
            <w:pPr>
              <w:spacing w:before="160"/>
              <w:rPr>
                <w:b/>
                <w:bCs/>
                <w:sz w:val="26"/>
                <w:szCs w:val="26"/>
              </w:rPr>
            </w:pPr>
            <w:r w:rsidRPr="00147C54">
              <w:rPr>
                <w:b/>
                <w:bCs/>
                <w:sz w:val="26"/>
                <w:szCs w:val="26"/>
              </w:rPr>
              <w:t>Action required</w:t>
            </w:r>
          </w:p>
          <w:p w14:paraId="2AF7B463" w14:textId="0AE73B34" w:rsidR="0025570E" w:rsidRPr="004405AB" w:rsidRDefault="005536C2" w:rsidP="000F6AB8">
            <w:pPr>
              <w:spacing w:before="160"/>
            </w:pPr>
            <w:r w:rsidRPr="00F3761C">
              <w:rPr>
                <w:szCs w:val="24"/>
              </w:rPr>
              <w:t>The Council Working Group on WSIS and the SDGs is invited to</w:t>
            </w:r>
            <w:r w:rsidRPr="00F3761C">
              <w:rPr>
                <w:b/>
                <w:bCs/>
                <w:szCs w:val="24"/>
              </w:rPr>
              <w:t xml:space="preserve"> consider</w:t>
            </w:r>
            <w:r w:rsidR="00F3761C" w:rsidRPr="00F3761C">
              <w:rPr>
                <w:b/>
                <w:bCs/>
                <w:szCs w:val="24"/>
              </w:rPr>
              <w:t xml:space="preserve"> </w:t>
            </w:r>
            <w:r w:rsidRPr="00F3761C">
              <w:rPr>
                <w:szCs w:val="24"/>
              </w:rPr>
              <w:t>this document.</w:t>
            </w:r>
          </w:p>
          <w:p w14:paraId="7BD0117A" w14:textId="77777777" w:rsidR="00AD3606" w:rsidRPr="00CD3C91" w:rsidRDefault="00CD3C91" w:rsidP="00CD3C91">
            <w:r>
              <w:t>_______________</w:t>
            </w:r>
          </w:p>
          <w:p w14:paraId="783B7B84" w14:textId="63D6EE0A" w:rsidR="00AD3606" w:rsidRPr="00147C54" w:rsidRDefault="00AD3606" w:rsidP="00F16BAB">
            <w:pPr>
              <w:spacing w:before="160"/>
              <w:rPr>
                <w:b/>
                <w:bCs/>
                <w:sz w:val="26"/>
                <w:szCs w:val="26"/>
              </w:rPr>
            </w:pPr>
            <w:r w:rsidRPr="00147C54">
              <w:rPr>
                <w:b/>
                <w:bCs/>
                <w:sz w:val="26"/>
                <w:szCs w:val="26"/>
              </w:rPr>
              <w:t>References</w:t>
            </w:r>
            <w:r w:rsidR="00301AEE">
              <w:rPr>
                <w:b/>
                <w:bCs/>
                <w:sz w:val="26"/>
                <w:szCs w:val="26"/>
              </w:rPr>
              <w:t xml:space="preserve"> </w:t>
            </w:r>
          </w:p>
          <w:p w14:paraId="1CFE5D15" w14:textId="7350F5BA" w:rsidR="00AD3606" w:rsidRPr="001B0595" w:rsidRDefault="00F3761C" w:rsidP="00F16BAB">
            <w:pPr>
              <w:spacing w:after="160"/>
              <w:rPr>
                <w:i/>
                <w:iCs/>
                <w:sz w:val="22"/>
                <w:szCs w:val="22"/>
              </w:rPr>
            </w:pPr>
            <w:hyperlink r:id="rId11" w:history="1">
              <w:proofErr w:type="spellStart"/>
              <w:r w:rsidRPr="00FE11B4">
                <w:rPr>
                  <w:rStyle w:val="Hyperlink"/>
                  <w:i/>
                  <w:iCs/>
                  <w:sz w:val="22"/>
                  <w:szCs w:val="22"/>
                </w:rPr>
                <w:t>CWG-WSIS&amp;SDG</w:t>
              </w:r>
              <w:proofErr w:type="spellEnd"/>
              <w:r w:rsidRPr="00FE11B4">
                <w:rPr>
                  <w:rStyle w:val="Hyperlink"/>
                  <w:i/>
                  <w:iCs/>
                  <w:sz w:val="22"/>
                  <w:szCs w:val="22"/>
                </w:rPr>
                <w:t xml:space="preserve"> website</w:t>
              </w:r>
            </w:hyperlink>
            <w:r w:rsidRPr="00ED6278">
              <w:rPr>
                <w:i/>
                <w:iCs/>
                <w:sz w:val="22"/>
                <w:szCs w:val="22"/>
              </w:rPr>
              <w:t xml:space="preserve">; UNGA Resolutions </w:t>
            </w:r>
            <w:hyperlink r:id="rId12" w:history="1">
              <w:r w:rsidRPr="00FE11B4">
                <w:rPr>
                  <w:rStyle w:val="Hyperlink"/>
                  <w:i/>
                  <w:iCs/>
                  <w:sz w:val="22"/>
                  <w:szCs w:val="22"/>
                </w:rPr>
                <w:t>A/RES/70/125</w:t>
              </w:r>
            </w:hyperlink>
            <w:r w:rsidRPr="00ED6278">
              <w:rPr>
                <w:i/>
                <w:iCs/>
                <w:sz w:val="22"/>
                <w:szCs w:val="22"/>
              </w:rPr>
              <w:t xml:space="preserve">, </w:t>
            </w:r>
            <w:hyperlink r:id="rId13" w:history="1">
              <w:r w:rsidRPr="00FE11B4">
                <w:rPr>
                  <w:rStyle w:val="Hyperlink"/>
                  <w:i/>
                  <w:iCs/>
                  <w:sz w:val="22"/>
                  <w:szCs w:val="22"/>
                </w:rPr>
                <w:t>A/RES/70/1</w:t>
              </w:r>
            </w:hyperlink>
            <w:r w:rsidRPr="00ED6278">
              <w:rPr>
                <w:i/>
                <w:iCs/>
                <w:sz w:val="22"/>
                <w:szCs w:val="22"/>
              </w:rPr>
              <w:t xml:space="preserve">, </w:t>
            </w:r>
            <w:hyperlink r:id="rId14" w:history="1">
              <w:r w:rsidRPr="00A97A7F">
                <w:rPr>
                  <w:rStyle w:val="Hyperlink"/>
                  <w:i/>
                  <w:iCs/>
                  <w:sz w:val="22"/>
                  <w:szCs w:val="22"/>
                </w:rPr>
                <w:t>A/RES/77/150</w:t>
              </w:r>
            </w:hyperlink>
            <w:r w:rsidRPr="00ED6278">
              <w:rPr>
                <w:i/>
                <w:iCs/>
                <w:sz w:val="22"/>
                <w:szCs w:val="22"/>
              </w:rPr>
              <w:t xml:space="preserve">; UN ECOSOC Resolution </w:t>
            </w:r>
            <w:hyperlink r:id="rId15" w:history="1">
              <w:r w:rsidRPr="00A97A7F">
                <w:rPr>
                  <w:rStyle w:val="Hyperlink"/>
                  <w:i/>
                  <w:iCs/>
                  <w:sz w:val="22"/>
                  <w:szCs w:val="22"/>
                </w:rPr>
                <w:t>E/RES/2024/13</w:t>
              </w:r>
            </w:hyperlink>
            <w:r w:rsidRPr="00ED6278">
              <w:rPr>
                <w:i/>
                <w:iCs/>
                <w:sz w:val="22"/>
                <w:szCs w:val="22"/>
              </w:rPr>
              <w:t>; PP Resolution</w:t>
            </w:r>
            <w:r>
              <w:rPr>
                <w:i/>
                <w:iCs/>
                <w:sz w:val="22"/>
                <w:szCs w:val="22"/>
              </w:rPr>
              <w:t>s</w:t>
            </w:r>
            <w:r w:rsidRPr="00ED6278">
              <w:rPr>
                <w:i/>
                <w:iCs/>
                <w:sz w:val="22"/>
                <w:szCs w:val="22"/>
              </w:rPr>
              <w:t xml:space="preserve"> </w:t>
            </w:r>
            <w:hyperlink r:id="rId16" w:history="1">
              <w:r w:rsidRPr="009824C0">
                <w:rPr>
                  <w:rStyle w:val="Hyperlink"/>
                  <w:i/>
                  <w:iCs/>
                  <w:sz w:val="22"/>
                  <w:szCs w:val="22"/>
                </w:rPr>
                <w:t>172 (Guadalajara, 2010)</w:t>
              </w:r>
            </w:hyperlink>
            <w:r>
              <w:rPr>
                <w:i/>
                <w:iCs/>
                <w:sz w:val="22"/>
                <w:szCs w:val="22"/>
              </w:rPr>
              <w:t xml:space="preserve"> and</w:t>
            </w:r>
            <w:r w:rsidRPr="00ED6278">
              <w:rPr>
                <w:i/>
                <w:iCs/>
                <w:sz w:val="22"/>
                <w:szCs w:val="22"/>
              </w:rPr>
              <w:t xml:space="preserve"> </w:t>
            </w:r>
            <w:hyperlink r:id="rId17" w:history="1">
              <w:r w:rsidRPr="009824C0">
                <w:rPr>
                  <w:rStyle w:val="Hyperlink"/>
                  <w:i/>
                  <w:iCs/>
                  <w:sz w:val="22"/>
                  <w:szCs w:val="22"/>
                </w:rPr>
                <w:t>140 (Rev. Bucharest, 2022)</w:t>
              </w:r>
            </w:hyperlink>
            <w:r w:rsidRPr="00ED6278">
              <w:rPr>
                <w:i/>
                <w:iCs/>
                <w:sz w:val="22"/>
                <w:szCs w:val="22"/>
              </w:rPr>
              <w:t>; Council Resolution</w:t>
            </w:r>
            <w:r>
              <w:rPr>
                <w:i/>
                <w:iCs/>
                <w:sz w:val="22"/>
                <w:szCs w:val="22"/>
              </w:rPr>
              <w:t>s</w:t>
            </w:r>
            <w:r w:rsidRPr="00ED6278">
              <w:rPr>
                <w:i/>
                <w:iCs/>
                <w:sz w:val="22"/>
                <w:szCs w:val="22"/>
              </w:rPr>
              <w:t xml:space="preserve"> </w:t>
            </w:r>
            <w:hyperlink r:id="rId18" w:history="1">
              <w:r w:rsidRPr="008766E6">
                <w:rPr>
                  <w:rStyle w:val="Hyperlink"/>
                  <w:i/>
                  <w:iCs/>
                  <w:sz w:val="22"/>
                  <w:szCs w:val="22"/>
                </w:rPr>
                <w:t>1332 (Modified 2024)</w:t>
              </w:r>
            </w:hyperlink>
            <w:r>
              <w:rPr>
                <w:i/>
                <w:iCs/>
                <w:sz w:val="22"/>
                <w:szCs w:val="22"/>
              </w:rPr>
              <w:t xml:space="preserve"> and</w:t>
            </w:r>
            <w:r w:rsidRPr="00ED6278">
              <w:rPr>
                <w:i/>
                <w:iCs/>
                <w:sz w:val="22"/>
                <w:szCs w:val="22"/>
              </w:rPr>
              <w:t xml:space="preserve"> </w:t>
            </w:r>
            <w:hyperlink r:id="rId19" w:history="1">
              <w:r w:rsidRPr="008766E6">
                <w:rPr>
                  <w:rStyle w:val="Hyperlink"/>
                  <w:i/>
                  <w:iCs/>
                  <w:sz w:val="22"/>
                  <w:szCs w:val="22"/>
                </w:rPr>
                <w:t>1334 (Modified 2023)</w:t>
              </w:r>
            </w:hyperlink>
            <w:r w:rsidRPr="00ED6278">
              <w:rPr>
                <w:i/>
                <w:iCs/>
                <w:sz w:val="22"/>
                <w:szCs w:val="22"/>
              </w:rPr>
              <w:t xml:space="preserve">; </w:t>
            </w:r>
            <w:proofErr w:type="spellStart"/>
            <w:r w:rsidRPr="00ED6278">
              <w:rPr>
                <w:i/>
                <w:iCs/>
                <w:sz w:val="22"/>
                <w:szCs w:val="22"/>
              </w:rPr>
              <w:t>WTDC</w:t>
            </w:r>
            <w:proofErr w:type="spellEnd"/>
            <w:r w:rsidRPr="00ED6278">
              <w:rPr>
                <w:i/>
                <w:iCs/>
                <w:sz w:val="22"/>
                <w:szCs w:val="22"/>
              </w:rPr>
              <w:t xml:space="preserve"> Resolution </w:t>
            </w:r>
            <w:hyperlink r:id="rId20" w:history="1">
              <w:r w:rsidRPr="00DF1857">
                <w:rPr>
                  <w:rStyle w:val="Hyperlink"/>
                  <w:i/>
                  <w:iCs/>
                  <w:sz w:val="22"/>
                  <w:szCs w:val="22"/>
                </w:rPr>
                <w:t>30 (Rev. Kigali, 2022)</w:t>
              </w:r>
            </w:hyperlink>
            <w:r w:rsidRPr="00ED6278">
              <w:rPr>
                <w:i/>
                <w:iCs/>
                <w:sz w:val="22"/>
                <w:szCs w:val="22"/>
              </w:rPr>
              <w:t xml:space="preserve">; </w:t>
            </w:r>
            <w:proofErr w:type="spellStart"/>
            <w:r w:rsidRPr="00ED6278">
              <w:rPr>
                <w:i/>
                <w:iCs/>
                <w:sz w:val="22"/>
                <w:szCs w:val="22"/>
              </w:rPr>
              <w:t>WTSA</w:t>
            </w:r>
            <w:proofErr w:type="spellEnd"/>
            <w:r w:rsidRPr="00ED6278">
              <w:rPr>
                <w:i/>
                <w:iCs/>
                <w:sz w:val="22"/>
                <w:szCs w:val="22"/>
              </w:rPr>
              <w:t xml:space="preserve"> Resolution </w:t>
            </w:r>
            <w:hyperlink r:id="rId21" w:history="1">
              <w:r w:rsidRPr="00DF1857">
                <w:rPr>
                  <w:rStyle w:val="Hyperlink"/>
                  <w:i/>
                  <w:iCs/>
                  <w:sz w:val="22"/>
                  <w:szCs w:val="22"/>
                </w:rPr>
                <w:t>75 (Rev. Geneva, 2022)</w:t>
              </w:r>
            </w:hyperlink>
            <w:r w:rsidRPr="00ED6278">
              <w:rPr>
                <w:i/>
                <w:iCs/>
                <w:sz w:val="22"/>
                <w:szCs w:val="22"/>
              </w:rPr>
              <w:t>;</w:t>
            </w:r>
            <w:r>
              <w:rPr>
                <w:i/>
                <w:iCs/>
                <w:sz w:val="22"/>
                <w:szCs w:val="22"/>
              </w:rPr>
              <w:t xml:space="preserve"> RA</w:t>
            </w:r>
            <w:r w:rsidRPr="00ED6278">
              <w:rPr>
                <w:i/>
                <w:iCs/>
                <w:sz w:val="22"/>
                <w:szCs w:val="22"/>
              </w:rPr>
              <w:t xml:space="preserve"> Resolution </w:t>
            </w:r>
            <w:hyperlink r:id="rId22" w:history="1">
              <w:r w:rsidRPr="00DF1857">
                <w:rPr>
                  <w:rStyle w:val="Hyperlink"/>
                  <w:i/>
                  <w:iCs/>
                  <w:sz w:val="22"/>
                  <w:szCs w:val="22"/>
                </w:rPr>
                <w:t>ITU-R 61-3 (Rev. Dubai, 2023)</w:t>
              </w:r>
            </w:hyperlink>
            <w:r w:rsidRPr="00ED6278">
              <w:rPr>
                <w:i/>
                <w:iCs/>
                <w:sz w:val="22"/>
                <w:szCs w:val="22"/>
              </w:rPr>
              <w:t xml:space="preserve">; Reports of the </w:t>
            </w:r>
            <w:proofErr w:type="spellStart"/>
            <w:r w:rsidRPr="00ED6278">
              <w:rPr>
                <w:i/>
                <w:iCs/>
                <w:sz w:val="22"/>
                <w:szCs w:val="22"/>
              </w:rPr>
              <w:t>CWG-WSIS&amp;SDG</w:t>
            </w:r>
            <w:proofErr w:type="spellEnd"/>
            <w:r w:rsidRPr="00ED6278">
              <w:rPr>
                <w:i/>
                <w:iCs/>
                <w:sz w:val="22"/>
                <w:szCs w:val="22"/>
              </w:rPr>
              <w:t xml:space="preserve"> meetings </w:t>
            </w:r>
            <w:hyperlink r:id="rId23" w:history="1">
              <w:r w:rsidRPr="00EF68FD">
                <w:rPr>
                  <w:rStyle w:val="Hyperlink"/>
                  <w:i/>
                  <w:iCs/>
                  <w:sz w:val="22"/>
                  <w:szCs w:val="22"/>
                </w:rPr>
                <w:t>33</w:t>
              </w:r>
              <w:r w:rsidRPr="00EF68FD">
                <w:rPr>
                  <w:rStyle w:val="Hyperlink"/>
                  <w:i/>
                  <w:iCs/>
                  <w:sz w:val="22"/>
                  <w:szCs w:val="22"/>
                  <w:vertAlign w:val="superscript"/>
                </w:rPr>
                <w:t>rd</w:t>
              </w:r>
              <w:r w:rsidRPr="00EF68FD">
                <w:rPr>
                  <w:rStyle w:val="Hyperlink"/>
                  <w:i/>
                  <w:iCs/>
                  <w:sz w:val="22"/>
                  <w:szCs w:val="22"/>
                </w:rPr>
                <w:t>, 34</w:t>
              </w:r>
              <w:r w:rsidRPr="00EF68FD">
                <w:rPr>
                  <w:rStyle w:val="Hyperlink"/>
                  <w:i/>
                  <w:iCs/>
                  <w:sz w:val="22"/>
                  <w:szCs w:val="22"/>
                  <w:vertAlign w:val="superscript"/>
                </w:rPr>
                <w:t>th</w:t>
              </w:r>
              <w:r w:rsidRPr="00EF68FD">
                <w:rPr>
                  <w:rStyle w:val="Hyperlink"/>
                  <w:i/>
                  <w:iCs/>
                  <w:sz w:val="22"/>
                  <w:szCs w:val="22"/>
                </w:rPr>
                <w:t>, 35</w:t>
              </w:r>
              <w:r w:rsidRPr="00EF68FD">
                <w:rPr>
                  <w:rStyle w:val="Hyperlink"/>
                  <w:i/>
                  <w:iCs/>
                  <w:sz w:val="22"/>
                  <w:szCs w:val="22"/>
                  <w:vertAlign w:val="superscript"/>
                </w:rPr>
                <w:t>th</w:t>
              </w:r>
              <w:r w:rsidRPr="00EF68FD">
                <w:rPr>
                  <w:rStyle w:val="Hyperlink"/>
                  <w:i/>
                  <w:iCs/>
                  <w:sz w:val="22"/>
                  <w:szCs w:val="22"/>
                </w:rPr>
                <w:t>, 36</w:t>
              </w:r>
              <w:r w:rsidRPr="00EF68FD">
                <w:rPr>
                  <w:rStyle w:val="Hyperlink"/>
                  <w:i/>
                  <w:iCs/>
                  <w:sz w:val="22"/>
                  <w:szCs w:val="22"/>
                  <w:vertAlign w:val="superscript"/>
                </w:rPr>
                <w:t>th</w:t>
              </w:r>
              <w:r w:rsidRPr="00EF68FD">
                <w:rPr>
                  <w:rStyle w:val="Hyperlink"/>
                  <w:i/>
                  <w:iCs/>
                  <w:sz w:val="22"/>
                  <w:szCs w:val="22"/>
                </w:rPr>
                <w:t>, 37</w:t>
              </w:r>
              <w:r w:rsidRPr="00EF68FD">
                <w:rPr>
                  <w:rStyle w:val="Hyperlink"/>
                  <w:i/>
                  <w:iCs/>
                  <w:sz w:val="22"/>
                  <w:szCs w:val="22"/>
                  <w:vertAlign w:val="superscript"/>
                </w:rPr>
                <w:t>th</w:t>
              </w:r>
              <w:r w:rsidRPr="00EF68FD">
                <w:rPr>
                  <w:rStyle w:val="Hyperlink"/>
                  <w:i/>
                  <w:iCs/>
                  <w:sz w:val="22"/>
                  <w:szCs w:val="22"/>
                </w:rPr>
                <w:t>, 38</w:t>
              </w:r>
              <w:r w:rsidRPr="00EF68FD">
                <w:rPr>
                  <w:rStyle w:val="Hyperlink"/>
                  <w:i/>
                  <w:iCs/>
                  <w:sz w:val="22"/>
                  <w:szCs w:val="22"/>
                  <w:vertAlign w:val="superscript"/>
                </w:rPr>
                <w:t>th</w:t>
              </w:r>
              <w:r w:rsidRPr="00EF68FD">
                <w:rPr>
                  <w:rStyle w:val="Hyperlink"/>
                  <w:i/>
                  <w:iCs/>
                  <w:sz w:val="22"/>
                  <w:szCs w:val="22"/>
                </w:rPr>
                <w:t>, 39</w:t>
              </w:r>
              <w:r w:rsidRPr="00EF68FD">
                <w:rPr>
                  <w:rStyle w:val="Hyperlink"/>
                  <w:i/>
                  <w:iCs/>
                  <w:sz w:val="22"/>
                  <w:szCs w:val="22"/>
                  <w:vertAlign w:val="superscript"/>
                </w:rPr>
                <w:t>th</w:t>
              </w:r>
              <w:r w:rsidRPr="00EF68FD">
                <w:rPr>
                  <w:rStyle w:val="Hyperlink"/>
                  <w:i/>
                  <w:iCs/>
                  <w:sz w:val="22"/>
                  <w:szCs w:val="22"/>
                </w:rPr>
                <w:t>, 40</w:t>
              </w:r>
              <w:r w:rsidRPr="00EF68FD">
                <w:rPr>
                  <w:rStyle w:val="Hyperlink"/>
                  <w:i/>
                  <w:iCs/>
                  <w:sz w:val="22"/>
                  <w:szCs w:val="22"/>
                  <w:vertAlign w:val="superscript"/>
                </w:rPr>
                <w:t>th</w:t>
              </w:r>
              <w:r w:rsidRPr="00EF68FD">
                <w:rPr>
                  <w:rStyle w:val="Hyperlink"/>
                  <w:i/>
                  <w:iCs/>
                  <w:sz w:val="22"/>
                  <w:szCs w:val="22"/>
                </w:rPr>
                <w:t>, 41</w:t>
              </w:r>
              <w:r w:rsidRPr="00EF68FD">
                <w:rPr>
                  <w:rStyle w:val="Hyperlink"/>
                  <w:i/>
                  <w:iCs/>
                  <w:sz w:val="22"/>
                  <w:szCs w:val="22"/>
                  <w:vertAlign w:val="superscript"/>
                </w:rPr>
                <w:t>st</w:t>
              </w:r>
              <w:r w:rsidRPr="00EF68FD">
                <w:rPr>
                  <w:rStyle w:val="Hyperlink"/>
                  <w:i/>
                  <w:iCs/>
                  <w:sz w:val="22"/>
                  <w:szCs w:val="22"/>
                </w:rPr>
                <w:t>, 42</w:t>
              </w:r>
              <w:r w:rsidRPr="00EF68FD">
                <w:rPr>
                  <w:rStyle w:val="Hyperlink"/>
                  <w:i/>
                  <w:iCs/>
                  <w:sz w:val="22"/>
                  <w:szCs w:val="22"/>
                  <w:vertAlign w:val="superscript"/>
                </w:rPr>
                <w:t>nd</w:t>
              </w:r>
            </w:hyperlink>
            <w:r w:rsidRPr="00ED6278">
              <w:rPr>
                <w:i/>
                <w:iCs/>
                <w:sz w:val="22"/>
                <w:szCs w:val="22"/>
              </w:rPr>
              <w:t xml:space="preserve">; </w:t>
            </w:r>
            <w:hyperlink r:id="rId24" w:history="1">
              <w:r w:rsidRPr="00EF68FD">
                <w:rPr>
                  <w:rStyle w:val="Hyperlink"/>
                  <w:i/>
                  <w:iCs/>
                  <w:sz w:val="22"/>
                  <w:szCs w:val="22"/>
                </w:rPr>
                <w:t xml:space="preserve">Final Report on the outcomes of the </w:t>
              </w:r>
              <w:proofErr w:type="spellStart"/>
              <w:r w:rsidRPr="00EF68FD">
                <w:rPr>
                  <w:rStyle w:val="Hyperlink"/>
                  <w:i/>
                  <w:iCs/>
                  <w:sz w:val="22"/>
                  <w:szCs w:val="22"/>
                </w:rPr>
                <w:t>CWG-WSIS&amp;SDG</w:t>
              </w:r>
              <w:proofErr w:type="spellEnd"/>
              <w:r w:rsidRPr="00EF68FD">
                <w:rPr>
                  <w:rStyle w:val="Hyperlink"/>
                  <w:i/>
                  <w:iCs/>
                  <w:sz w:val="22"/>
                  <w:szCs w:val="22"/>
                </w:rPr>
                <w:t xml:space="preserve"> 41</w:t>
              </w:r>
              <w:r w:rsidRPr="00EF68FD">
                <w:rPr>
                  <w:rStyle w:val="Hyperlink"/>
                  <w:i/>
                  <w:iCs/>
                  <w:sz w:val="22"/>
                  <w:szCs w:val="22"/>
                  <w:vertAlign w:val="superscript"/>
                </w:rPr>
                <w:t>st</w:t>
              </w:r>
              <w:r w:rsidRPr="00EF68FD">
                <w:rPr>
                  <w:rStyle w:val="Hyperlink"/>
                  <w:i/>
                  <w:iCs/>
                  <w:sz w:val="22"/>
                  <w:szCs w:val="22"/>
                </w:rPr>
                <w:t xml:space="preserve"> and 42</w:t>
              </w:r>
              <w:r w:rsidRPr="00EF68FD">
                <w:rPr>
                  <w:rStyle w:val="Hyperlink"/>
                  <w:i/>
                  <w:iCs/>
                  <w:sz w:val="22"/>
                  <w:szCs w:val="22"/>
                  <w:vertAlign w:val="superscript"/>
                </w:rPr>
                <w:t>nd</w:t>
              </w:r>
              <w:r w:rsidRPr="00EF68FD">
                <w:rPr>
                  <w:rStyle w:val="Hyperlink"/>
                  <w:i/>
                  <w:iCs/>
                  <w:sz w:val="22"/>
                  <w:szCs w:val="22"/>
                </w:rPr>
                <w:t xml:space="preserve"> meetings</w:t>
              </w:r>
            </w:hyperlink>
            <w:r w:rsidRPr="00ED6278">
              <w:rPr>
                <w:i/>
                <w:iCs/>
                <w:sz w:val="22"/>
                <w:szCs w:val="22"/>
              </w:rPr>
              <w:t xml:space="preserve">; </w:t>
            </w:r>
            <w:hyperlink r:id="rId25" w:history="1">
              <w:r w:rsidRPr="00C00198">
                <w:rPr>
                  <w:rStyle w:val="Hyperlink"/>
                  <w:i/>
                  <w:iCs/>
                  <w:sz w:val="22"/>
                  <w:szCs w:val="22"/>
                </w:rPr>
                <w:t>Roadmap for ITU’s activities to help achieve the 2030 Agenda for Sustainable Development</w:t>
              </w:r>
            </w:hyperlink>
            <w:r w:rsidRPr="00ED6278">
              <w:rPr>
                <w:i/>
                <w:iCs/>
                <w:sz w:val="22"/>
                <w:szCs w:val="22"/>
              </w:rPr>
              <w:t>.</w:t>
            </w:r>
          </w:p>
        </w:tc>
      </w:tr>
    </w:tbl>
    <w:p w14:paraId="3EBB9133"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CBE32B6"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14B20542" w14:textId="77777777" w:rsidR="00B6170C" w:rsidRDefault="00B6170C" w:rsidP="00FC1745">
      <w:pPr>
        <w:pStyle w:val="Heading1"/>
        <w:rPr>
          <w:rFonts w:eastAsia="MS Mincho"/>
        </w:rPr>
      </w:pPr>
      <w:r w:rsidRPr="00E958A9">
        <w:rPr>
          <w:rFonts w:eastAsia="MS Mincho"/>
        </w:rPr>
        <w:lastRenderedPageBreak/>
        <w:t>Implementation of the Resolution ITU-R 61-3 (Rev. Dubai, 2023)</w:t>
      </w:r>
      <w:r>
        <w:rPr>
          <w:rFonts w:eastAsia="MS Mincho"/>
        </w:rPr>
        <w:t xml:space="preserve"> </w:t>
      </w:r>
    </w:p>
    <w:p w14:paraId="0C80665C" w14:textId="7FA2AD4F" w:rsidR="00B6170C" w:rsidRPr="00195F0C" w:rsidRDefault="00B6170C" w:rsidP="00107827">
      <w:pPr>
        <w:jc w:val="both"/>
      </w:pPr>
      <w:r>
        <w:t>I</w:t>
      </w:r>
      <w:r w:rsidRPr="000402CC">
        <w:t>n response to</w:t>
      </w:r>
      <w:r w:rsidR="001E5E88">
        <w:t xml:space="preserve"> RA </w:t>
      </w:r>
      <w:r w:rsidR="001E5E88" w:rsidRPr="001E5E88">
        <w:t xml:space="preserve">Resolution </w:t>
      </w:r>
      <w:hyperlink r:id="rId26" w:history="1">
        <w:r w:rsidRPr="00767577">
          <w:rPr>
            <w:rStyle w:val="Hyperlink"/>
          </w:rPr>
          <w:t>ITU-R 61-3</w:t>
        </w:r>
      </w:hyperlink>
      <w:r w:rsidRPr="000402CC">
        <w:t xml:space="preserve"> </w:t>
      </w:r>
      <w:r w:rsidR="00C26474">
        <w:t xml:space="preserve">on </w:t>
      </w:r>
      <w:r w:rsidRPr="00C26474">
        <w:t>ITU-R’s contribution in implementing the outcomes of the World Summit on the Information Society and the 2030 Agenda for Sustainable Development</w:t>
      </w:r>
      <w:r w:rsidRPr="000402CC">
        <w:t xml:space="preserve">, </w:t>
      </w:r>
      <w:r w:rsidRPr="002155A4">
        <w:t xml:space="preserve">ITU-R Study </w:t>
      </w:r>
      <w:r w:rsidR="00FC1745">
        <w:t>Groups'</w:t>
      </w:r>
      <w:r w:rsidRPr="002155A4">
        <w:t xml:space="preserve"> activities </w:t>
      </w:r>
      <w:r>
        <w:t>continue</w:t>
      </w:r>
      <w:r w:rsidRPr="002155A4">
        <w:t xml:space="preserve"> </w:t>
      </w:r>
      <w:r>
        <w:t xml:space="preserve">to contribute </w:t>
      </w:r>
      <w:r w:rsidRPr="00F6029A">
        <w:t xml:space="preserve">within </w:t>
      </w:r>
      <w:r>
        <w:t>their</w:t>
      </w:r>
      <w:r w:rsidRPr="00F6029A">
        <w:t xml:space="preserve"> mandate</w:t>
      </w:r>
      <w:r>
        <w:t xml:space="preserve"> to</w:t>
      </w:r>
      <w:r w:rsidRPr="002155A4">
        <w:t xml:space="preserve"> relevant WSIS Action Lines and the 17 Sustainable Development Goals (SDGs)</w:t>
      </w:r>
      <w:r>
        <w:t xml:space="preserve">. This ongoing work </w:t>
      </w:r>
      <w:r w:rsidRPr="000260D5">
        <w:rPr>
          <w:rFonts w:eastAsia="MS Mincho"/>
        </w:rPr>
        <w:t>contribute</w:t>
      </w:r>
      <w:r>
        <w:rPr>
          <w:rFonts w:eastAsia="MS Mincho"/>
        </w:rPr>
        <w:t>s</w:t>
      </w:r>
      <w:r w:rsidRPr="000260D5">
        <w:rPr>
          <w:rFonts w:eastAsia="MS Mincho"/>
        </w:rPr>
        <w:t xml:space="preserve"> to the implementation of the roadmap for ITU’s activities</w:t>
      </w:r>
      <w:r w:rsidR="00FC1745">
        <w:rPr>
          <w:rFonts w:eastAsia="MS Mincho"/>
        </w:rPr>
        <w:t>, helping to</w:t>
      </w:r>
      <w:r w:rsidRPr="000260D5">
        <w:rPr>
          <w:rFonts w:eastAsia="MS Mincho"/>
        </w:rPr>
        <w:t xml:space="preserve"> achieve the 2030 Agenda for Sustainable Development</w:t>
      </w:r>
      <w:r>
        <w:rPr>
          <w:rFonts w:eastAsia="MS Mincho"/>
        </w:rPr>
        <w:t xml:space="preserve">. </w:t>
      </w:r>
    </w:p>
    <w:p w14:paraId="34E37F6F" w14:textId="25B17653" w:rsidR="00B6170C" w:rsidRPr="0092647B" w:rsidRDefault="00B6170C" w:rsidP="001E5E88">
      <w:pPr>
        <w:pStyle w:val="Headingb"/>
        <w:rPr>
          <w:rFonts w:eastAsia="MS Mincho"/>
        </w:rPr>
      </w:pPr>
      <w:r w:rsidRPr="0092647B">
        <w:rPr>
          <w:rFonts w:eastAsia="MS Mincho"/>
        </w:rPr>
        <w:t xml:space="preserve">Overview of ITU-R </w:t>
      </w:r>
      <w:r w:rsidR="00FC1745">
        <w:rPr>
          <w:rFonts w:eastAsia="MS Mincho"/>
        </w:rPr>
        <w:t>SDG-related</w:t>
      </w:r>
      <w:r w:rsidRPr="0092647B">
        <w:rPr>
          <w:rFonts w:eastAsia="MS Mincho"/>
        </w:rPr>
        <w:t xml:space="preserve"> activities</w:t>
      </w:r>
    </w:p>
    <w:p w14:paraId="169C9F04" w14:textId="2E31BA67" w:rsidR="00B6170C" w:rsidRPr="0092647B" w:rsidRDefault="00B6170C" w:rsidP="00C26474">
      <w:pPr>
        <w:pStyle w:val="Headingi"/>
        <w:rPr>
          <w:rFonts w:eastAsia="MS Mincho"/>
        </w:rPr>
      </w:pPr>
      <w:r w:rsidRPr="0092647B">
        <w:rPr>
          <w:rFonts w:eastAsia="MS Mincho"/>
        </w:rPr>
        <w:t>SDG 3 – Good health and well-being</w:t>
      </w:r>
    </w:p>
    <w:p w14:paraId="118D2031" w14:textId="2EAF3518" w:rsidR="00B6170C" w:rsidRPr="00FC1745" w:rsidRDefault="001E5E88" w:rsidP="001E5E88">
      <w:pPr>
        <w:pStyle w:val="enumlev1"/>
        <w:jc w:val="both"/>
        <w:rPr>
          <w:rFonts w:eastAsia="MS Mincho"/>
        </w:rPr>
      </w:pPr>
      <w:r>
        <w:rPr>
          <w:rFonts w:eastAsia="MS Mincho"/>
        </w:rPr>
        <w:t>–</w:t>
      </w:r>
      <w:r>
        <w:rPr>
          <w:rFonts w:eastAsia="MS Mincho"/>
        </w:rPr>
        <w:tab/>
      </w:r>
      <w:r w:rsidR="00B6170C" w:rsidRPr="00FC1745">
        <w:rPr>
          <w:rFonts w:eastAsia="MS Mincho"/>
        </w:rPr>
        <w:t>Studies within ITU-R</w:t>
      </w:r>
      <w:r w:rsidR="00B6170C" w:rsidRPr="00C26474">
        <w:rPr>
          <w:rFonts w:eastAsia="MS Mincho"/>
          <w:bCs/>
        </w:rPr>
        <w:t xml:space="preserve"> </w:t>
      </w:r>
      <w:r w:rsidR="00B6170C" w:rsidRPr="00FC1745">
        <w:rPr>
          <w:rFonts w:eastAsia="MS Mincho"/>
        </w:rPr>
        <w:t>assess human exposure to electromagnetic fields (EMF) and non-ionizing radiation. These studies inform regulatory developments to ensure public safety and guide the development of safer technological innovations that minimize and avoid health risks.</w:t>
      </w:r>
    </w:p>
    <w:p w14:paraId="6E18B311" w14:textId="52973124" w:rsidR="00B6170C" w:rsidRPr="00FC1745" w:rsidRDefault="001E5E88" w:rsidP="001E5E88">
      <w:pPr>
        <w:pStyle w:val="enumlev1"/>
        <w:jc w:val="both"/>
        <w:rPr>
          <w:rFonts w:eastAsia="MS Mincho"/>
        </w:rPr>
      </w:pPr>
      <w:r>
        <w:rPr>
          <w:rFonts w:eastAsia="MS Mincho"/>
        </w:rPr>
        <w:t>–</w:t>
      </w:r>
      <w:r>
        <w:rPr>
          <w:rFonts w:eastAsia="MS Mincho"/>
        </w:rPr>
        <w:tab/>
      </w:r>
      <w:r w:rsidR="00B6170C" w:rsidRPr="00FC1745">
        <w:rPr>
          <w:rFonts w:eastAsia="MS Mincho"/>
        </w:rPr>
        <w:t xml:space="preserve">Digital health services are facilitated through the development of International Mobile Telecommunications (IMT). To address evolving user needs, ITU-R is currently working on the future development of “IMT for 2030 and beyond”. These developments provide potential for enhanced remote medical services and patient monitoring. </w:t>
      </w:r>
    </w:p>
    <w:p w14:paraId="449A8704" w14:textId="49EBFEAA" w:rsidR="00B6170C" w:rsidRPr="00FC1745" w:rsidRDefault="001E5E88" w:rsidP="001E5E88">
      <w:pPr>
        <w:pStyle w:val="enumlev1"/>
        <w:jc w:val="both"/>
        <w:rPr>
          <w:rFonts w:eastAsia="MS Mincho"/>
        </w:rPr>
      </w:pPr>
      <w:r>
        <w:rPr>
          <w:rFonts w:eastAsia="MS Mincho"/>
        </w:rPr>
        <w:t>–</w:t>
      </w:r>
      <w:r>
        <w:rPr>
          <w:rFonts w:eastAsia="MS Mincho"/>
        </w:rPr>
        <w:tab/>
      </w:r>
      <w:r w:rsidR="00B6170C" w:rsidRPr="00FC1745">
        <w:rPr>
          <w:rFonts w:eastAsia="MS Mincho"/>
        </w:rPr>
        <w:t xml:space="preserve">ITU-R enables the development of standards for emergency communication systems to ensure reliable communication during health emergencies and disasters. Such communications are essential for timely medical responses and coordination. In this regard, an updated version of Recommendation </w:t>
      </w:r>
      <w:hyperlink r:id="rId27" w:history="1">
        <w:r w:rsidR="00B6170C" w:rsidRPr="00FC1745">
          <w:rPr>
            <w:rStyle w:val="Hyperlink"/>
            <w:rFonts w:eastAsia="MS Mincho"/>
          </w:rPr>
          <w:t xml:space="preserve">ITU-R </w:t>
        </w:r>
        <w:proofErr w:type="spellStart"/>
        <w:r w:rsidR="00B6170C" w:rsidRPr="00FC1745">
          <w:rPr>
            <w:rStyle w:val="Hyperlink"/>
            <w:rFonts w:eastAsia="MS Mincho"/>
          </w:rPr>
          <w:t>BT.1774</w:t>
        </w:r>
        <w:proofErr w:type="spellEnd"/>
        <w:r w:rsidR="00B6170C" w:rsidRPr="00FC1745">
          <w:rPr>
            <w:rStyle w:val="Hyperlink"/>
            <w:rFonts w:eastAsia="MS Mincho"/>
          </w:rPr>
          <w:t>-3</w:t>
        </w:r>
      </w:hyperlink>
      <w:r w:rsidR="00B6170C" w:rsidRPr="00FC1745">
        <w:rPr>
          <w:rFonts w:eastAsia="MS Mincho"/>
        </w:rPr>
        <w:t xml:space="preserve"> on the use of satellite and terrestrial broadcast infrastructures for public warning, disaster mitigation and relief was approved in April 2025. </w:t>
      </w:r>
    </w:p>
    <w:p w14:paraId="773A7765" w14:textId="77777777" w:rsidR="00B6170C" w:rsidRPr="0092647B" w:rsidRDefault="00B6170C" w:rsidP="00C26474">
      <w:pPr>
        <w:pStyle w:val="Headingi"/>
        <w:rPr>
          <w:rFonts w:eastAsia="MS Mincho"/>
        </w:rPr>
      </w:pPr>
      <w:r w:rsidRPr="0092647B">
        <w:rPr>
          <w:rFonts w:eastAsia="MS Mincho"/>
        </w:rPr>
        <w:t>SDG 4 – Quality education</w:t>
      </w:r>
    </w:p>
    <w:p w14:paraId="190360D2" w14:textId="683711F9" w:rsidR="00B6170C" w:rsidRPr="00FC1745" w:rsidRDefault="001E5E88" w:rsidP="001E5E88">
      <w:pPr>
        <w:pStyle w:val="enumlev1"/>
        <w:jc w:val="both"/>
        <w:rPr>
          <w:rFonts w:eastAsia="MS Mincho"/>
        </w:rPr>
      </w:pPr>
      <w:r>
        <w:rPr>
          <w:rFonts w:eastAsia="MS Mincho"/>
        </w:rPr>
        <w:t>–</w:t>
      </w:r>
      <w:r>
        <w:rPr>
          <w:rFonts w:eastAsia="MS Mincho"/>
        </w:rPr>
        <w:tab/>
      </w:r>
      <w:r w:rsidR="00B6170C" w:rsidRPr="00FC1745">
        <w:rPr>
          <w:rFonts w:eastAsia="MS Mincho"/>
        </w:rPr>
        <w:t>ITU-R recommendations on broadcasting-satellite service for educational purposes ensure that distance learning and the distribution of educational content can be accessed by even the most remote communities. This provides enhanced connectivity to ensure that educational institutions, especially those in underserved areas, have access to reliable internet and communication technologies.</w:t>
      </w:r>
    </w:p>
    <w:p w14:paraId="31A606F8" w14:textId="3B140738" w:rsidR="00B6170C" w:rsidRPr="00FC1745" w:rsidRDefault="001E5E88" w:rsidP="001E5E88">
      <w:pPr>
        <w:pStyle w:val="enumlev1"/>
        <w:jc w:val="both"/>
        <w:rPr>
          <w:rFonts w:eastAsia="MS Mincho"/>
        </w:rPr>
      </w:pPr>
      <w:r>
        <w:rPr>
          <w:rFonts w:eastAsia="MS Mincho"/>
        </w:rPr>
        <w:t>–</w:t>
      </w:r>
      <w:r>
        <w:rPr>
          <w:rFonts w:eastAsia="MS Mincho"/>
        </w:rPr>
        <w:tab/>
      </w:r>
      <w:r w:rsidR="00B6170C" w:rsidRPr="00FC1745">
        <w:rPr>
          <w:rFonts w:eastAsia="MS Mincho"/>
        </w:rPr>
        <w:t>The BR regularly organizes workshops and regional seminars to disseminate knowledge on radiocommunication services. In May 2025, the ITU Regional Radiocommunication Seminar for Africa took place in Djibouti. In June 2025, the ITU Regional Radiocommunication Seminar for the Americas took place in Honduras.</w:t>
      </w:r>
    </w:p>
    <w:p w14:paraId="49663827" w14:textId="77777777" w:rsidR="00B6170C" w:rsidRPr="0092647B" w:rsidRDefault="00B6170C" w:rsidP="00C26474">
      <w:pPr>
        <w:pStyle w:val="Headingi"/>
        <w:rPr>
          <w:rFonts w:eastAsia="MS Mincho"/>
        </w:rPr>
      </w:pPr>
      <w:r w:rsidRPr="0092647B">
        <w:rPr>
          <w:rFonts w:eastAsia="MS Mincho"/>
        </w:rPr>
        <w:t>SDG 5 – Gender equality</w:t>
      </w:r>
    </w:p>
    <w:p w14:paraId="718504C2" w14:textId="3A361EEB" w:rsidR="00B6170C" w:rsidRPr="00FC1745" w:rsidRDefault="001E5E88" w:rsidP="001E5E88">
      <w:pPr>
        <w:pStyle w:val="enumlev1"/>
        <w:jc w:val="both"/>
        <w:rPr>
          <w:rFonts w:eastAsia="MS Mincho"/>
        </w:rPr>
      </w:pPr>
      <w:r>
        <w:rPr>
          <w:rFonts w:eastAsia="MS Mincho"/>
        </w:rPr>
        <w:t>–</w:t>
      </w:r>
      <w:r>
        <w:rPr>
          <w:rFonts w:eastAsia="MS Mincho"/>
        </w:rPr>
        <w:tab/>
      </w:r>
      <w:r w:rsidR="00B6170C" w:rsidRPr="00FC1745">
        <w:rPr>
          <w:rFonts w:eastAsia="MS Mincho"/>
        </w:rPr>
        <w:t xml:space="preserve">The launch of the Network of Women for WRC-27 directly supports UN Sustainable Development Goal 5 (Gender Equality). It calls for governments and companies to support continued progress towards gender equity, equality, and parity and provides a platform for networking, mentoring, and knowledge sharing. The forum empowers women in the radiocommunication sector, promoting their leadership and participation in decision-making processes. These initiatives collectively contribute to achieving gender equality by empowering women, enhancing their skills, and promoting their active participation in the radiocommunication sector. </w:t>
      </w:r>
    </w:p>
    <w:p w14:paraId="17148974" w14:textId="77777777" w:rsidR="00B6170C" w:rsidRPr="0092647B" w:rsidRDefault="00B6170C" w:rsidP="00C26474">
      <w:pPr>
        <w:pStyle w:val="Headingi"/>
        <w:rPr>
          <w:rFonts w:eastAsia="MS Mincho"/>
        </w:rPr>
      </w:pPr>
      <w:r w:rsidRPr="0092647B">
        <w:rPr>
          <w:rFonts w:eastAsia="MS Mincho"/>
        </w:rPr>
        <w:lastRenderedPageBreak/>
        <w:t>SDG 7 – Affordable and clean energy</w:t>
      </w:r>
    </w:p>
    <w:p w14:paraId="09E9EE1A" w14:textId="2774821F" w:rsidR="00B6170C" w:rsidRPr="00FC1745" w:rsidRDefault="00C26474" w:rsidP="00C26474">
      <w:pPr>
        <w:pStyle w:val="enumlev1"/>
        <w:jc w:val="both"/>
        <w:rPr>
          <w:rFonts w:eastAsia="MS Mincho"/>
        </w:rPr>
      </w:pPr>
      <w:r>
        <w:rPr>
          <w:rFonts w:eastAsia="MS Mincho"/>
        </w:rPr>
        <w:t>–</w:t>
      </w:r>
      <w:r>
        <w:rPr>
          <w:rFonts w:eastAsia="MS Mincho"/>
        </w:rPr>
        <w:tab/>
      </w:r>
      <w:r w:rsidR="00B6170C" w:rsidRPr="00FC1745">
        <w:rPr>
          <w:rFonts w:eastAsia="MS Mincho"/>
        </w:rPr>
        <w:t>ITU-R publications describe radiocommunication systems and standards which are used by utility companies to implement smart grid technologies to improve the management and efficiency of the services they provide. Systems to remotely monitor and control energy distribution networks rely on radiocommunications to enhance efficiency and reliability. This enables cities to monitor and manage their energy resources more sustainably, reliably and affordably.</w:t>
      </w:r>
    </w:p>
    <w:p w14:paraId="6E600F71" w14:textId="00420B1A" w:rsidR="00B6170C" w:rsidRPr="00FC1745" w:rsidRDefault="00C26474" w:rsidP="00C26474">
      <w:pPr>
        <w:pStyle w:val="enumlev1"/>
        <w:jc w:val="both"/>
        <w:rPr>
          <w:rFonts w:eastAsia="MS Mincho"/>
        </w:rPr>
      </w:pPr>
      <w:r>
        <w:rPr>
          <w:rFonts w:eastAsia="MS Mincho"/>
        </w:rPr>
        <w:t>–</w:t>
      </w:r>
      <w:r>
        <w:rPr>
          <w:rFonts w:eastAsia="MS Mincho"/>
        </w:rPr>
        <w:tab/>
      </w:r>
      <w:r w:rsidR="00B6170C" w:rsidRPr="00FC1745">
        <w:rPr>
          <w:rFonts w:eastAsia="MS Mincho"/>
        </w:rPr>
        <w:t>ITU-R promotes the development of energy-efficient communication networks, reducing the overall energy consumption of ICT systems and infrastructures.</w:t>
      </w:r>
    </w:p>
    <w:p w14:paraId="763D647F" w14:textId="77777777" w:rsidR="00B6170C" w:rsidRPr="0092647B" w:rsidRDefault="00B6170C" w:rsidP="00C26474">
      <w:pPr>
        <w:pStyle w:val="Headingi"/>
        <w:rPr>
          <w:rFonts w:eastAsia="MS Mincho"/>
        </w:rPr>
      </w:pPr>
      <w:r w:rsidRPr="0092647B">
        <w:rPr>
          <w:rFonts w:eastAsia="MS Mincho"/>
        </w:rPr>
        <w:t>SDG 9 – Industry, innovation and infrastructure</w:t>
      </w:r>
    </w:p>
    <w:p w14:paraId="2C45657B" w14:textId="1A958EF7" w:rsidR="00B6170C" w:rsidRPr="003151D4" w:rsidRDefault="00C26474" w:rsidP="00C26474">
      <w:pPr>
        <w:pStyle w:val="enumlev1"/>
        <w:jc w:val="both"/>
        <w:rPr>
          <w:rFonts w:eastAsia="MS Mincho"/>
          <w:spacing w:val="-2"/>
        </w:rPr>
      </w:pPr>
      <w:r w:rsidRPr="003151D4">
        <w:rPr>
          <w:rFonts w:eastAsia="MS Mincho"/>
          <w:spacing w:val="-2"/>
        </w:rPr>
        <w:t>–</w:t>
      </w:r>
      <w:r w:rsidRPr="003151D4">
        <w:rPr>
          <w:rFonts w:eastAsia="MS Mincho"/>
          <w:spacing w:val="-2"/>
        </w:rPr>
        <w:tab/>
      </w:r>
      <w:r w:rsidR="00B6170C" w:rsidRPr="003151D4">
        <w:rPr>
          <w:rFonts w:eastAsia="MS Mincho"/>
          <w:spacing w:val="-2"/>
        </w:rPr>
        <w:t>ITU-R publications enhance global connectivity and promote the development of innovative digital infrastructures</w:t>
      </w:r>
      <w:r w:rsidR="003151D4" w:rsidRPr="003151D4">
        <w:rPr>
          <w:rFonts w:eastAsia="MS Mincho"/>
          <w:spacing w:val="-2"/>
        </w:rPr>
        <w:t>,</w:t>
      </w:r>
      <w:r w:rsidR="00B6170C" w:rsidRPr="003151D4">
        <w:rPr>
          <w:rFonts w:eastAsia="MS Mincho"/>
          <w:spacing w:val="-2"/>
        </w:rPr>
        <w:t xml:space="preserve"> which are utilized across all industries.</w:t>
      </w:r>
    </w:p>
    <w:p w14:paraId="7D52F792" w14:textId="19308B55" w:rsidR="00B6170C" w:rsidRPr="003151D4" w:rsidRDefault="00C26474" w:rsidP="00C26474">
      <w:pPr>
        <w:pStyle w:val="enumlev1"/>
        <w:jc w:val="both"/>
        <w:rPr>
          <w:rFonts w:eastAsia="MS Mincho"/>
          <w:spacing w:val="-2"/>
        </w:rPr>
      </w:pPr>
      <w:r w:rsidRPr="003151D4">
        <w:rPr>
          <w:rFonts w:eastAsia="MS Mincho"/>
          <w:spacing w:val="-2"/>
        </w:rPr>
        <w:t>–</w:t>
      </w:r>
      <w:r w:rsidRPr="003151D4">
        <w:rPr>
          <w:rFonts w:eastAsia="MS Mincho"/>
          <w:spacing w:val="-2"/>
        </w:rPr>
        <w:tab/>
      </w:r>
      <w:r w:rsidR="00B6170C" w:rsidRPr="003151D4">
        <w:rPr>
          <w:rFonts w:eastAsia="MS Mincho"/>
          <w:spacing w:val="-2"/>
        </w:rPr>
        <w:t>ITU-R develops and harmonizes international standards for ICT, ensuring interoperability and fostering innovation. It has issued recommendations regarding mobile, fixed and satellite communications that are essential for infrastructure development and connectivity.</w:t>
      </w:r>
    </w:p>
    <w:p w14:paraId="72F09EB6" w14:textId="7BA253E8" w:rsidR="00B6170C" w:rsidRPr="00FC1745" w:rsidRDefault="00C26474" w:rsidP="00C26474">
      <w:pPr>
        <w:pStyle w:val="enumlev1"/>
        <w:jc w:val="both"/>
        <w:rPr>
          <w:rFonts w:eastAsia="MS Mincho"/>
        </w:rPr>
      </w:pPr>
      <w:r w:rsidRPr="003151D4">
        <w:rPr>
          <w:rFonts w:eastAsia="MS Mincho"/>
          <w:spacing w:val="-2"/>
        </w:rPr>
        <w:t>–</w:t>
      </w:r>
      <w:r w:rsidRPr="003151D4">
        <w:rPr>
          <w:rFonts w:eastAsia="MS Mincho"/>
          <w:spacing w:val="-2"/>
        </w:rPr>
        <w:tab/>
      </w:r>
      <w:r w:rsidR="00B6170C" w:rsidRPr="003151D4">
        <w:rPr>
          <w:rFonts w:eastAsia="MS Mincho"/>
          <w:spacing w:val="-2"/>
        </w:rPr>
        <w:t xml:space="preserve">ITU-R undertakes studies on intelligent transport systems to enable safer and more efficient modes of transport. With an increase in demand for maritime communication systems which provide safety of life functions and are critical to the development of the maritime and wider transport industry, Question </w:t>
      </w:r>
      <w:hyperlink r:id="rId28" w:history="1">
        <w:r w:rsidR="00B6170C" w:rsidRPr="003151D4">
          <w:rPr>
            <w:rStyle w:val="Hyperlink"/>
            <w:rFonts w:eastAsia="MS Mincho"/>
            <w:spacing w:val="-2"/>
          </w:rPr>
          <w:t>ITU-R 266/5</w:t>
        </w:r>
      </w:hyperlink>
      <w:r w:rsidR="00B6170C" w:rsidRPr="003151D4">
        <w:rPr>
          <w:rFonts w:eastAsia="MS Mincho"/>
          <w:spacing w:val="-2"/>
        </w:rPr>
        <w:t xml:space="preserve"> was approved in February 2025 to initiate studies on the introduction of digital voice communications in the VHF maritime frequency channels.</w:t>
      </w:r>
    </w:p>
    <w:p w14:paraId="1405A3EE" w14:textId="77777777" w:rsidR="00B6170C" w:rsidRPr="0092647B" w:rsidRDefault="00B6170C" w:rsidP="00C26474">
      <w:pPr>
        <w:pStyle w:val="Headingi"/>
        <w:rPr>
          <w:rFonts w:eastAsia="MS Mincho"/>
        </w:rPr>
      </w:pPr>
      <w:r w:rsidRPr="0092647B">
        <w:rPr>
          <w:rFonts w:eastAsia="MS Mincho"/>
        </w:rPr>
        <w:t>SDG 13 – Climate action</w:t>
      </w:r>
    </w:p>
    <w:p w14:paraId="376EA605" w14:textId="6643C282" w:rsidR="00B6170C" w:rsidRPr="003151D4" w:rsidRDefault="00C40C4C" w:rsidP="00C26474">
      <w:pPr>
        <w:pStyle w:val="enumlev1"/>
        <w:jc w:val="both"/>
        <w:rPr>
          <w:rFonts w:eastAsia="MS Mincho"/>
          <w:spacing w:val="-2"/>
        </w:rPr>
      </w:pPr>
      <w:r w:rsidRPr="003151D4">
        <w:rPr>
          <w:rFonts w:eastAsia="MS Mincho"/>
          <w:spacing w:val="-2"/>
        </w:rPr>
        <w:t>–</w:t>
      </w:r>
      <w:r w:rsidRPr="003151D4">
        <w:rPr>
          <w:rFonts w:eastAsia="MS Mincho"/>
          <w:spacing w:val="-2"/>
        </w:rPr>
        <w:tab/>
      </w:r>
      <w:r w:rsidR="00B6170C" w:rsidRPr="003151D4">
        <w:rPr>
          <w:rFonts w:eastAsia="MS Mincho"/>
          <w:spacing w:val="-2"/>
        </w:rPr>
        <w:t xml:space="preserve">ITU-R publications support the use of radiocommunication systems for meteorological and climate monitoring. Such monitoring is essential for analysing climate challenges and mitigating against its impacts. Report </w:t>
      </w:r>
      <w:hyperlink r:id="rId29" w:history="1">
        <w:r w:rsidR="00B6170C" w:rsidRPr="003151D4">
          <w:rPr>
            <w:rStyle w:val="Hyperlink"/>
            <w:rFonts w:eastAsia="MS Mincho"/>
            <w:spacing w:val="-2"/>
          </w:rPr>
          <w:t xml:space="preserve">ITU-R </w:t>
        </w:r>
        <w:proofErr w:type="spellStart"/>
        <w:r w:rsidR="00B6170C" w:rsidRPr="003151D4">
          <w:rPr>
            <w:rStyle w:val="Hyperlink"/>
            <w:rFonts w:eastAsia="MS Mincho"/>
            <w:spacing w:val="-2"/>
          </w:rPr>
          <w:t>RS.2489</w:t>
        </w:r>
        <w:proofErr w:type="spellEnd"/>
        <w:r w:rsidR="00B6170C" w:rsidRPr="003151D4">
          <w:rPr>
            <w:rStyle w:val="Hyperlink"/>
            <w:rFonts w:eastAsia="MS Mincho"/>
            <w:spacing w:val="-2"/>
          </w:rPr>
          <w:t>-1</w:t>
        </w:r>
      </w:hyperlink>
      <w:r w:rsidR="00B6170C" w:rsidRPr="003151D4">
        <w:rPr>
          <w:rFonts w:eastAsia="MS Mincho"/>
          <w:spacing w:val="-2"/>
        </w:rPr>
        <w:t xml:space="preserve"> on technical and operational characteristics of ground-based radiometers used for observations of the atmosphere was approved in March 2025. The use of ground-based radiometers supports meteorological and climatology applications and research by providing atmospheric measurements. They are also used for local atmosphere observations, for weather situational awareness, emergency management and/or in the framework of worldwide observational networks.</w:t>
      </w:r>
    </w:p>
    <w:p w14:paraId="2AE3EF60" w14:textId="5415971C" w:rsidR="00B6170C" w:rsidRPr="003151D4" w:rsidRDefault="00C40C4C" w:rsidP="00C26474">
      <w:pPr>
        <w:pStyle w:val="enumlev1"/>
        <w:jc w:val="both"/>
        <w:rPr>
          <w:rFonts w:eastAsia="MS Mincho"/>
          <w:spacing w:val="-2"/>
        </w:rPr>
      </w:pPr>
      <w:r w:rsidRPr="003151D4">
        <w:rPr>
          <w:rFonts w:eastAsia="MS Mincho"/>
          <w:spacing w:val="-2"/>
        </w:rPr>
        <w:t>–</w:t>
      </w:r>
      <w:r w:rsidRPr="003151D4">
        <w:rPr>
          <w:rFonts w:eastAsia="MS Mincho"/>
          <w:spacing w:val="-2"/>
        </w:rPr>
        <w:tab/>
      </w:r>
      <w:r w:rsidR="00B6170C" w:rsidRPr="003151D4">
        <w:rPr>
          <w:rFonts w:eastAsia="MS Mincho"/>
          <w:spacing w:val="-2"/>
        </w:rPr>
        <w:t>ITU-R encourages the development of radiocommunication standards for energy-efficient technologies, reducing the carbon footprint of communications.</w:t>
      </w:r>
    </w:p>
    <w:p w14:paraId="41791285" w14:textId="77777777" w:rsidR="00B6170C" w:rsidRDefault="00B6170C" w:rsidP="00722B7F">
      <w:pPr>
        <w:pStyle w:val="Heading1"/>
        <w:rPr>
          <w:rFonts w:eastAsia="MS Mincho"/>
        </w:rPr>
      </w:pPr>
      <w:r w:rsidRPr="00E958A9">
        <w:rPr>
          <w:rFonts w:eastAsia="MS Mincho"/>
        </w:rPr>
        <w:t xml:space="preserve">Implementation of the </w:t>
      </w:r>
      <w:proofErr w:type="spellStart"/>
      <w:r w:rsidRPr="003749C5">
        <w:rPr>
          <w:rFonts w:eastAsia="MS Mincho"/>
        </w:rPr>
        <w:t>WTSA</w:t>
      </w:r>
      <w:proofErr w:type="spellEnd"/>
      <w:r w:rsidRPr="003749C5">
        <w:rPr>
          <w:rFonts w:eastAsia="MS Mincho"/>
        </w:rPr>
        <w:t xml:space="preserve"> Resolution 75 (Rev. Geneva, 2022)</w:t>
      </w:r>
    </w:p>
    <w:p w14:paraId="5CC846C4" w14:textId="77777777" w:rsidR="00B6170C" w:rsidRPr="00E14E8A" w:rsidRDefault="00B6170C" w:rsidP="00722B7F">
      <w:pPr>
        <w:pStyle w:val="Headingi"/>
        <w:rPr>
          <w:rFonts w:eastAsia="MS Mincho"/>
        </w:rPr>
      </w:pPr>
      <w:r w:rsidRPr="00E14E8A">
        <w:rPr>
          <w:rFonts w:eastAsia="MS Mincho"/>
        </w:rPr>
        <w:t>Implementation of WSIS outcome</w:t>
      </w:r>
    </w:p>
    <w:p w14:paraId="0A4FADDD" w14:textId="11D8498B" w:rsidR="00B6170C" w:rsidRPr="00AE6BA0" w:rsidRDefault="00B6170C" w:rsidP="00107827">
      <w:pPr>
        <w:jc w:val="both"/>
      </w:pPr>
      <w:r>
        <w:t>ITU-T Study Groups continue their developments and activities in line with the relevant WSIS Action Lines and SDGs and are following the roadmap for ITU’s activities to help achieve the 2030 Agenda for Sustainable Development.</w:t>
      </w:r>
    </w:p>
    <w:p w14:paraId="2DCDB6E7" w14:textId="77777777" w:rsidR="00B6170C" w:rsidRPr="00AE6BA0" w:rsidRDefault="00B6170C" w:rsidP="00107827">
      <w:pPr>
        <w:jc w:val="both"/>
      </w:pPr>
      <w:r w:rsidRPr="00AE6BA0">
        <w:t xml:space="preserve">WSIS Action Lines </w:t>
      </w:r>
      <w:proofErr w:type="spellStart"/>
      <w:r w:rsidRPr="00AE6BA0">
        <w:t>C2</w:t>
      </w:r>
      <w:proofErr w:type="spellEnd"/>
      <w:r w:rsidRPr="00AE6BA0">
        <w:t xml:space="preserve"> (</w:t>
      </w:r>
      <w:proofErr w:type="spellStart"/>
      <w:r w:rsidRPr="00AE6BA0">
        <w:t>I&amp;C</w:t>
      </w:r>
      <w:proofErr w:type="spellEnd"/>
      <w:r w:rsidRPr="00AE6BA0">
        <w:t xml:space="preserve"> infrastructure), </w:t>
      </w:r>
      <w:proofErr w:type="spellStart"/>
      <w:r w:rsidRPr="00AE6BA0">
        <w:t>C5</w:t>
      </w:r>
      <w:proofErr w:type="spellEnd"/>
      <w:r w:rsidRPr="00AE6BA0">
        <w:t xml:space="preserve"> (ICT confidence and security), and </w:t>
      </w:r>
      <w:proofErr w:type="spellStart"/>
      <w:r w:rsidRPr="00AE6BA0">
        <w:t>C6</w:t>
      </w:r>
      <w:proofErr w:type="spellEnd"/>
      <w:r w:rsidRPr="00AE6BA0">
        <w:t xml:space="preserve"> (e-environment) are the main WSIS Actions Lines for ITU-T study groups, addressing subjects such as ICTs, security and cybersecurity for building confidence and security in the use of ICTs, </w:t>
      </w:r>
      <w:r w:rsidRPr="00AE6BA0">
        <w:lastRenderedPageBreak/>
        <w:t xml:space="preserve">conformance and interoperability, accessibility, ICT infrastructure, and enabling environment, while some study group activities and results exist also for other WSIS Action Lines, among them </w:t>
      </w:r>
      <w:proofErr w:type="spellStart"/>
      <w:r w:rsidRPr="00AE6BA0">
        <w:t>C4</w:t>
      </w:r>
      <w:proofErr w:type="spellEnd"/>
      <w:r w:rsidRPr="00AE6BA0">
        <w:t xml:space="preserve"> (e-learning and capacity building), </w:t>
      </w:r>
      <w:proofErr w:type="spellStart"/>
      <w:r w:rsidRPr="00AE6BA0">
        <w:t>C7</w:t>
      </w:r>
      <w:proofErr w:type="spellEnd"/>
      <w:r w:rsidRPr="00AE6BA0">
        <w:t xml:space="preserve"> (e-health, environmental aspects, ICT applications) and </w:t>
      </w:r>
      <w:proofErr w:type="spellStart"/>
      <w:r w:rsidRPr="00AE6BA0">
        <w:t>C9</w:t>
      </w:r>
      <w:proofErr w:type="spellEnd"/>
      <w:r w:rsidRPr="00AE6BA0">
        <w:t xml:space="preserve"> (media). </w:t>
      </w:r>
    </w:p>
    <w:p w14:paraId="47EE7790" w14:textId="6561718A" w:rsidR="00B6170C" w:rsidRPr="00AE6BA0" w:rsidRDefault="00B6170C" w:rsidP="0028659F">
      <w:pPr>
        <w:jc w:val="both"/>
      </w:pPr>
      <w:r w:rsidRPr="00AE6BA0">
        <w:t xml:space="preserve">ITU-T approved </w:t>
      </w:r>
      <w:r w:rsidRPr="00AE6BA0">
        <w:rPr>
          <w:lang w:eastAsia="ja-JP"/>
        </w:rPr>
        <w:t>a number of</w:t>
      </w:r>
      <w:r w:rsidRPr="00AE6BA0">
        <w:t xml:space="preserve"> documents, including new and revised ITU-T Recommendations and related texts.</w:t>
      </w:r>
      <w:r w:rsidRPr="00AE6BA0">
        <w:rPr>
          <w:color w:val="31849B" w:themeColor="accent5" w:themeShade="BF"/>
        </w:rPr>
        <w:t xml:space="preserve"> </w:t>
      </w:r>
      <w:r w:rsidRPr="00AE6BA0">
        <w:t xml:space="preserve">Detailed results </w:t>
      </w:r>
      <w:r w:rsidRPr="00AE6BA0">
        <w:rPr>
          <w:lang w:eastAsia="ja-JP"/>
        </w:rPr>
        <w:t>will be</w:t>
      </w:r>
      <w:r w:rsidRPr="00AE6BA0">
        <w:t xml:space="preserve"> contained in the annual reports of the “ITU </w:t>
      </w:r>
      <w:r w:rsidR="00C40C4C" w:rsidRPr="00AE6BA0">
        <w:t xml:space="preserve">contribution to the implementation </w:t>
      </w:r>
      <w:r w:rsidRPr="00AE6BA0">
        <w:t xml:space="preserve">of WSIS Outcomes, taking into account the 2030 Agenda for Sustainable Development” at: </w:t>
      </w:r>
      <w:hyperlink r:id="rId30" w:history="1">
        <w:r w:rsidRPr="00AE6BA0">
          <w:rPr>
            <w:rStyle w:val="Hyperlink"/>
            <w:rFonts w:asciiTheme="minorHAnsi" w:hAnsiTheme="minorHAnsi" w:cstheme="minorHAnsi"/>
            <w:spacing w:val="-2"/>
            <w:szCs w:val="24"/>
          </w:rPr>
          <w:t>https://</w:t>
        </w:r>
        <w:proofErr w:type="spellStart"/>
        <w:r w:rsidRPr="00AE6BA0">
          <w:rPr>
            <w:rStyle w:val="Hyperlink"/>
            <w:rFonts w:asciiTheme="minorHAnsi" w:hAnsiTheme="minorHAnsi" w:cstheme="minorHAnsi"/>
            <w:spacing w:val="-2"/>
            <w:szCs w:val="24"/>
          </w:rPr>
          <w:t>www.itu.int</w:t>
        </w:r>
        <w:proofErr w:type="spellEnd"/>
        <w:r w:rsidRPr="00AE6BA0">
          <w:rPr>
            <w:rStyle w:val="Hyperlink"/>
            <w:rFonts w:asciiTheme="minorHAnsi" w:hAnsiTheme="minorHAnsi" w:cstheme="minorHAnsi"/>
            <w:spacing w:val="-2"/>
            <w:szCs w:val="24"/>
          </w:rPr>
          <w:t>/en/</w:t>
        </w:r>
        <w:proofErr w:type="spellStart"/>
        <w:r w:rsidRPr="00AE6BA0">
          <w:rPr>
            <w:rStyle w:val="Hyperlink"/>
            <w:rFonts w:asciiTheme="minorHAnsi" w:hAnsiTheme="minorHAnsi" w:cstheme="minorHAnsi"/>
            <w:spacing w:val="-2"/>
            <w:szCs w:val="24"/>
          </w:rPr>
          <w:t>itu-wsis</w:t>
        </w:r>
        <w:proofErr w:type="spellEnd"/>
        <w:r w:rsidRPr="00AE6BA0">
          <w:rPr>
            <w:rStyle w:val="Hyperlink"/>
            <w:rFonts w:asciiTheme="minorHAnsi" w:hAnsiTheme="minorHAnsi" w:cstheme="minorHAnsi"/>
            <w:spacing w:val="-2"/>
            <w:szCs w:val="24"/>
          </w:rPr>
          <w:t>/Pages/</w:t>
        </w:r>
        <w:proofErr w:type="spellStart"/>
        <w:r w:rsidRPr="00AE6BA0">
          <w:rPr>
            <w:rStyle w:val="Hyperlink"/>
            <w:rFonts w:asciiTheme="minorHAnsi" w:hAnsiTheme="minorHAnsi" w:cstheme="minorHAnsi"/>
            <w:spacing w:val="-2"/>
            <w:szCs w:val="24"/>
          </w:rPr>
          <w:t>Contribution.aspx</w:t>
        </w:r>
        <w:proofErr w:type="spellEnd"/>
      </w:hyperlink>
      <w:r w:rsidRPr="00AE6BA0">
        <w:rPr>
          <w:rStyle w:val="Hyperlink"/>
          <w:rFonts w:asciiTheme="minorHAnsi" w:hAnsiTheme="minorHAnsi" w:cstheme="minorHAnsi"/>
          <w:spacing w:val="-2"/>
          <w:szCs w:val="24"/>
        </w:rPr>
        <w:t>.</w:t>
      </w:r>
    </w:p>
    <w:p w14:paraId="226D9945" w14:textId="77777777" w:rsidR="00B6170C" w:rsidRPr="00E14E8A" w:rsidRDefault="00B6170C" w:rsidP="00722B7F">
      <w:pPr>
        <w:pStyle w:val="Headingi"/>
      </w:pPr>
      <w:r w:rsidRPr="00E14E8A">
        <w:rPr>
          <w:rFonts w:eastAsia="MS Mincho"/>
        </w:rPr>
        <w:t xml:space="preserve">Overviews of results on </w:t>
      </w:r>
      <w:proofErr w:type="spellStart"/>
      <w:r w:rsidRPr="00E14E8A">
        <w:rPr>
          <w:rFonts w:eastAsia="MS Mincho"/>
        </w:rPr>
        <w:t>WTSA</w:t>
      </w:r>
      <w:proofErr w:type="spellEnd"/>
      <w:r w:rsidRPr="00E14E8A">
        <w:rPr>
          <w:rFonts w:eastAsia="MS Mincho"/>
        </w:rPr>
        <w:t xml:space="preserve"> Resolutions</w:t>
      </w:r>
    </w:p>
    <w:p w14:paraId="619DAA41" w14:textId="0B8345CD" w:rsidR="00B6170C" w:rsidRPr="00AE6BA0" w:rsidRDefault="00B6170C" w:rsidP="00107827">
      <w:pPr>
        <w:jc w:val="both"/>
        <w:rPr>
          <w:lang w:eastAsia="ja-JP"/>
        </w:rPr>
      </w:pPr>
      <w:proofErr w:type="spellStart"/>
      <w:r w:rsidRPr="00AE6BA0">
        <w:t>WTSA</w:t>
      </w:r>
      <w:proofErr w:type="spellEnd"/>
      <w:r w:rsidRPr="00AE6BA0">
        <w:t>-24 t</w:t>
      </w:r>
      <w:r w:rsidRPr="00AE6BA0">
        <w:rPr>
          <w:lang w:eastAsia="ja-JP"/>
        </w:rPr>
        <w:t>ook</w:t>
      </w:r>
      <w:r w:rsidRPr="00AE6BA0">
        <w:t xml:space="preserve"> place in </w:t>
      </w:r>
      <w:r w:rsidRPr="00AE6BA0">
        <w:rPr>
          <w:lang w:eastAsia="ja-JP"/>
        </w:rPr>
        <w:t xml:space="preserve">New Delhi, </w:t>
      </w:r>
      <w:r w:rsidRPr="00AE6BA0">
        <w:t>India</w:t>
      </w:r>
      <w:r w:rsidRPr="00AE6BA0">
        <w:rPr>
          <w:lang w:eastAsia="ja-JP"/>
        </w:rPr>
        <w:t xml:space="preserve">, from </w:t>
      </w:r>
      <w:r w:rsidRPr="00AE6BA0">
        <w:t xml:space="preserve">15 </w:t>
      </w:r>
      <w:r w:rsidRPr="00AE6BA0">
        <w:rPr>
          <w:lang w:eastAsia="ja-JP"/>
        </w:rPr>
        <w:t>to</w:t>
      </w:r>
      <w:r w:rsidRPr="00AE6BA0">
        <w:t xml:space="preserve"> 25 October 2024</w:t>
      </w:r>
      <w:r w:rsidRPr="00AE6BA0">
        <w:rPr>
          <w:lang w:eastAsia="ja-JP"/>
        </w:rPr>
        <w:t>, with 3</w:t>
      </w:r>
      <w:r w:rsidR="000B5E78">
        <w:rPr>
          <w:lang w:eastAsia="ja-JP"/>
        </w:rPr>
        <w:t> </w:t>
      </w:r>
      <w:r w:rsidRPr="00AE6BA0">
        <w:rPr>
          <w:lang w:eastAsia="ja-JP"/>
        </w:rPr>
        <w:t>700 participants from 164 countries.</w:t>
      </w:r>
      <w:r w:rsidRPr="00AE6BA0">
        <w:t xml:space="preserve"> </w:t>
      </w:r>
      <w:r w:rsidRPr="00AE6BA0">
        <w:rPr>
          <w:lang w:eastAsia="ja-JP"/>
        </w:rPr>
        <w:t>U</w:t>
      </w:r>
      <w:r w:rsidRPr="00AE6BA0">
        <w:t xml:space="preserve">pdates on </w:t>
      </w:r>
      <w:proofErr w:type="spellStart"/>
      <w:r w:rsidRPr="000B5E78">
        <w:t>WTSA</w:t>
      </w:r>
      <w:proofErr w:type="spellEnd"/>
      <w:r w:rsidRPr="000B5E78">
        <w:t xml:space="preserve"> Resolution </w:t>
      </w:r>
      <w:hyperlink r:id="rId31" w:history="1">
        <w:r w:rsidRPr="000B5E78">
          <w:rPr>
            <w:rStyle w:val="Hyperlink"/>
          </w:rPr>
          <w:t xml:space="preserve">75 </w:t>
        </w:r>
        <w:r w:rsidRPr="000B5E78">
          <w:rPr>
            <w:rStyle w:val="Hyperlink"/>
            <w:lang w:eastAsia="ja-JP"/>
          </w:rPr>
          <w:t>(Rev. Geneva, 2022)</w:t>
        </w:r>
      </w:hyperlink>
      <w:r w:rsidRPr="00AE6BA0">
        <w:rPr>
          <w:lang w:eastAsia="ja-JP"/>
        </w:rPr>
        <w:t xml:space="preserve"> were proposed, but no consensus was reached to update </w:t>
      </w:r>
      <w:proofErr w:type="spellStart"/>
      <w:r w:rsidRPr="00AE6BA0">
        <w:rPr>
          <w:lang w:eastAsia="ja-JP"/>
        </w:rPr>
        <w:t>WTSA</w:t>
      </w:r>
      <w:proofErr w:type="spellEnd"/>
      <w:r w:rsidRPr="00AE6BA0">
        <w:rPr>
          <w:lang w:eastAsia="ja-JP"/>
        </w:rPr>
        <w:t xml:space="preserve"> Resolution 75 at this </w:t>
      </w:r>
      <w:r w:rsidR="000B5E78" w:rsidRPr="00AE6BA0">
        <w:rPr>
          <w:lang w:eastAsia="ja-JP"/>
        </w:rPr>
        <w:t>Assembly</w:t>
      </w:r>
      <w:r w:rsidRPr="00AE6BA0">
        <w:rPr>
          <w:lang w:eastAsia="ja-JP"/>
        </w:rPr>
        <w:t>.</w:t>
      </w:r>
    </w:p>
    <w:p w14:paraId="789976AC" w14:textId="5E25820E" w:rsidR="00B6170C" w:rsidRPr="00AE6BA0" w:rsidRDefault="00B6170C" w:rsidP="00107827">
      <w:pPr>
        <w:jc w:val="both"/>
        <w:rPr>
          <w:lang w:eastAsia="ja-JP"/>
        </w:rPr>
      </w:pPr>
      <w:r w:rsidRPr="00AE6BA0">
        <w:rPr>
          <w:lang w:eastAsia="ja-JP"/>
        </w:rPr>
        <w:t xml:space="preserve">Overviews of results on </w:t>
      </w:r>
      <w:proofErr w:type="spellStart"/>
      <w:r w:rsidRPr="00AE6BA0">
        <w:rPr>
          <w:lang w:eastAsia="ja-JP"/>
        </w:rPr>
        <w:t>WTSA</w:t>
      </w:r>
      <w:proofErr w:type="spellEnd"/>
      <w:r w:rsidRPr="00AE6BA0">
        <w:rPr>
          <w:lang w:eastAsia="ja-JP"/>
        </w:rPr>
        <w:t xml:space="preserve"> Resolutions are as follows</w:t>
      </w:r>
      <w:r w:rsidR="000B5E78">
        <w:rPr>
          <w:lang w:eastAsia="ja-JP"/>
        </w:rPr>
        <w:t>:</w:t>
      </w:r>
    </w:p>
    <w:p w14:paraId="326A9660" w14:textId="4C192672" w:rsidR="00B6170C" w:rsidRPr="00AE6BA0" w:rsidRDefault="00C40C4C" w:rsidP="00C26474">
      <w:pPr>
        <w:pStyle w:val="enumlev1"/>
        <w:jc w:val="both"/>
      </w:pPr>
      <w:r>
        <w:rPr>
          <w:rFonts w:eastAsia="MS Mincho"/>
        </w:rPr>
        <w:t>–</w:t>
      </w:r>
      <w:r>
        <w:rPr>
          <w:rFonts w:eastAsia="MS Mincho"/>
        </w:rPr>
        <w:tab/>
      </w:r>
      <w:r w:rsidR="00B6170C" w:rsidRPr="00AE6BA0">
        <w:t xml:space="preserve">eight new </w:t>
      </w:r>
      <w:proofErr w:type="spellStart"/>
      <w:r w:rsidR="00B6170C" w:rsidRPr="00C26474">
        <w:rPr>
          <w:rFonts w:eastAsia="MS Mincho"/>
        </w:rPr>
        <w:t>WTSA</w:t>
      </w:r>
      <w:proofErr w:type="spellEnd"/>
      <w:r w:rsidR="00B6170C" w:rsidRPr="00AE6BA0">
        <w:t xml:space="preserve"> Resolutions (ADD)</w:t>
      </w:r>
    </w:p>
    <w:p w14:paraId="3E17BE50" w14:textId="0F576E25" w:rsidR="00B6170C" w:rsidRPr="00AE6BA0" w:rsidRDefault="00C40C4C" w:rsidP="00C26474">
      <w:pPr>
        <w:pStyle w:val="enumlev1"/>
        <w:jc w:val="both"/>
      </w:pPr>
      <w:r>
        <w:rPr>
          <w:rFonts w:eastAsia="MS Mincho"/>
        </w:rPr>
        <w:t>–</w:t>
      </w:r>
      <w:r>
        <w:rPr>
          <w:rFonts w:eastAsia="MS Mincho"/>
        </w:rPr>
        <w:tab/>
      </w:r>
      <w:r w:rsidR="00B6170C" w:rsidRPr="00AE6BA0">
        <w:t>forty-</w:t>
      </w:r>
      <w:r w:rsidR="00B6170C" w:rsidRPr="00C26474">
        <w:rPr>
          <w:rFonts w:eastAsia="MS Mincho"/>
        </w:rPr>
        <w:t>five</w:t>
      </w:r>
      <w:r w:rsidR="00B6170C" w:rsidRPr="00AE6BA0">
        <w:t xml:space="preserve"> revised </w:t>
      </w:r>
      <w:proofErr w:type="spellStart"/>
      <w:r w:rsidR="00B6170C" w:rsidRPr="00AE6BA0">
        <w:t>WTSA</w:t>
      </w:r>
      <w:proofErr w:type="spellEnd"/>
      <w:r w:rsidR="00B6170C" w:rsidRPr="00AE6BA0">
        <w:t xml:space="preserve"> Resolutions (MOD)</w:t>
      </w:r>
    </w:p>
    <w:p w14:paraId="2FECC9F2" w14:textId="50B4A379" w:rsidR="00B6170C" w:rsidRPr="00AE6BA0" w:rsidRDefault="00C40C4C" w:rsidP="00C26474">
      <w:pPr>
        <w:pStyle w:val="enumlev1"/>
        <w:jc w:val="both"/>
      </w:pPr>
      <w:r>
        <w:rPr>
          <w:rFonts w:eastAsia="MS Mincho"/>
        </w:rPr>
        <w:t>–</w:t>
      </w:r>
      <w:r>
        <w:rPr>
          <w:rFonts w:eastAsia="MS Mincho"/>
        </w:rPr>
        <w:tab/>
      </w:r>
      <w:r w:rsidR="00B6170C" w:rsidRPr="00AE6BA0">
        <w:t xml:space="preserve">nine </w:t>
      </w:r>
      <w:r w:rsidR="00B6170C" w:rsidRPr="00C26474">
        <w:rPr>
          <w:rFonts w:eastAsia="MS Mincho"/>
        </w:rPr>
        <w:t>NOC</w:t>
      </w:r>
      <w:r w:rsidR="00B6170C" w:rsidRPr="00AE6BA0">
        <w:t>.</w:t>
      </w:r>
    </w:p>
    <w:p w14:paraId="2A0C1C50" w14:textId="77777777" w:rsidR="00B6170C" w:rsidRPr="00AE6BA0" w:rsidRDefault="00B6170C" w:rsidP="007D2521">
      <w:pPr>
        <w:jc w:val="both"/>
        <w:rPr>
          <w:lang w:eastAsia="ja-JP"/>
        </w:rPr>
      </w:pPr>
      <w:r w:rsidRPr="00AE6BA0">
        <w:rPr>
          <w:lang w:eastAsia="ja-JP"/>
        </w:rPr>
        <w:t xml:space="preserve">The new </w:t>
      </w:r>
      <w:proofErr w:type="spellStart"/>
      <w:r w:rsidRPr="00AE6BA0">
        <w:rPr>
          <w:lang w:eastAsia="ja-JP"/>
        </w:rPr>
        <w:t>WTSA</w:t>
      </w:r>
      <w:proofErr w:type="spellEnd"/>
      <w:r w:rsidRPr="00AE6BA0">
        <w:rPr>
          <w:lang w:eastAsia="ja-JP"/>
        </w:rPr>
        <w:t xml:space="preserve"> Resolutions approved in the </w:t>
      </w:r>
      <w:proofErr w:type="spellStart"/>
      <w:r w:rsidRPr="00AE6BA0">
        <w:rPr>
          <w:lang w:eastAsia="ja-JP"/>
        </w:rPr>
        <w:t>WTSA</w:t>
      </w:r>
      <w:proofErr w:type="spellEnd"/>
      <w:r w:rsidRPr="00AE6BA0">
        <w:rPr>
          <w:lang w:eastAsia="ja-JP"/>
        </w:rPr>
        <w:t xml:space="preserve">-24 are </w:t>
      </w:r>
      <w:r>
        <w:rPr>
          <w:lang w:eastAsia="ja-JP"/>
        </w:rPr>
        <w:t xml:space="preserve">available in this </w:t>
      </w:r>
      <w:hyperlink r:id="rId32" w:history="1">
        <w:r w:rsidRPr="0008236B">
          <w:rPr>
            <w:rStyle w:val="Hyperlink"/>
            <w:lang w:eastAsia="ja-JP"/>
          </w:rPr>
          <w:t>document</w:t>
        </w:r>
      </w:hyperlink>
      <w:r w:rsidRPr="00AE6BA0">
        <w:rPr>
          <w:lang w:eastAsia="ja-JP"/>
        </w:rPr>
        <w:t>.</w:t>
      </w:r>
    </w:p>
    <w:p w14:paraId="2DA6E2E9" w14:textId="77777777" w:rsidR="00B6170C" w:rsidRPr="0028659F" w:rsidRDefault="00B6170C" w:rsidP="0028659F">
      <w:pPr>
        <w:jc w:val="both"/>
        <w:rPr>
          <w:spacing w:val="-2"/>
          <w:lang w:eastAsia="ja-JP"/>
        </w:rPr>
      </w:pPr>
      <w:r w:rsidRPr="0028659F">
        <w:rPr>
          <w:spacing w:val="-2"/>
          <w:lang w:eastAsia="ja-JP"/>
        </w:rPr>
        <w:t xml:space="preserve">The new </w:t>
      </w:r>
      <w:proofErr w:type="spellStart"/>
      <w:r w:rsidRPr="0028659F">
        <w:rPr>
          <w:spacing w:val="-2"/>
          <w:lang w:eastAsia="ja-JP"/>
        </w:rPr>
        <w:t>WTSA</w:t>
      </w:r>
      <w:proofErr w:type="spellEnd"/>
      <w:r w:rsidRPr="0028659F">
        <w:rPr>
          <w:spacing w:val="-2"/>
          <w:lang w:eastAsia="ja-JP"/>
        </w:rPr>
        <w:t xml:space="preserve"> Resolutions have reinforced ITU standards work to meet fast-evolving global needs and will facilitate the implementation of Resolutions on WSIS in the field of artificial intelligence (AI), metaverse, digital public infrastructure and digital transformation in ITU-T. The final versions of the </w:t>
      </w:r>
      <w:proofErr w:type="spellStart"/>
      <w:r w:rsidRPr="0028659F">
        <w:rPr>
          <w:spacing w:val="-2"/>
          <w:lang w:eastAsia="ja-JP"/>
        </w:rPr>
        <w:t>WTSA</w:t>
      </w:r>
      <w:proofErr w:type="spellEnd"/>
      <w:r w:rsidRPr="0028659F">
        <w:rPr>
          <w:spacing w:val="-2"/>
          <w:lang w:eastAsia="ja-JP"/>
        </w:rPr>
        <w:t xml:space="preserve"> Resolutions can be downloaded at: </w:t>
      </w:r>
      <w:hyperlink r:id="rId33" w:history="1">
        <w:r w:rsidRPr="0028659F">
          <w:rPr>
            <w:rStyle w:val="Hyperlink"/>
            <w:spacing w:val="-2"/>
            <w:lang w:eastAsia="ja-JP"/>
          </w:rPr>
          <w:t>https://</w:t>
        </w:r>
        <w:proofErr w:type="spellStart"/>
        <w:r w:rsidRPr="0028659F">
          <w:rPr>
            <w:rStyle w:val="Hyperlink"/>
            <w:spacing w:val="-2"/>
            <w:lang w:eastAsia="ja-JP"/>
          </w:rPr>
          <w:t>www.itu.int</w:t>
        </w:r>
        <w:proofErr w:type="spellEnd"/>
        <w:r w:rsidRPr="0028659F">
          <w:rPr>
            <w:rStyle w:val="Hyperlink"/>
            <w:spacing w:val="-2"/>
            <w:lang w:eastAsia="ja-JP"/>
          </w:rPr>
          <w:t>/pub/T-RES</w:t>
        </w:r>
      </w:hyperlink>
      <w:r w:rsidRPr="0028659F">
        <w:rPr>
          <w:spacing w:val="-2"/>
          <w:lang w:eastAsia="ja-JP"/>
        </w:rPr>
        <w:t>.</w:t>
      </w:r>
    </w:p>
    <w:p w14:paraId="765BC0CF" w14:textId="77777777" w:rsidR="00B6170C" w:rsidRPr="00E14E8A" w:rsidRDefault="00B6170C" w:rsidP="00722B7F">
      <w:pPr>
        <w:pStyle w:val="Headingi"/>
      </w:pPr>
      <w:r w:rsidRPr="00E14E8A">
        <w:rPr>
          <w:rFonts w:eastAsia="MS Mincho"/>
        </w:rPr>
        <w:t>Other engagements of ITU-T</w:t>
      </w:r>
    </w:p>
    <w:p w14:paraId="3900BFEF" w14:textId="4284F280" w:rsidR="00B6170C" w:rsidRPr="00AE6BA0" w:rsidRDefault="00B6170C" w:rsidP="00107827">
      <w:pPr>
        <w:jc w:val="both"/>
      </w:pPr>
      <w:r w:rsidRPr="00AE6BA0">
        <w:t xml:space="preserve">ITU-T </w:t>
      </w:r>
      <w:r w:rsidRPr="00AE6BA0">
        <w:rPr>
          <w:lang w:eastAsia="ja-JP"/>
        </w:rPr>
        <w:t>organizes</w:t>
      </w:r>
      <w:r w:rsidRPr="00AE6BA0">
        <w:t xml:space="preserve"> a wealth of ITU </w:t>
      </w:r>
      <w:r w:rsidR="00182B67" w:rsidRPr="00AE6BA0">
        <w:t>workshops</w:t>
      </w:r>
      <w:r w:rsidRPr="00AE6BA0">
        <w:t xml:space="preserve">, symposia and webinars each year that address emerging </w:t>
      </w:r>
      <w:r w:rsidRPr="00182B67">
        <w:rPr>
          <w:spacing w:val="-2"/>
          <w:lang w:eastAsia="ja-JP"/>
        </w:rPr>
        <w:t>technologies</w:t>
      </w:r>
      <w:r w:rsidRPr="00AE6BA0">
        <w:t xml:space="preserve"> and trends</w:t>
      </w:r>
      <w:r w:rsidR="00FB5DE7">
        <w:t>,</w:t>
      </w:r>
      <w:r w:rsidRPr="00AE6BA0">
        <w:t xml:space="preserve"> including digital transformation (DT), smart sustainable city (SSC), environmental efficiency, climate change, circular economy, artificial </w:t>
      </w:r>
      <w:r w:rsidR="00182B67">
        <w:t>intelligence</w:t>
      </w:r>
      <w:r w:rsidRPr="00AE6BA0">
        <w:t xml:space="preserve"> (AI), metaverse (MV), and so on (see </w:t>
      </w:r>
      <w:hyperlink r:id="rId34" w:history="1">
        <w:proofErr w:type="spellStart"/>
        <w:r w:rsidRPr="044BE917">
          <w:rPr>
            <w:rStyle w:val="Hyperlink"/>
            <w:rFonts w:asciiTheme="minorHAnsi" w:hAnsiTheme="minorHAnsi" w:cstheme="minorBidi"/>
          </w:rPr>
          <w:t>www.itu.int</w:t>
        </w:r>
        <w:proofErr w:type="spellEnd"/>
        <w:r w:rsidRPr="044BE917">
          <w:rPr>
            <w:rStyle w:val="Hyperlink"/>
            <w:rFonts w:asciiTheme="minorHAnsi" w:hAnsiTheme="minorHAnsi" w:cstheme="minorBidi"/>
          </w:rPr>
          <w:t>/en/ITU-T/Workshops-and-Seminars</w:t>
        </w:r>
      </w:hyperlink>
      <w:r w:rsidRPr="00AE6BA0">
        <w:t xml:space="preserve">). Other related activities are </w:t>
      </w:r>
      <w:hyperlink r:id="rId35">
        <w:r w:rsidRPr="49C01BAB">
          <w:rPr>
            <w:rStyle w:val="Hyperlink"/>
            <w:rFonts w:asciiTheme="minorHAnsi" w:hAnsiTheme="minorHAnsi" w:cstheme="minorBidi"/>
          </w:rPr>
          <w:t>ITU AI</w:t>
        </w:r>
        <w:r w:rsidR="434B3ADD" w:rsidRPr="49C01BAB">
          <w:rPr>
            <w:rStyle w:val="Hyperlink"/>
            <w:rFonts w:asciiTheme="minorHAnsi" w:hAnsiTheme="minorHAnsi" w:cstheme="minorBidi"/>
          </w:rPr>
          <w:t xml:space="preserve"> for Good Global</w:t>
        </w:r>
        <w:r w:rsidRPr="49C01BAB">
          <w:rPr>
            <w:rStyle w:val="Hyperlink"/>
            <w:rFonts w:asciiTheme="minorHAnsi" w:hAnsiTheme="minorHAnsi" w:cstheme="minorBidi"/>
          </w:rPr>
          <w:t xml:space="preserve"> Summits</w:t>
        </w:r>
      </w:hyperlink>
      <w:r w:rsidRPr="00AE6BA0">
        <w:t xml:space="preserve">, and </w:t>
      </w:r>
      <w:hyperlink r:id="rId36" w:history="1">
        <w:r w:rsidRPr="044BE917">
          <w:rPr>
            <w:rStyle w:val="Hyperlink"/>
            <w:rFonts w:asciiTheme="minorHAnsi" w:hAnsiTheme="minorHAnsi" w:cstheme="minorBidi"/>
          </w:rPr>
          <w:t>ITU-T Focus Groups</w:t>
        </w:r>
      </w:hyperlink>
      <w:r w:rsidRPr="00AE6BA0">
        <w:t xml:space="preserve"> that investigate new trends. The activities </w:t>
      </w:r>
      <w:r w:rsidRPr="00AE6BA0">
        <w:rPr>
          <w:lang w:eastAsia="ja-JP"/>
        </w:rPr>
        <w:t xml:space="preserve">will be </w:t>
      </w:r>
      <w:r w:rsidRPr="00AE6BA0">
        <w:t xml:space="preserve">reported regularly in the TSB </w:t>
      </w:r>
      <w:r w:rsidR="00182B67">
        <w:t>Director's</w:t>
      </w:r>
      <w:r w:rsidRPr="00AE6BA0">
        <w:t xml:space="preserve"> activities report to TSAG.</w:t>
      </w:r>
    </w:p>
    <w:p w14:paraId="6CCFFBAE" w14:textId="77777777" w:rsidR="00B6170C" w:rsidRDefault="00B6170C" w:rsidP="00722B7F">
      <w:pPr>
        <w:pStyle w:val="Heading1"/>
        <w:rPr>
          <w:rFonts w:eastAsia="MS Mincho"/>
        </w:rPr>
      </w:pPr>
      <w:r w:rsidRPr="00E958A9">
        <w:rPr>
          <w:rFonts w:eastAsia="MS Mincho"/>
        </w:rPr>
        <w:t xml:space="preserve">Implementation of the </w:t>
      </w:r>
      <w:proofErr w:type="spellStart"/>
      <w:r w:rsidRPr="003749C5">
        <w:rPr>
          <w:rFonts w:eastAsia="MS Mincho"/>
        </w:rPr>
        <w:t>WTDC</w:t>
      </w:r>
      <w:proofErr w:type="spellEnd"/>
      <w:r w:rsidRPr="003749C5">
        <w:rPr>
          <w:rFonts w:eastAsia="MS Mincho"/>
        </w:rPr>
        <w:t xml:space="preserve"> Resolution 30 (Rev. Kigali, 2022)</w:t>
      </w:r>
    </w:p>
    <w:p w14:paraId="01F72379" w14:textId="3F7984E7" w:rsidR="00B6170C" w:rsidRPr="00523C54" w:rsidRDefault="00B6170C" w:rsidP="00523C54">
      <w:pPr>
        <w:jc w:val="both"/>
        <w:rPr>
          <w:rFonts w:eastAsia="MS Mincho"/>
        </w:rPr>
      </w:pPr>
      <w:r w:rsidRPr="00523C54">
        <w:rPr>
          <w:rFonts w:eastAsia="MS Mincho"/>
        </w:rPr>
        <w:t xml:space="preserve">This </w:t>
      </w:r>
      <w:r>
        <w:rPr>
          <w:rFonts w:eastAsia="MS Mincho"/>
        </w:rPr>
        <w:t xml:space="preserve">part </w:t>
      </w:r>
      <w:r w:rsidRPr="00523C54">
        <w:rPr>
          <w:rFonts w:eastAsia="MS Mincho"/>
        </w:rPr>
        <w:t xml:space="preserve">provides a report on the implementation of the Kigali Action Plan (KAP) from </w:t>
      </w:r>
      <w:r w:rsidRPr="00523C54">
        <w:rPr>
          <w:rFonts w:eastAsia="MS Mincho"/>
          <w:b/>
          <w:bCs/>
        </w:rPr>
        <w:t>May to December 2024</w:t>
      </w:r>
      <w:r w:rsidR="009A70B7" w:rsidRPr="009A70B7">
        <w:rPr>
          <w:rFonts w:eastAsia="MS Mincho"/>
        </w:rPr>
        <w:t>,</w:t>
      </w:r>
      <w:r w:rsidRPr="009A70B7">
        <w:rPr>
          <w:rFonts w:eastAsia="MS Mincho"/>
        </w:rPr>
        <w:t xml:space="preserve"> </w:t>
      </w:r>
      <w:r w:rsidRPr="00523C54">
        <w:rPr>
          <w:rFonts w:eastAsia="MS Mincho"/>
        </w:rPr>
        <w:t xml:space="preserve">highlighting key achievements across regions in line with </w:t>
      </w:r>
      <w:r w:rsidR="009A70B7">
        <w:rPr>
          <w:rFonts w:eastAsia="MS Mincho"/>
        </w:rPr>
        <w:t xml:space="preserve">the </w:t>
      </w:r>
      <w:r w:rsidRPr="00523C54">
        <w:rPr>
          <w:rFonts w:eastAsia="MS Mincho"/>
        </w:rPr>
        <w:t xml:space="preserve">KAP objectives. </w:t>
      </w:r>
      <w:r w:rsidR="009A70B7">
        <w:rPr>
          <w:rFonts w:eastAsia="MS Mincho"/>
        </w:rPr>
        <w:t>The i</w:t>
      </w:r>
      <w:r w:rsidRPr="00523C54">
        <w:rPr>
          <w:rFonts w:eastAsia="MS Mincho"/>
        </w:rPr>
        <w:t xml:space="preserve">mplementation of the Kigali Action Plan from June 2023 to April 2024 can be found in </w:t>
      </w:r>
      <w:hyperlink r:id="rId37" w:history="1">
        <w:r w:rsidRPr="00523C54">
          <w:rPr>
            <w:rStyle w:val="Hyperlink"/>
            <w:rFonts w:eastAsia="MS Mincho"/>
          </w:rPr>
          <w:t xml:space="preserve">Document </w:t>
        </w:r>
        <w:proofErr w:type="spellStart"/>
        <w:r w:rsidRPr="00523C54">
          <w:rPr>
            <w:rStyle w:val="Hyperlink"/>
            <w:rFonts w:eastAsia="MS Mincho"/>
          </w:rPr>
          <w:t>TDAG</w:t>
        </w:r>
        <w:proofErr w:type="spellEnd"/>
        <w:r w:rsidRPr="00523C54">
          <w:rPr>
            <w:rStyle w:val="Hyperlink"/>
            <w:rFonts w:eastAsia="MS Mincho"/>
          </w:rPr>
          <w:t>-24/2</w:t>
        </w:r>
      </w:hyperlink>
      <w:r w:rsidRPr="00523C54">
        <w:rPr>
          <w:rFonts w:eastAsia="MS Mincho"/>
        </w:rPr>
        <w:t>. This document also maps BDT’s contribution to the World Summit on the Information Society (WSIS) action lines and the overarching United Nations Sustainable Development Goals (SDGs).</w:t>
      </w:r>
      <w:r>
        <w:rPr>
          <w:rFonts w:eastAsia="MS Mincho"/>
        </w:rPr>
        <w:t xml:space="preserve"> See </w:t>
      </w:r>
      <w:r w:rsidR="009A70B7">
        <w:rPr>
          <w:rFonts w:eastAsia="MS Mincho"/>
        </w:rPr>
        <w:t xml:space="preserve">the </w:t>
      </w:r>
      <w:r>
        <w:rPr>
          <w:rFonts w:eastAsia="MS Mincho"/>
        </w:rPr>
        <w:t xml:space="preserve">full Progress Report for 2025 </w:t>
      </w:r>
      <w:hyperlink r:id="rId38" w:history="1">
        <w:r w:rsidRPr="00E76545">
          <w:rPr>
            <w:rStyle w:val="Hyperlink"/>
            <w:rFonts w:eastAsia="MS Mincho"/>
          </w:rPr>
          <w:t>here</w:t>
        </w:r>
      </w:hyperlink>
      <w:r>
        <w:rPr>
          <w:rFonts w:eastAsia="MS Mincho"/>
        </w:rPr>
        <w:t>.</w:t>
      </w:r>
    </w:p>
    <w:p w14:paraId="274783E1" w14:textId="77777777" w:rsidR="00C354AF" w:rsidRDefault="00C354AF" w:rsidP="0032202E">
      <w:pPr>
        <w:pStyle w:val="Reasons"/>
      </w:pPr>
    </w:p>
    <w:p w14:paraId="01044D95" w14:textId="77D321EE" w:rsidR="00C354AF" w:rsidRPr="005B0763" w:rsidRDefault="00C354AF" w:rsidP="00C354AF">
      <w:pPr>
        <w:jc w:val="center"/>
      </w:pPr>
      <w:r>
        <w:t>______________</w:t>
      </w:r>
    </w:p>
    <w:sectPr w:rsidR="00C354AF" w:rsidRPr="005B0763" w:rsidSect="00AD3606">
      <w:footerReference w:type="default" r:id="rId39"/>
      <w:headerReference w:type="first" r:id="rId40"/>
      <w:footerReference w:type="first" r:id="rId4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2CC3" w14:textId="77777777" w:rsidR="008B774C" w:rsidRDefault="008B774C">
      <w:r>
        <w:separator/>
      </w:r>
    </w:p>
  </w:endnote>
  <w:endnote w:type="continuationSeparator" w:id="0">
    <w:p w14:paraId="3DCCE44F" w14:textId="77777777" w:rsidR="008B774C" w:rsidRDefault="008B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6170C" w14:paraId="36BBDE98" w14:textId="77777777" w:rsidTr="0042469C">
      <w:trPr>
        <w:jc w:val="center"/>
      </w:trPr>
      <w:tc>
        <w:tcPr>
          <w:tcW w:w="1803" w:type="dxa"/>
          <w:vAlign w:val="center"/>
        </w:tcPr>
        <w:p w14:paraId="7AEB88F4" w14:textId="77777777" w:rsidR="00EE49E8" w:rsidRDefault="00EE49E8" w:rsidP="00EE49E8">
          <w:pPr>
            <w:pStyle w:val="Header"/>
            <w:jc w:val="left"/>
            <w:rPr>
              <w:noProof/>
            </w:rPr>
          </w:pPr>
        </w:p>
      </w:tc>
      <w:tc>
        <w:tcPr>
          <w:tcW w:w="8261" w:type="dxa"/>
        </w:tcPr>
        <w:p w14:paraId="38F1FE77" w14:textId="682FFF91" w:rsidR="00EE49E8" w:rsidRPr="00877BF2" w:rsidRDefault="00EE49E8" w:rsidP="00781461">
          <w:pPr>
            <w:pStyle w:val="Header"/>
            <w:tabs>
              <w:tab w:val="left" w:pos="5740"/>
              <w:tab w:val="right" w:pos="8505"/>
              <w:tab w:val="right" w:pos="9639"/>
            </w:tabs>
            <w:jc w:val="left"/>
            <w:rPr>
              <w:rFonts w:ascii="Arial" w:hAnsi="Arial" w:cs="Arial"/>
              <w:b/>
              <w:bCs/>
              <w:szCs w:val="18"/>
              <w:lang w:val="es-ES"/>
            </w:rPr>
          </w:pPr>
          <w:r w:rsidRPr="005C13D4">
            <w:rPr>
              <w:bCs/>
              <w:lang w:val="fr-CH"/>
            </w:rPr>
            <w:tab/>
          </w:r>
          <w:proofErr w:type="spellStart"/>
          <w:r w:rsidR="00227AAB" w:rsidRPr="00227AAB">
            <w:rPr>
              <w:bCs/>
              <w:lang w:val="es-ES"/>
            </w:rPr>
            <w:t>CWG-WSIS&amp;SDG-</w:t>
          </w:r>
          <w:r w:rsidR="00C354AF">
            <w:rPr>
              <w:bCs/>
              <w:lang w:val="es-ES"/>
            </w:rPr>
            <w:t>43</w:t>
          </w:r>
          <w:proofErr w:type="spellEnd"/>
          <w:r w:rsidR="00227AAB">
            <w:rPr>
              <w:bCs/>
              <w:lang w:val="es-ES"/>
            </w:rPr>
            <w:t>/</w:t>
          </w:r>
          <w:r w:rsidR="00FC1745">
            <w:rPr>
              <w:bCs/>
              <w:lang w:val="es-ES"/>
            </w:rPr>
            <w:t>7</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572C0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B6170C" w14:paraId="5FE959FC" w14:textId="77777777" w:rsidTr="00A52C84">
      <w:trPr>
        <w:jc w:val="center"/>
      </w:trPr>
      <w:tc>
        <w:tcPr>
          <w:tcW w:w="3107" w:type="dxa"/>
          <w:vAlign w:val="center"/>
        </w:tcPr>
        <w:p w14:paraId="29DE9761" w14:textId="7F7FC0F1" w:rsidR="00EE49E8" w:rsidRPr="00781461" w:rsidRDefault="0025570E" w:rsidP="00EE49E8">
          <w:pPr>
            <w:pStyle w:val="Header"/>
            <w:jc w:val="left"/>
            <w:rPr>
              <w:noProof/>
            </w:rPr>
          </w:pPr>
          <w:hyperlink r:id="rId1" w:history="1">
            <w:proofErr w:type="spellStart"/>
            <w:r w:rsidRPr="00781461">
              <w:rPr>
                <w:rStyle w:val="Hyperlink"/>
                <w:u w:val="none"/>
              </w:rPr>
              <w:t>council.itu.int</w:t>
            </w:r>
            <w:proofErr w:type="spellEnd"/>
            <w:r w:rsidRPr="00781461">
              <w:rPr>
                <w:rStyle w:val="Hyperlink"/>
                <w:u w:val="none"/>
              </w:rPr>
              <w:t>/working-groups</w:t>
            </w:r>
          </w:hyperlink>
        </w:p>
      </w:tc>
      <w:tc>
        <w:tcPr>
          <w:tcW w:w="6957" w:type="dxa"/>
        </w:tcPr>
        <w:p w14:paraId="5B6229C5" w14:textId="4C982838" w:rsidR="00EE49E8" w:rsidRPr="000F6AB8" w:rsidRDefault="00EE49E8" w:rsidP="00781461">
          <w:pPr>
            <w:pStyle w:val="Header"/>
            <w:tabs>
              <w:tab w:val="left" w:pos="4443"/>
              <w:tab w:val="right" w:pos="8505"/>
              <w:tab w:val="right" w:pos="9639"/>
            </w:tabs>
            <w:jc w:val="left"/>
            <w:rPr>
              <w:rFonts w:ascii="Arial" w:hAnsi="Arial" w:cs="Arial"/>
              <w:b/>
              <w:bCs/>
              <w:szCs w:val="18"/>
              <w:lang w:val="es-ES"/>
            </w:rPr>
          </w:pPr>
          <w:r>
            <w:rPr>
              <w:bCs/>
            </w:rPr>
            <w:tab/>
          </w:r>
          <w:proofErr w:type="spellStart"/>
          <w:r w:rsidR="00227AAB" w:rsidRPr="00227AAB">
            <w:rPr>
              <w:bCs/>
              <w:lang w:val="es-ES"/>
            </w:rPr>
            <w:t>CWG-WSIS&amp;SDG-</w:t>
          </w:r>
          <w:r w:rsidR="00C354AF">
            <w:rPr>
              <w:bCs/>
              <w:lang w:val="es-ES"/>
            </w:rPr>
            <w:t>43</w:t>
          </w:r>
          <w:proofErr w:type="spellEnd"/>
          <w:r w:rsidR="002F2D06">
            <w:rPr>
              <w:bCs/>
              <w:lang w:val="es-ES"/>
            </w:rPr>
            <w:t>/</w:t>
          </w:r>
          <w:r w:rsidR="00FC1745">
            <w:rPr>
              <w:bCs/>
              <w:lang w:val="es-ES"/>
            </w:rPr>
            <w:t>7</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62DF636"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3850" w14:textId="77777777" w:rsidR="008B774C" w:rsidRDefault="008B774C">
      <w:r>
        <w:t>____________________</w:t>
      </w:r>
    </w:p>
  </w:footnote>
  <w:footnote w:type="continuationSeparator" w:id="0">
    <w:p w14:paraId="504CBFDC" w14:textId="77777777" w:rsidR="008B774C" w:rsidRDefault="008B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9D30F3" w14:textId="77777777" w:rsidTr="00F74694">
      <w:trPr>
        <w:trHeight w:val="1304"/>
        <w:jc w:val="center"/>
      </w:trPr>
      <w:tc>
        <w:tcPr>
          <w:tcW w:w="6546" w:type="dxa"/>
        </w:tcPr>
        <w:bookmarkStart w:id="11" w:name="_Hlk133422111"/>
        <w:p w14:paraId="37B7181F" w14:textId="77777777" w:rsidR="00AD3606" w:rsidRPr="009621F8" w:rsidRDefault="00781461"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3E3D49E0" wp14:editId="5047EE57">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E3D49E0">
                    <v:stroke joinstyle="miter"/>
                    <v:path gradientshapeok="t" o:connecttype="rect"/>
                  </v:shapetype>
                  <v:shape id="Text Box 2" style="position:absolute;margin-left:112.65pt;margin-top:.0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v:textbox style="mso-fit-shape-to-text:t" inset="1mm">
                      <w:txbxContent>
                        <w:p w:rsidR="00130599" w:rsidP="000120E4" w:rsidRDefault="000A1525" w14:paraId="2EC34A44" w14:textId="302EF1FA">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Pr="009266BB" w:rsidR="009266BB">
                            <w:rPr>
                              <w:sz w:val="20"/>
                            </w:rPr>
                            <w:t>9</w:t>
                          </w:r>
                          <w:r w:rsidRPr="009266BB">
                            <w:rPr>
                              <w:sz w:val="20"/>
                            </w:rPr>
                            <w:t xml:space="preserve"> to 1</w:t>
                          </w:r>
                          <w:r w:rsidRPr="009266BB" w:rsidR="009266BB">
                            <w:rPr>
                              <w:sz w:val="20"/>
                            </w:rPr>
                            <w:t>0</w:t>
                          </w:r>
                          <w:r w:rsidRPr="009266BB">
                            <w:rPr>
                              <w:sz w:val="20"/>
                            </w:rPr>
                            <w:t xml:space="preserve"> (a.m.) </w:t>
                          </w:r>
                          <w:r w:rsidRPr="009266BB" w:rsidR="009266BB">
                            <w:rPr>
                              <w:sz w:val="20"/>
                            </w:rPr>
                            <w:t>September</w:t>
                          </w:r>
                          <w:r w:rsidRPr="009266BB">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728F62E2" wp14:editId="01D16BC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253DB3" w14:textId="77777777" w:rsidR="00AD3606" w:rsidRDefault="00AD3606" w:rsidP="00AD3606">
          <w:pPr>
            <w:pStyle w:val="Header"/>
            <w:jc w:val="right"/>
            <w:rPr>
              <w:rFonts w:ascii="Arial" w:hAnsi="Arial" w:cs="Arial"/>
              <w:b/>
              <w:bCs/>
              <w:color w:val="009CD6"/>
              <w:szCs w:val="18"/>
            </w:rPr>
          </w:pPr>
        </w:p>
        <w:p w14:paraId="5DBCA6BC" w14:textId="77777777" w:rsidR="00AD3606" w:rsidRDefault="00AD3606" w:rsidP="00AD3606">
          <w:pPr>
            <w:pStyle w:val="Header"/>
            <w:jc w:val="right"/>
            <w:rPr>
              <w:rFonts w:ascii="Arial" w:hAnsi="Arial" w:cs="Arial"/>
              <w:b/>
              <w:bCs/>
              <w:color w:val="009CD6"/>
              <w:szCs w:val="18"/>
            </w:rPr>
          </w:pPr>
        </w:p>
        <w:p w14:paraId="295568A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456BC96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A210F9B" wp14:editId="4160846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473A4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27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7C8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F8B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A7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FA4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8B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107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21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07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52A3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36943"/>
    <w:multiLevelType w:val="hybridMultilevel"/>
    <w:tmpl w:val="6366DE48"/>
    <w:lvl w:ilvl="0" w:tplc="08090001">
      <w:start w:val="1"/>
      <w:numFmt w:val="bullet"/>
      <w:lvlText w:val=""/>
      <w:lvlJc w:val="left"/>
      <w:pPr>
        <w:ind w:left="360" w:hanging="360"/>
      </w:pPr>
      <w:rPr>
        <w:rFonts w:ascii="Symbol" w:hAnsi="Symbol" w:hint="default"/>
      </w:rPr>
    </w:lvl>
    <w:lvl w:ilvl="1" w:tplc="F7B45AE2">
      <w:numFmt w:val="bullet"/>
      <w:lvlText w:val="–"/>
      <w:lvlJc w:val="left"/>
      <w:pPr>
        <w:ind w:left="1290" w:hanging="57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A046821"/>
    <w:multiLevelType w:val="hybridMultilevel"/>
    <w:tmpl w:val="CF4C24A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B1E025D"/>
    <w:multiLevelType w:val="hybridMultilevel"/>
    <w:tmpl w:val="F9D0607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6F11A89"/>
    <w:multiLevelType w:val="hybridMultilevel"/>
    <w:tmpl w:val="B7CC8FE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8A77E68"/>
    <w:multiLevelType w:val="hybridMultilevel"/>
    <w:tmpl w:val="7996DD4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7616482"/>
    <w:multiLevelType w:val="hybridMultilevel"/>
    <w:tmpl w:val="16007BA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74816267">
    <w:abstractNumId w:val="9"/>
  </w:num>
  <w:num w:numId="2" w16cid:durableId="365836927">
    <w:abstractNumId w:val="7"/>
  </w:num>
  <w:num w:numId="3" w16cid:durableId="661087478">
    <w:abstractNumId w:val="6"/>
  </w:num>
  <w:num w:numId="4" w16cid:durableId="376663382">
    <w:abstractNumId w:val="5"/>
  </w:num>
  <w:num w:numId="5" w16cid:durableId="1920942154">
    <w:abstractNumId w:val="4"/>
  </w:num>
  <w:num w:numId="6" w16cid:durableId="365641431">
    <w:abstractNumId w:val="8"/>
  </w:num>
  <w:num w:numId="7" w16cid:durableId="822232191">
    <w:abstractNumId w:val="3"/>
  </w:num>
  <w:num w:numId="8" w16cid:durableId="482280078">
    <w:abstractNumId w:val="2"/>
  </w:num>
  <w:num w:numId="9" w16cid:durableId="604265920">
    <w:abstractNumId w:val="1"/>
  </w:num>
  <w:num w:numId="10" w16cid:durableId="96290206">
    <w:abstractNumId w:val="0"/>
  </w:num>
  <w:num w:numId="11" w16cid:durableId="291904471">
    <w:abstractNumId w:val="8"/>
  </w:num>
  <w:num w:numId="12" w16cid:durableId="418016967">
    <w:abstractNumId w:val="3"/>
  </w:num>
  <w:num w:numId="13" w16cid:durableId="287055467">
    <w:abstractNumId w:val="2"/>
  </w:num>
  <w:num w:numId="14" w16cid:durableId="698235598">
    <w:abstractNumId w:val="1"/>
  </w:num>
  <w:num w:numId="15" w16cid:durableId="785007636">
    <w:abstractNumId w:val="0"/>
  </w:num>
  <w:num w:numId="16" w16cid:durableId="1217351057">
    <w:abstractNumId w:val="12"/>
  </w:num>
  <w:num w:numId="17" w16cid:durableId="845556035">
    <w:abstractNumId w:val="14"/>
  </w:num>
  <w:num w:numId="18" w16cid:durableId="565267664">
    <w:abstractNumId w:val="15"/>
  </w:num>
  <w:num w:numId="19" w16cid:durableId="2005473604">
    <w:abstractNumId w:val="10"/>
  </w:num>
  <w:num w:numId="20" w16cid:durableId="229580991">
    <w:abstractNumId w:val="11"/>
  </w:num>
  <w:num w:numId="21" w16cid:durableId="10230963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C"/>
    <w:rsid w:val="000041A9"/>
    <w:rsid w:val="00004C8C"/>
    <w:rsid w:val="000120E4"/>
    <w:rsid w:val="000210D4"/>
    <w:rsid w:val="00046146"/>
    <w:rsid w:val="00063016"/>
    <w:rsid w:val="00066795"/>
    <w:rsid w:val="00076AF6"/>
    <w:rsid w:val="00085CF2"/>
    <w:rsid w:val="00096851"/>
    <w:rsid w:val="000A1525"/>
    <w:rsid w:val="000B1705"/>
    <w:rsid w:val="000B5E78"/>
    <w:rsid w:val="000D75B2"/>
    <w:rsid w:val="000F6AB8"/>
    <w:rsid w:val="001121F5"/>
    <w:rsid w:val="00130599"/>
    <w:rsid w:val="00131E18"/>
    <w:rsid w:val="001400DC"/>
    <w:rsid w:val="00140CE1"/>
    <w:rsid w:val="00147C54"/>
    <w:rsid w:val="0017539C"/>
    <w:rsid w:val="00175AC2"/>
    <w:rsid w:val="0017609F"/>
    <w:rsid w:val="00182B67"/>
    <w:rsid w:val="00190F8C"/>
    <w:rsid w:val="001A7D1D"/>
    <w:rsid w:val="001B0595"/>
    <w:rsid w:val="001B51DD"/>
    <w:rsid w:val="001C628E"/>
    <w:rsid w:val="001E0F7B"/>
    <w:rsid w:val="001E0FBE"/>
    <w:rsid w:val="001E5E88"/>
    <w:rsid w:val="001E5FE7"/>
    <w:rsid w:val="002119FD"/>
    <w:rsid w:val="002130E0"/>
    <w:rsid w:val="002169EC"/>
    <w:rsid w:val="00227AAB"/>
    <w:rsid w:val="00244F7F"/>
    <w:rsid w:val="0025197E"/>
    <w:rsid w:val="0025570E"/>
    <w:rsid w:val="002608B7"/>
    <w:rsid w:val="00264425"/>
    <w:rsid w:val="00265875"/>
    <w:rsid w:val="0027303B"/>
    <w:rsid w:val="0028109B"/>
    <w:rsid w:val="0028659F"/>
    <w:rsid w:val="002A2188"/>
    <w:rsid w:val="002B1F58"/>
    <w:rsid w:val="002C1C7A"/>
    <w:rsid w:val="002C54E2"/>
    <w:rsid w:val="002E0AC3"/>
    <w:rsid w:val="002F2D06"/>
    <w:rsid w:val="0030160F"/>
    <w:rsid w:val="00301AEE"/>
    <w:rsid w:val="003145DF"/>
    <w:rsid w:val="003151D4"/>
    <w:rsid w:val="00320223"/>
    <w:rsid w:val="00322D0D"/>
    <w:rsid w:val="00361465"/>
    <w:rsid w:val="003877F5"/>
    <w:rsid w:val="003942D4"/>
    <w:rsid w:val="0039514F"/>
    <w:rsid w:val="003958A8"/>
    <w:rsid w:val="003B29C2"/>
    <w:rsid w:val="003C20CA"/>
    <w:rsid w:val="003C2533"/>
    <w:rsid w:val="003D2D21"/>
    <w:rsid w:val="003D5A7F"/>
    <w:rsid w:val="003D635C"/>
    <w:rsid w:val="003D71D8"/>
    <w:rsid w:val="004016E2"/>
    <w:rsid w:val="0040435A"/>
    <w:rsid w:val="00416A24"/>
    <w:rsid w:val="0042059E"/>
    <w:rsid w:val="00431D9E"/>
    <w:rsid w:val="00433CE8"/>
    <w:rsid w:val="00434A5C"/>
    <w:rsid w:val="00446D69"/>
    <w:rsid w:val="004544D9"/>
    <w:rsid w:val="00472BAD"/>
    <w:rsid w:val="00484009"/>
    <w:rsid w:val="00490E72"/>
    <w:rsid w:val="00491157"/>
    <w:rsid w:val="004921C8"/>
    <w:rsid w:val="00495B0B"/>
    <w:rsid w:val="004A1B8B"/>
    <w:rsid w:val="004D1851"/>
    <w:rsid w:val="004D599D"/>
    <w:rsid w:val="004E2EA5"/>
    <w:rsid w:val="004E3AEB"/>
    <w:rsid w:val="0050223C"/>
    <w:rsid w:val="00507750"/>
    <w:rsid w:val="005170FD"/>
    <w:rsid w:val="00520773"/>
    <w:rsid w:val="005243FF"/>
    <w:rsid w:val="005311D6"/>
    <w:rsid w:val="00536422"/>
    <w:rsid w:val="005536C2"/>
    <w:rsid w:val="00564FBC"/>
    <w:rsid w:val="005800BC"/>
    <w:rsid w:val="00582442"/>
    <w:rsid w:val="005A335D"/>
    <w:rsid w:val="005B0763"/>
    <w:rsid w:val="005C13D4"/>
    <w:rsid w:val="005C77C0"/>
    <w:rsid w:val="005D5129"/>
    <w:rsid w:val="005E2BD5"/>
    <w:rsid w:val="005F3269"/>
    <w:rsid w:val="005F7176"/>
    <w:rsid w:val="00615961"/>
    <w:rsid w:val="00623AE3"/>
    <w:rsid w:val="006261F4"/>
    <w:rsid w:val="0064737F"/>
    <w:rsid w:val="00647B0D"/>
    <w:rsid w:val="006535F1"/>
    <w:rsid w:val="0065557D"/>
    <w:rsid w:val="00660D50"/>
    <w:rsid w:val="00662984"/>
    <w:rsid w:val="006716BB"/>
    <w:rsid w:val="006973C8"/>
    <w:rsid w:val="006A4862"/>
    <w:rsid w:val="006B1859"/>
    <w:rsid w:val="006B6680"/>
    <w:rsid w:val="006B6DCC"/>
    <w:rsid w:val="006D7401"/>
    <w:rsid w:val="00701C70"/>
    <w:rsid w:val="00702DEF"/>
    <w:rsid w:val="00706861"/>
    <w:rsid w:val="00722B7F"/>
    <w:rsid w:val="00722ECF"/>
    <w:rsid w:val="007247CF"/>
    <w:rsid w:val="00726B8C"/>
    <w:rsid w:val="0075051B"/>
    <w:rsid w:val="0077110E"/>
    <w:rsid w:val="00775655"/>
    <w:rsid w:val="00781461"/>
    <w:rsid w:val="007849D5"/>
    <w:rsid w:val="00793188"/>
    <w:rsid w:val="00794D34"/>
    <w:rsid w:val="00806E3C"/>
    <w:rsid w:val="00813E5E"/>
    <w:rsid w:val="00816C2C"/>
    <w:rsid w:val="0083581B"/>
    <w:rsid w:val="00860EED"/>
    <w:rsid w:val="00863874"/>
    <w:rsid w:val="00864AFF"/>
    <w:rsid w:val="00865925"/>
    <w:rsid w:val="00877BF2"/>
    <w:rsid w:val="00891503"/>
    <w:rsid w:val="008A2F06"/>
    <w:rsid w:val="008B4A6A"/>
    <w:rsid w:val="008B774C"/>
    <w:rsid w:val="008C7E27"/>
    <w:rsid w:val="008F3822"/>
    <w:rsid w:val="008F7448"/>
    <w:rsid w:val="0090147A"/>
    <w:rsid w:val="0090389B"/>
    <w:rsid w:val="009173EF"/>
    <w:rsid w:val="009266BB"/>
    <w:rsid w:val="00932906"/>
    <w:rsid w:val="00961860"/>
    <w:rsid w:val="00961B0B"/>
    <w:rsid w:val="00962D33"/>
    <w:rsid w:val="009A70B7"/>
    <w:rsid w:val="009B38C3"/>
    <w:rsid w:val="009E17BD"/>
    <w:rsid w:val="009E485A"/>
    <w:rsid w:val="00A04CEC"/>
    <w:rsid w:val="00A27F92"/>
    <w:rsid w:val="00A32257"/>
    <w:rsid w:val="00A36D20"/>
    <w:rsid w:val="00A43C03"/>
    <w:rsid w:val="00A46CD0"/>
    <w:rsid w:val="00A514A4"/>
    <w:rsid w:val="00A52C84"/>
    <w:rsid w:val="00A55622"/>
    <w:rsid w:val="00A83502"/>
    <w:rsid w:val="00AD15B3"/>
    <w:rsid w:val="00AD3606"/>
    <w:rsid w:val="00AD4A3D"/>
    <w:rsid w:val="00AF6E49"/>
    <w:rsid w:val="00B04A67"/>
    <w:rsid w:val="00B0583C"/>
    <w:rsid w:val="00B248BC"/>
    <w:rsid w:val="00B358B2"/>
    <w:rsid w:val="00B35CC6"/>
    <w:rsid w:val="00B40A81"/>
    <w:rsid w:val="00B44910"/>
    <w:rsid w:val="00B6170C"/>
    <w:rsid w:val="00B72267"/>
    <w:rsid w:val="00B73DD1"/>
    <w:rsid w:val="00B76EB6"/>
    <w:rsid w:val="00B7737B"/>
    <w:rsid w:val="00B824C8"/>
    <w:rsid w:val="00B849D3"/>
    <w:rsid w:val="00B84B9D"/>
    <w:rsid w:val="00BA3A51"/>
    <w:rsid w:val="00BC1EF9"/>
    <w:rsid w:val="00BC251A"/>
    <w:rsid w:val="00BD032B"/>
    <w:rsid w:val="00BD0614"/>
    <w:rsid w:val="00BD094B"/>
    <w:rsid w:val="00BE2640"/>
    <w:rsid w:val="00C01189"/>
    <w:rsid w:val="00C26474"/>
    <w:rsid w:val="00C354AF"/>
    <w:rsid w:val="00C374DE"/>
    <w:rsid w:val="00C40C4C"/>
    <w:rsid w:val="00C47AD4"/>
    <w:rsid w:val="00C52D81"/>
    <w:rsid w:val="00C55198"/>
    <w:rsid w:val="00C725C6"/>
    <w:rsid w:val="00C922C7"/>
    <w:rsid w:val="00CA6393"/>
    <w:rsid w:val="00CB18FF"/>
    <w:rsid w:val="00CB24AA"/>
    <w:rsid w:val="00CD0C08"/>
    <w:rsid w:val="00CD3C91"/>
    <w:rsid w:val="00CE03FB"/>
    <w:rsid w:val="00CE433C"/>
    <w:rsid w:val="00CF0161"/>
    <w:rsid w:val="00CF33F3"/>
    <w:rsid w:val="00D06183"/>
    <w:rsid w:val="00D22C42"/>
    <w:rsid w:val="00D45669"/>
    <w:rsid w:val="00D464CC"/>
    <w:rsid w:val="00D522F6"/>
    <w:rsid w:val="00D65041"/>
    <w:rsid w:val="00D65A02"/>
    <w:rsid w:val="00D67039"/>
    <w:rsid w:val="00D86E6C"/>
    <w:rsid w:val="00DB00D5"/>
    <w:rsid w:val="00DB1936"/>
    <w:rsid w:val="00DB384B"/>
    <w:rsid w:val="00DF0189"/>
    <w:rsid w:val="00E06FD5"/>
    <w:rsid w:val="00E10E80"/>
    <w:rsid w:val="00E124F0"/>
    <w:rsid w:val="00E17782"/>
    <w:rsid w:val="00E227F3"/>
    <w:rsid w:val="00E33254"/>
    <w:rsid w:val="00E4728B"/>
    <w:rsid w:val="00E545C6"/>
    <w:rsid w:val="00E60F04"/>
    <w:rsid w:val="00E63EFF"/>
    <w:rsid w:val="00E65B24"/>
    <w:rsid w:val="00E70C01"/>
    <w:rsid w:val="00E854E4"/>
    <w:rsid w:val="00E86DBF"/>
    <w:rsid w:val="00EB0D6F"/>
    <w:rsid w:val="00EB2232"/>
    <w:rsid w:val="00EC5337"/>
    <w:rsid w:val="00EE49E8"/>
    <w:rsid w:val="00F10B59"/>
    <w:rsid w:val="00F16BAB"/>
    <w:rsid w:val="00F2150A"/>
    <w:rsid w:val="00F231D8"/>
    <w:rsid w:val="00F3761C"/>
    <w:rsid w:val="00F44C00"/>
    <w:rsid w:val="00F45D2C"/>
    <w:rsid w:val="00F46C5F"/>
    <w:rsid w:val="00F632C0"/>
    <w:rsid w:val="00F74694"/>
    <w:rsid w:val="00F86596"/>
    <w:rsid w:val="00F93FD4"/>
    <w:rsid w:val="00F94A63"/>
    <w:rsid w:val="00FA038F"/>
    <w:rsid w:val="00FA1C28"/>
    <w:rsid w:val="00FB1279"/>
    <w:rsid w:val="00FB5DE7"/>
    <w:rsid w:val="00FB6B76"/>
    <w:rsid w:val="00FB7596"/>
    <w:rsid w:val="00FC0AB7"/>
    <w:rsid w:val="00FC1745"/>
    <w:rsid w:val="00FE4077"/>
    <w:rsid w:val="00FE500D"/>
    <w:rsid w:val="00FE77D2"/>
    <w:rsid w:val="044BE917"/>
    <w:rsid w:val="06E9E0D8"/>
    <w:rsid w:val="2B095232"/>
    <w:rsid w:val="31197378"/>
    <w:rsid w:val="434B3ADD"/>
    <w:rsid w:val="49C01BAB"/>
    <w:rsid w:val="4DBFE8AE"/>
    <w:rsid w:val="5AA22A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9601"/>
  <w15:docId w15:val="{A483A6AD-D8F0-40B5-BFFE-FFC74DA6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B774C"/>
    <w:rPr>
      <w:color w:val="666666"/>
    </w:rPr>
  </w:style>
  <w:style w:type="paragraph" w:customStyle="1" w:styleId="Reasons">
    <w:name w:val="Reasons"/>
    <w:basedOn w:val="Normal"/>
    <w:qFormat/>
    <w:rsid w:val="00C354AF"/>
  </w:style>
  <w:style w:type="paragraph" w:styleId="ListParagraph">
    <w:name w:val="List Paragraph"/>
    <w:basedOn w:val="Normal"/>
    <w:uiPriority w:val="34"/>
    <w:qFormat/>
    <w:rsid w:val="00B6170C"/>
    <w:pPr>
      <w:ind w:left="720"/>
      <w:contextualSpacing/>
    </w:pPr>
  </w:style>
  <w:style w:type="character" w:customStyle="1" w:styleId="normaltextrun">
    <w:name w:val="normaltextrun"/>
    <w:basedOn w:val="DefaultParagraphFont"/>
    <w:rsid w:val="00B6170C"/>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un.org/en/A/RES/70/1" TargetMode="External"/><Relationship Id="rId18" Type="http://schemas.openxmlformats.org/officeDocument/2006/relationships/hyperlink" Target="https://www.itu.int/md/S24-CL-C-0141/en" TargetMode="External"/><Relationship Id="rId26" Type="http://schemas.openxmlformats.org/officeDocument/2006/relationships/hyperlink" Target="https://www.itu.int/pub/R-RES-R.61-3-2023" TargetMode="External"/><Relationship Id="rId39" Type="http://schemas.openxmlformats.org/officeDocument/2006/relationships/footer" Target="footer1.xml"/><Relationship Id="rId21" Type="http://schemas.openxmlformats.org/officeDocument/2006/relationships/hyperlink" Target="https://www.itu.int/pub/T-RES-T.75-2022" TargetMode="External"/><Relationship Id="rId34" Type="http://schemas.openxmlformats.org/officeDocument/2006/relationships/hyperlink" Target="http://www.itu.int/en/ITU-T/Workshops-and-Seminar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council/cwg-wsis/Documents/Resolution172-PP10.pdf" TargetMode="External"/><Relationship Id="rId20" Type="http://schemas.openxmlformats.org/officeDocument/2006/relationships/hyperlink" Target="https://www.itu.int/dms_pub/itu-d/opb/tdc/D-TDC-WTDC-2022-PDF-E.pdf" TargetMode="External"/><Relationship Id="rId29" Type="http://schemas.openxmlformats.org/officeDocument/2006/relationships/hyperlink" Target="https://www.itu.int/pub/R-REP-RS.2489"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wsis/Pages/default.aspx" TargetMode="External"/><Relationship Id="rId24" Type="http://schemas.openxmlformats.org/officeDocument/2006/relationships/hyperlink" Target="https://www.itu.int/md/S25-CWGWSIS42-C-0020/en" TargetMode="External"/><Relationship Id="rId32" Type="http://schemas.openxmlformats.org/officeDocument/2006/relationships/hyperlink" Target="https://www.itu.int/md/meetingdoc.asp?lang=en&amp;parent=S25-CWGWSIS42-INF-0004" TargetMode="External"/><Relationship Id="rId37" Type="http://schemas.openxmlformats.org/officeDocument/2006/relationships/hyperlink" Target="https://www.itu.int/md/D22-TDAG31-C-0002/"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cs.un.org/en/E/RES/2024/13" TargetMode="External"/><Relationship Id="rId23" Type="http://schemas.openxmlformats.org/officeDocument/2006/relationships/hyperlink" Target="https://www.itu.int/en/council/cwg-wsis/Pages/Previous-meetings.aspx" TargetMode="External"/><Relationship Id="rId28" Type="http://schemas.openxmlformats.org/officeDocument/2006/relationships/hyperlink" Target="https://www.itu.int/pub/R-QUE-SG05.266" TargetMode="External"/><Relationship Id="rId36" Type="http://schemas.openxmlformats.org/officeDocument/2006/relationships/hyperlink" Target="https://www.itu.int/en/ITU-T/focusgroups/Pages/default.aspx" TargetMode="External"/><Relationship Id="rId10" Type="http://schemas.openxmlformats.org/officeDocument/2006/relationships/endnotes" Target="endnotes.xml"/><Relationship Id="rId19" Type="http://schemas.openxmlformats.org/officeDocument/2006/relationships/hyperlink" Target="https://www.itu.int/md/S23-CL-C-0120/en" TargetMode="External"/><Relationship Id="rId31" Type="http://schemas.openxmlformats.org/officeDocument/2006/relationships/hyperlink" Target="https://www.itu.int/pub/T-RES-T.75-20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un.org/en/A/RES/77/150" TargetMode="External"/><Relationship Id="rId22" Type="http://schemas.openxmlformats.org/officeDocument/2006/relationships/hyperlink" Target="https://www.itu.int/pub/R-RES-R.61-3-2023" TargetMode="External"/><Relationship Id="rId27" Type="http://schemas.openxmlformats.org/officeDocument/2006/relationships/hyperlink" Target="https://www.itu.int/rec/R-REC-BT.1774/en" TargetMode="External"/><Relationship Id="rId30" Type="http://schemas.openxmlformats.org/officeDocument/2006/relationships/hyperlink" Target="https://www.itu.int/en/itu-wsis/Pages/Contribution.aspx" TargetMode="External"/><Relationship Id="rId35" Type="http://schemas.openxmlformats.org/officeDocument/2006/relationships/hyperlink" Target="https://aiforgood.itu.in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cs.un.org/en/A/RES/70/125" TargetMode="External"/><Relationship Id="rId17" Type="http://schemas.openxmlformats.org/officeDocument/2006/relationships/hyperlink" Target="https://www.itu.int/en/council/Documents/basic-texts-2023/RES-140-E.pdf" TargetMode="External"/><Relationship Id="rId25" Type="http://schemas.openxmlformats.org/officeDocument/2006/relationships/hyperlink" Target="https://www.itu.int/md/S25-CWGWSIS42-INF-0006/en" TargetMode="External"/><Relationship Id="rId33" Type="http://schemas.openxmlformats.org/officeDocument/2006/relationships/hyperlink" Target="https://www.itu.int/pub/T-RES" TargetMode="External"/><Relationship Id="rId38" Type="http://schemas.openxmlformats.org/officeDocument/2006/relationships/hyperlink" Target="https://www.itu.int/md/S25-CWGWSIS42-INF-0005/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1A7F4-6B86-4081-AB7C-DBAC44D380D0}">
  <ds:schemaRefs>
    <ds:schemaRef ds:uri="http://schemas.microsoft.com/office/infopath/2007/PartnerControls"/>
    <ds:schemaRef ds:uri="http://www.w3.org/XML/1998/namespace"/>
    <ds:schemaRef ds:uri="http://schemas.microsoft.com/office/2006/metadata/properties"/>
    <ds:schemaRef ds:uri="http://purl.org/dc/terms/"/>
    <ds:schemaRef ds:uri="http://schemas.openxmlformats.org/package/2006/metadata/core-properties"/>
    <ds:schemaRef ds:uri="a1cf676c-2816-4389-ad5d-0f2e7c7e67c4"/>
    <ds:schemaRef ds:uri="http://purl.org/dc/dcmitype/"/>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F2D81FF7-A1D8-4256-87B7-E8464E7D1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68664-ECB3-4285-854B-89002E993DAE}">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1378</Words>
  <Characters>8609</Characters>
  <Application>Microsoft Office Word</Application>
  <DocSecurity>0</DocSecurity>
  <Lines>149</Lines>
  <Paragraphs>52</Paragraphs>
  <ScaleCrop>false</ScaleCrop>
  <HeadingPairs>
    <vt:vector size="2" baseType="variant">
      <vt:variant>
        <vt:lpstr>Title</vt:lpstr>
      </vt:variant>
      <vt:variant>
        <vt:i4>1</vt:i4>
      </vt:variant>
    </vt:vector>
  </HeadingPairs>
  <TitlesOfParts>
    <vt:vector size="1" baseType="lpstr">
      <vt:lpstr>Update on the implementation of the WTDC, WTSA and RA resolutions on WSIS</vt:lpstr>
    </vt:vector>
  </TitlesOfParts>
  <Manager/>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the implementation of the WTDC, WTSA and RA resolutions on WSIS</dc:title>
  <dc:subject>ITU Council Working Group on WSIS &amp; SDGs</dc:subject>
  <cp:keywords>CWG-WSIS&amp;SDG</cp:keywords>
  <dc:description/>
  <dcterms:created xsi:type="dcterms:W3CDTF">2025-08-08T16:49:00Z</dcterms:created>
  <dcterms:modified xsi:type="dcterms:W3CDTF">2025-08-08T16:51:00Z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121a3878e702ab8b67a06db510e17810567b77f1d8e8bd8f321776b21a61f2c9</vt:lpwstr>
  </property>
  <property fmtid="{D5CDD505-2E9C-101B-9397-08002B2CF9AE}" pid="3" name="ContentTypeId">
    <vt:lpwstr>0x01010096B2CC4DF5F10149B2E37F08EDC3AC3A</vt:lpwstr>
  </property>
  <property fmtid="{D5CDD505-2E9C-101B-9397-08002B2CF9AE}" pid="4" name="MediaServiceImageTags">
    <vt:lpwstr/>
  </property>
</Properties>
</file>