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2725E"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5F7E2FBA"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6D5483">
              <w:rPr>
                <w:b/>
                <w:lang w:val="fr-FR"/>
              </w:rPr>
              <w:t>14</w:t>
            </w:r>
          </w:p>
        </w:tc>
      </w:tr>
      <w:tr w:rsidR="00AD3606" w:rsidRPr="00147C54" w14:paraId="0341936A" w14:textId="77777777" w:rsidTr="00AD3606">
        <w:trPr>
          <w:cantSplit/>
        </w:trPr>
        <w:tc>
          <w:tcPr>
            <w:tcW w:w="3969" w:type="dxa"/>
            <w:vMerge/>
          </w:tcPr>
          <w:p w14:paraId="2577A32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BA8307" w14:textId="013009D7" w:rsidR="00AD3606" w:rsidRPr="00147C54" w:rsidRDefault="006D5483" w:rsidP="00AD3606">
            <w:pPr>
              <w:tabs>
                <w:tab w:val="left" w:pos="851"/>
              </w:tabs>
              <w:spacing w:before="0"/>
              <w:jc w:val="right"/>
              <w:rPr>
                <w:b/>
              </w:rPr>
            </w:pPr>
            <w:r>
              <w:rPr>
                <w:b/>
              </w:rPr>
              <w:t>28 January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AD3606" w:rsidRPr="00147C54" w14:paraId="7DF2E78F" w14:textId="77777777" w:rsidTr="00AD3606">
        <w:trPr>
          <w:cantSplit/>
        </w:trPr>
        <w:tc>
          <w:tcPr>
            <w:tcW w:w="9214" w:type="dxa"/>
            <w:gridSpan w:val="2"/>
            <w:tcMar>
              <w:left w:w="0" w:type="dxa"/>
            </w:tcMar>
          </w:tcPr>
          <w:p w14:paraId="06E7995B" w14:textId="661D26B0" w:rsidR="00AD3606" w:rsidRPr="00147C54" w:rsidRDefault="006D5483" w:rsidP="00E4728B">
            <w:pPr>
              <w:pStyle w:val="Source"/>
              <w:framePr w:hSpace="0" w:wrap="auto" w:vAnchor="margin" w:hAnchor="text" w:xAlign="left" w:yAlign="inline"/>
            </w:pPr>
            <w:bookmarkStart w:id="8" w:name="dsource" w:colFirst="0" w:colLast="0"/>
            <w:bookmarkEnd w:id="7"/>
            <w:r>
              <w:t>Contribution by the People’s Republic of China</w:t>
            </w:r>
          </w:p>
        </w:tc>
      </w:tr>
      <w:tr w:rsidR="00AD3606" w:rsidRPr="00147C54" w14:paraId="2516B450" w14:textId="77777777" w:rsidTr="00AD3606">
        <w:trPr>
          <w:cantSplit/>
        </w:trPr>
        <w:tc>
          <w:tcPr>
            <w:tcW w:w="9214" w:type="dxa"/>
            <w:gridSpan w:val="2"/>
            <w:tcMar>
              <w:left w:w="0" w:type="dxa"/>
            </w:tcMar>
          </w:tcPr>
          <w:p w14:paraId="6AAA5F4B" w14:textId="5C44AA62" w:rsidR="00AD3606" w:rsidRPr="00147C54" w:rsidRDefault="006D5483" w:rsidP="006D5483">
            <w:pPr>
              <w:pStyle w:val="Subtitle"/>
              <w:framePr w:hSpace="0" w:wrap="auto" w:xAlign="left" w:yAlign="inline"/>
            </w:pPr>
            <w:bookmarkStart w:id="9" w:name="dtitle1" w:colFirst="0" w:colLast="0"/>
            <w:bookmarkEnd w:id="8"/>
            <w:r w:rsidRPr="006D5483">
              <w:rPr>
                <w:rFonts w:hint="eastAsia"/>
                <w:lang w:val="en-US"/>
              </w:rPr>
              <w:t>ENHANCING THE JOINT EFFORTS ON AI CAPACITY-BUILDING OF ITU</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147C54" w:rsidRDefault="00F16BAB" w:rsidP="00F16BAB">
            <w:pPr>
              <w:spacing w:before="160"/>
              <w:rPr>
                <w:b/>
                <w:bCs/>
                <w:sz w:val="26"/>
                <w:szCs w:val="26"/>
              </w:rPr>
            </w:pPr>
            <w:r w:rsidRPr="00147C54">
              <w:rPr>
                <w:b/>
                <w:bCs/>
                <w:sz w:val="26"/>
                <w:szCs w:val="26"/>
              </w:rPr>
              <w:t>Purpose</w:t>
            </w:r>
          </w:p>
          <w:p w14:paraId="4D048BE1" w14:textId="015196E2" w:rsidR="00AD3606" w:rsidRPr="00147C54" w:rsidRDefault="006D5483" w:rsidP="006D5483">
            <w:pPr>
              <w:jc w:val="both"/>
            </w:pPr>
            <w:r w:rsidRPr="006D5483">
              <w:t>This contribution puts forward recommendations on strengthening artificial intelligence capacity building of International Telecommunication Union (ITU), aiming to integrate all the efforts of the Union, which will assist ITU members, especially developing countries better bridging the digital divide brought by emerging technologies such as artificial intelligence.</w:t>
            </w:r>
          </w:p>
          <w:p w14:paraId="42771513" w14:textId="77777777" w:rsidR="00AD3606" w:rsidRPr="00147C54" w:rsidRDefault="00AD3606" w:rsidP="00F16BAB">
            <w:pPr>
              <w:spacing w:before="160"/>
              <w:rPr>
                <w:b/>
                <w:bCs/>
                <w:sz w:val="26"/>
                <w:szCs w:val="26"/>
              </w:rPr>
            </w:pPr>
            <w:r w:rsidRPr="00147C54">
              <w:rPr>
                <w:b/>
                <w:bCs/>
                <w:sz w:val="26"/>
                <w:szCs w:val="26"/>
              </w:rPr>
              <w:t>Action required</w:t>
            </w:r>
          </w:p>
          <w:p w14:paraId="6D7047AD" w14:textId="583CE91B" w:rsidR="0025570E" w:rsidRPr="004405AB" w:rsidRDefault="00227AAB" w:rsidP="006D5483">
            <w:pPr>
              <w:spacing w:before="160"/>
            </w:pPr>
            <w:r w:rsidRPr="00754DFC">
              <w:rPr>
                <w:szCs w:val="24"/>
              </w:rPr>
              <w:t xml:space="preserve">The Council Working Group on WSIS and the SDGs is invited to </w:t>
            </w:r>
            <w:r w:rsidR="006D5483" w:rsidRPr="006D5483">
              <w:rPr>
                <w:b/>
                <w:bCs/>
                <w:szCs w:val="24"/>
              </w:rPr>
              <w:t>consider</w:t>
            </w:r>
            <w:r w:rsidR="006D5483" w:rsidRPr="006D5483">
              <w:rPr>
                <w:szCs w:val="24"/>
              </w:rPr>
              <w:t xml:space="preserve"> this document</w:t>
            </w:r>
            <w:r w:rsidR="006D5483" w:rsidRPr="006D5483">
              <w:rPr>
                <w:rFonts w:hint="eastAsia"/>
                <w:szCs w:val="24"/>
                <w:lang w:val="en-US"/>
              </w:rPr>
              <w:t xml:space="preserve"> and </w:t>
            </w:r>
            <w:r w:rsidR="006D5483" w:rsidRPr="006D5483">
              <w:rPr>
                <w:rFonts w:hint="eastAsia"/>
                <w:b/>
                <w:bCs/>
                <w:szCs w:val="24"/>
                <w:lang w:val="en-US"/>
              </w:rPr>
              <w:t>adopt</w:t>
            </w:r>
            <w:r w:rsidR="006D5483" w:rsidRPr="006D5483">
              <w:rPr>
                <w:rFonts w:hint="eastAsia"/>
                <w:szCs w:val="24"/>
                <w:lang w:val="en-US"/>
              </w:rPr>
              <w:t xml:space="preserve"> the recommendations</w:t>
            </w:r>
            <w:r w:rsidR="006D5483" w:rsidRPr="006D5483">
              <w:rPr>
                <w:szCs w:val="24"/>
              </w:rPr>
              <w: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37C2A88F" w14:textId="299AB749" w:rsidR="006D5483" w:rsidRPr="006D5483" w:rsidRDefault="006D5483" w:rsidP="006D5483">
            <w:pPr>
              <w:spacing w:before="160"/>
              <w:rPr>
                <w:i/>
                <w:iCs/>
                <w:sz w:val="22"/>
                <w:szCs w:val="22"/>
              </w:rPr>
            </w:pPr>
            <w:r w:rsidRPr="006D5483">
              <w:rPr>
                <w:rFonts w:hint="eastAsia"/>
                <w:i/>
                <w:iCs/>
                <w:sz w:val="22"/>
                <w:szCs w:val="22"/>
              </w:rPr>
              <w:t xml:space="preserve">Resolutions </w:t>
            </w:r>
            <w:hyperlink r:id="rId8" w:history="1">
              <w:r w:rsidRPr="006D5483">
                <w:rPr>
                  <w:rStyle w:val="Hyperlink"/>
                  <w:rFonts w:hint="eastAsia"/>
                  <w:i/>
                  <w:iCs/>
                  <w:sz w:val="22"/>
                  <w:szCs w:val="22"/>
                </w:rPr>
                <w:t>140</w:t>
              </w:r>
            </w:hyperlink>
            <w:r w:rsidRPr="006D5483">
              <w:rPr>
                <w:rFonts w:hint="eastAsia"/>
                <w:i/>
                <w:iCs/>
                <w:sz w:val="22"/>
                <w:szCs w:val="22"/>
              </w:rPr>
              <w:t xml:space="preserve"> (Rev. Bucharest, 2022) and </w:t>
            </w:r>
            <w:hyperlink r:id="rId9" w:history="1">
              <w:r w:rsidRPr="006D5483">
                <w:rPr>
                  <w:rStyle w:val="Hyperlink"/>
                  <w:rFonts w:hint="eastAsia"/>
                  <w:i/>
                  <w:iCs/>
                  <w:sz w:val="22"/>
                  <w:szCs w:val="22"/>
                </w:rPr>
                <w:t>214</w:t>
              </w:r>
            </w:hyperlink>
            <w:r w:rsidRPr="006D5483">
              <w:rPr>
                <w:rFonts w:hint="eastAsia"/>
                <w:i/>
                <w:iCs/>
                <w:sz w:val="22"/>
                <w:szCs w:val="22"/>
              </w:rPr>
              <w:t xml:space="preserve"> (Bucharest, 2022)</w:t>
            </w:r>
            <w:r>
              <w:rPr>
                <w:i/>
                <w:iCs/>
                <w:sz w:val="22"/>
                <w:szCs w:val="22"/>
              </w:rPr>
              <w:t xml:space="preserve"> of the Plenipotentiary Conference</w:t>
            </w:r>
            <w:r w:rsidRPr="006D5483">
              <w:rPr>
                <w:rFonts w:hint="eastAsia"/>
                <w:i/>
                <w:iCs/>
                <w:sz w:val="22"/>
                <w:szCs w:val="22"/>
              </w:rPr>
              <w:t>; Council Resolution </w:t>
            </w:r>
            <w:hyperlink r:id="rId10" w:history="1">
              <w:r w:rsidRPr="006D5483">
                <w:rPr>
                  <w:rStyle w:val="Hyperlink"/>
                  <w:rFonts w:hint="eastAsia"/>
                  <w:i/>
                  <w:iCs/>
                  <w:sz w:val="22"/>
                  <w:szCs w:val="22"/>
                </w:rPr>
                <w:t>1332</w:t>
              </w:r>
            </w:hyperlink>
            <w:r w:rsidRPr="006D5483">
              <w:rPr>
                <w:rFonts w:hint="eastAsia"/>
                <w:i/>
                <w:iCs/>
                <w:sz w:val="22"/>
                <w:szCs w:val="22"/>
              </w:rPr>
              <w:t xml:space="preserve"> (C11, last amended C24); </w:t>
            </w:r>
          </w:p>
          <w:p w14:paraId="41C942E7" w14:textId="5CEC623F" w:rsidR="006D5483" w:rsidRPr="006D5483" w:rsidRDefault="006D5483" w:rsidP="006D5483">
            <w:pPr>
              <w:spacing w:before="160"/>
              <w:rPr>
                <w:i/>
                <w:iCs/>
                <w:sz w:val="22"/>
                <w:szCs w:val="22"/>
              </w:rPr>
            </w:pPr>
            <w:r w:rsidRPr="006D5483">
              <w:rPr>
                <w:rFonts w:hint="eastAsia"/>
                <w:i/>
                <w:iCs/>
                <w:sz w:val="22"/>
                <w:szCs w:val="22"/>
              </w:rPr>
              <w:t xml:space="preserve">Council </w:t>
            </w:r>
            <w:r w:rsidRPr="006D5483">
              <w:rPr>
                <w:rFonts w:hint="eastAsia"/>
                <w:i/>
                <w:iCs/>
                <w:sz w:val="22"/>
                <w:szCs w:val="22"/>
                <w:lang w:val="en-US"/>
              </w:rPr>
              <w:t xml:space="preserve">and CWG </w:t>
            </w:r>
            <w:r w:rsidRPr="006D5483">
              <w:rPr>
                <w:rFonts w:hint="eastAsia"/>
                <w:i/>
                <w:iCs/>
                <w:sz w:val="22"/>
                <w:szCs w:val="22"/>
              </w:rPr>
              <w:t xml:space="preserve">Documents </w:t>
            </w:r>
            <w:hyperlink r:id="rId11" w:history="1">
              <w:r w:rsidRPr="006D5483">
                <w:rPr>
                  <w:rStyle w:val="Hyperlink"/>
                  <w:rFonts w:hint="eastAsia"/>
                  <w:i/>
                  <w:iCs/>
                  <w:sz w:val="22"/>
                  <w:szCs w:val="22"/>
                </w:rPr>
                <w:t>C24/35</w:t>
              </w:r>
            </w:hyperlink>
            <w:r w:rsidRPr="006D5483">
              <w:rPr>
                <w:rFonts w:hint="eastAsia"/>
                <w:i/>
                <w:iCs/>
                <w:sz w:val="22"/>
                <w:szCs w:val="22"/>
              </w:rPr>
              <w:t xml:space="preserve">, </w:t>
            </w:r>
            <w:hyperlink r:id="rId12" w:history="1">
              <w:r w:rsidRPr="006D5483">
                <w:rPr>
                  <w:rStyle w:val="Hyperlink"/>
                  <w:rFonts w:hint="eastAsia"/>
                  <w:i/>
                  <w:iCs/>
                  <w:sz w:val="22"/>
                  <w:szCs w:val="22"/>
                </w:rPr>
                <w:t>C24/67</w:t>
              </w:r>
            </w:hyperlink>
            <w:r w:rsidRPr="006D5483">
              <w:rPr>
                <w:rFonts w:hint="eastAsia"/>
                <w:i/>
                <w:iCs/>
                <w:sz w:val="22"/>
                <w:szCs w:val="22"/>
                <w:lang w:val="en-US"/>
              </w:rPr>
              <w:t>,</w:t>
            </w:r>
            <w:r w:rsidRPr="006D5483">
              <w:rPr>
                <w:rFonts w:hint="eastAsia"/>
                <w:i/>
                <w:iCs/>
                <w:sz w:val="22"/>
                <w:szCs w:val="22"/>
              </w:rPr>
              <w:t xml:space="preserve"> </w:t>
            </w:r>
            <w:hyperlink r:id="rId13" w:history="1">
              <w:r w:rsidRPr="006D5483">
                <w:rPr>
                  <w:rStyle w:val="Hyperlink"/>
                  <w:rFonts w:hint="eastAsia"/>
                  <w:i/>
                  <w:iCs/>
                  <w:sz w:val="22"/>
                  <w:szCs w:val="22"/>
                </w:rPr>
                <w:t>C24/INF/15</w:t>
              </w:r>
            </w:hyperlink>
            <w:r w:rsidRPr="006D5483">
              <w:rPr>
                <w:rFonts w:hint="eastAsia"/>
                <w:i/>
                <w:iCs/>
                <w:sz w:val="22"/>
                <w:szCs w:val="22"/>
                <w:lang w:val="en-US"/>
              </w:rPr>
              <w:t xml:space="preserve">, </w:t>
            </w:r>
            <w:hyperlink r:id="rId14" w:history="1">
              <w:r w:rsidRPr="006D5483">
                <w:rPr>
                  <w:rStyle w:val="Hyperlink"/>
                  <w:rFonts w:hint="eastAsia"/>
                  <w:i/>
                  <w:iCs/>
                  <w:sz w:val="22"/>
                  <w:szCs w:val="22"/>
                </w:rPr>
                <w:t>CWG-WSIS&amp;SDG-4</w:t>
              </w:r>
              <w:r w:rsidRPr="006D5483">
                <w:rPr>
                  <w:rStyle w:val="Hyperlink"/>
                  <w:rFonts w:hint="eastAsia"/>
                  <w:i/>
                  <w:iCs/>
                  <w:sz w:val="22"/>
                  <w:szCs w:val="22"/>
                  <w:lang w:val="en-US"/>
                </w:rPr>
                <w:t>2</w:t>
              </w:r>
              <w:r w:rsidRPr="006D5483">
                <w:rPr>
                  <w:rStyle w:val="Hyperlink"/>
                  <w:rFonts w:hint="eastAsia"/>
                  <w:i/>
                  <w:iCs/>
                  <w:sz w:val="22"/>
                  <w:szCs w:val="22"/>
                </w:rPr>
                <w:t>/</w:t>
              </w:r>
              <w:r w:rsidRPr="006D5483">
                <w:rPr>
                  <w:rStyle w:val="Hyperlink"/>
                  <w:rFonts w:hint="eastAsia"/>
                  <w:i/>
                  <w:iCs/>
                  <w:sz w:val="22"/>
                  <w:szCs w:val="22"/>
                  <w:lang w:val="en-US"/>
                </w:rPr>
                <w:t>6</w:t>
              </w:r>
            </w:hyperlink>
            <w:r w:rsidRPr="006D5483">
              <w:rPr>
                <w:rFonts w:hint="eastAsia"/>
                <w:i/>
                <w:iCs/>
                <w:sz w:val="22"/>
                <w:szCs w:val="22"/>
                <w:lang w:val="en-US"/>
              </w:rPr>
              <w:t xml:space="preserve">, </w:t>
            </w:r>
            <w:hyperlink r:id="rId15" w:history="1">
              <w:r w:rsidRPr="006D5483">
                <w:rPr>
                  <w:rStyle w:val="Hyperlink"/>
                  <w:rFonts w:hint="eastAsia"/>
                  <w:i/>
                  <w:iCs/>
                  <w:sz w:val="22"/>
                  <w:szCs w:val="22"/>
                </w:rPr>
                <w:t>CWG-WSIS&amp;SDG-41/18</w:t>
              </w:r>
            </w:hyperlink>
            <w:r w:rsidRPr="006D5483">
              <w:rPr>
                <w:rFonts w:hint="eastAsia"/>
                <w:i/>
                <w:iCs/>
                <w:sz w:val="22"/>
                <w:szCs w:val="22"/>
                <w:lang w:val="en-US"/>
              </w:rPr>
              <w:t xml:space="preserve">, </w:t>
            </w:r>
            <w:hyperlink r:id="rId16" w:history="1">
              <w:r w:rsidRPr="006D5483">
                <w:rPr>
                  <w:rStyle w:val="Hyperlink"/>
                  <w:rFonts w:hint="eastAsia"/>
                  <w:i/>
                  <w:iCs/>
                  <w:sz w:val="22"/>
                  <w:szCs w:val="22"/>
                  <w:lang w:val="en-US"/>
                </w:rPr>
                <w:t>CWG-WSIS&amp;SDG-41/15 (Rev.1)</w:t>
              </w:r>
            </w:hyperlink>
            <w:r w:rsidRPr="006D5483">
              <w:rPr>
                <w:rFonts w:hint="eastAsia"/>
                <w:i/>
                <w:iCs/>
                <w:sz w:val="22"/>
                <w:szCs w:val="22"/>
              </w:rPr>
              <w:t>;</w:t>
            </w:r>
          </w:p>
          <w:p w14:paraId="1569BD8A" w14:textId="7E75800D" w:rsidR="00AD3606" w:rsidRPr="0009569D" w:rsidRDefault="006D5483" w:rsidP="006D5483">
            <w:pPr>
              <w:spacing w:after="160"/>
              <w:rPr>
                <w:i/>
                <w:iCs/>
                <w:sz w:val="22"/>
                <w:szCs w:val="22"/>
              </w:rPr>
            </w:pPr>
            <w:r w:rsidRPr="006D5483">
              <w:rPr>
                <w:rFonts w:hint="eastAsia"/>
                <w:i/>
                <w:iCs/>
                <w:sz w:val="22"/>
                <w:szCs w:val="22"/>
              </w:rPr>
              <w:t xml:space="preserve">UNGA Resolutions </w:t>
            </w:r>
            <w:hyperlink r:id="rId17" w:history="1">
              <w:r w:rsidRPr="00622D41">
                <w:rPr>
                  <w:rStyle w:val="Hyperlink"/>
                  <w:rFonts w:hint="eastAsia"/>
                  <w:i/>
                  <w:iCs/>
                  <w:sz w:val="22"/>
                  <w:szCs w:val="22"/>
                  <w:lang w:val="en-US"/>
                </w:rPr>
                <w:t>79/1</w:t>
              </w:r>
            </w:hyperlink>
            <w:r w:rsidRPr="006D5483">
              <w:rPr>
                <w:rFonts w:hint="eastAsia"/>
                <w:i/>
                <w:iCs/>
                <w:sz w:val="22"/>
                <w:szCs w:val="22"/>
                <w:lang w:val="en-US"/>
              </w:rPr>
              <w:t xml:space="preserve">, </w:t>
            </w:r>
            <w:hyperlink r:id="rId18" w:history="1">
              <w:r w:rsidRPr="00622D41">
                <w:rPr>
                  <w:rStyle w:val="Hyperlink"/>
                  <w:rFonts w:hint="eastAsia"/>
                  <w:i/>
                  <w:iCs/>
                  <w:sz w:val="22"/>
                  <w:szCs w:val="22"/>
                </w:rPr>
                <w:t>78/311</w:t>
              </w:r>
            </w:hyperlink>
            <w:r w:rsidRPr="006D5483">
              <w:rPr>
                <w:rFonts w:hint="eastAsia"/>
                <w:i/>
                <w:iCs/>
                <w:sz w:val="22"/>
                <w:szCs w:val="22"/>
                <w:lang w:val="en-US"/>
              </w:rPr>
              <w:t xml:space="preserve">, </w:t>
            </w:r>
            <w:hyperlink r:id="rId19" w:history="1">
              <w:r w:rsidRPr="00622D41">
                <w:rPr>
                  <w:rStyle w:val="Hyperlink"/>
                  <w:rFonts w:hint="eastAsia"/>
                  <w:i/>
                  <w:iCs/>
                  <w:sz w:val="22"/>
                  <w:szCs w:val="22"/>
                </w:rPr>
                <w:t>78/265</w:t>
              </w:r>
            </w:hyperlink>
            <w:r w:rsidRPr="006D5483">
              <w:rPr>
                <w:rFonts w:hint="eastAsia"/>
                <w:i/>
                <w:iCs/>
                <w:sz w:val="22"/>
                <w:szCs w:val="22"/>
                <w:lang w:val="en-US"/>
              </w:rPr>
              <w:t xml:space="preserve">, </w:t>
            </w:r>
            <w:hyperlink r:id="rId20" w:history="1">
              <w:r w:rsidRPr="00622D41">
                <w:rPr>
                  <w:rStyle w:val="Hyperlink"/>
                  <w:rFonts w:hint="eastAsia"/>
                  <w:i/>
                  <w:iCs/>
                  <w:sz w:val="22"/>
                  <w:szCs w:val="22"/>
                  <w:lang w:val="en-US"/>
                </w:rPr>
                <w:t>60/252</w:t>
              </w:r>
            </w:hyperlink>
            <w:r w:rsidRPr="006D5483">
              <w:rPr>
                <w:rFonts w:hint="eastAsia"/>
                <w:i/>
                <w:iCs/>
                <w:sz w:val="22"/>
                <w:szCs w:val="22"/>
                <w:lang w:val="en-US"/>
              </w:rPr>
              <w:t xml:space="preserve">, </w:t>
            </w:r>
            <w:hyperlink r:id="rId21" w:history="1">
              <w:r w:rsidRPr="00622D41">
                <w:rPr>
                  <w:rStyle w:val="Hyperlink"/>
                  <w:rFonts w:hint="eastAsia"/>
                  <w:i/>
                  <w:iCs/>
                  <w:sz w:val="22"/>
                  <w:szCs w:val="22"/>
                  <w:lang w:val="en-US"/>
                </w:rPr>
                <w:t>59/220</w:t>
              </w:r>
            </w:hyperlink>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B078B92" w14:textId="515AD69C" w:rsidR="006D5483" w:rsidRDefault="006D5483" w:rsidP="006D5483">
      <w:pPr>
        <w:tabs>
          <w:tab w:val="clear" w:pos="567"/>
          <w:tab w:val="clear" w:pos="1134"/>
          <w:tab w:val="clear" w:pos="1701"/>
          <w:tab w:val="clear" w:pos="2268"/>
          <w:tab w:val="clear" w:pos="2835"/>
        </w:tabs>
        <w:overflowPunct/>
        <w:autoSpaceDE/>
        <w:autoSpaceDN/>
        <w:adjustRightInd/>
        <w:spacing w:after="120"/>
        <w:textAlignment w:val="auto"/>
        <w:rPr>
          <w:rFonts w:eastAsia="SimSun" w:cs="SimSun"/>
          <w:b/>
          <w:bCs/>
          <w:i/>
          <w:iCs/>
          <w:szCs w:val="24"/>
          <w:lang w:val="en-US" w:eastAsia="zh-CN"/>
        </w:rPr>
      </w:pPr>
      <w:r>
        <w:rPr>
          <w:rFonts w:eastAsia="SimSun" w:cs="SimSun" w:hint="eastAsia"/>
          <w:b/>
          <w:bCs/>
          <w:szCs w:val="24"/>
          <w:lang w:val="en-US" w:eastAsia="zh-CN"/>
        </w:rPr>
        <w:lastRenderedPageBreak/>
        <w:t>1.</w:t>
      </w:r>
      <w:r>
        <w:rPr>
          <w:rFonts w:eastAsia="SimSun" w:cs="SimSun"/>
          <w:b/>
          <w:bCs/>
          <w:szCs w:val="24"/>
          <w:lang w:val="en-US" w:eastAsia="zh-CN"/>
        </w:rPr>
        <w:tab/>
      </w:r>
      <w:r>
        <w:rPr>
          <w:rFonts w:eastAsia="SimSun" w:cs="SimSun"/>
          <w:b/>
          <w:bCs/>
          <w:szCs w:val="24"/>
          <w:lang w:val="en-US" w:eastAsia="zh-CN"/>
        </w:rPr>
        <w:t>Background</w:t>
      </w:r>
    </w:p>
    <w:p w14:paraId="7B823AEC" w14:textId="77777777" w:rsidR="006D5483" w:rsidRDefault="006D5483" w:rsidP="006D5483">
      <w:pPr>
        <w:tabs>
          <w:tab w:val="clear" w:pos="567"/>
          <w:tab w:val="clear" w:pos="1134"/>
          <w:tab w:val="clear" w:pos="1701"/>
          <w:tab w:val="clear" w:pos="2268"/>
          <w:tab w:val="clear" w:pos="2835"/>
        </w:tabs>
        <w:overflowPunct/>
        <w:autoSpaceDE/>
        <w:autoSpaceDN/>
        <w:snapToGrid w:val="0"/>
        <w:spacing w:after="120"/>
        <w:jc w:val="both"/>
        <w:textAlignment w:val="auto"/>
        <w:rPr>
          <w:lang w:val="en-US" w:eastAsia="zh-CN"/>
        </w:rPr>
      </w:pPr>
      <w:r>
        <w:rPr>
          <w:rFonts w:eastAsia="SimSun" w:cs="Calibri" w:hint="eastAsia"/>
          <w:szCs w:val="24"/>
          <w:lang w:val="en-US" w:eastAsia="zh-CN"/>
        </w:rPr>
        <w:t>The rapid development of artificial intelligence (AI) technologies and applications has made AI a key driver for telecommunications/ICT to promote universal and sustainable digital connectivity and achieve the Sustainable Development Goals (SDGs). However, the unbalanced development of AI technologies has become increasingly prominent. Most countries, especially the developing ones, have not truly benefited from it. To accelerate the building of a universal, just, open, and people-centered information and digital society, providing tailored capacity building to developing countries has become more urgent than ever.</w:t>
      </w:r>
    </w:p>
    <w:p w14:paraId="4E1B7C99" w14:textId="77777777" w:rsidR="006D5483" w:rsidRDefault="006D5483" w:rsidP="006D5483">
      <w:pPr>
        <w:tabs>
          <w:tab w:val="clear" w:pos="567"/>
          <w:tab w:val="clear" w:pos="1134"/>
          <w:tab w:val="clear" w:pos="1701"/>
          <w:tab w:val="clear" w:pos="2268"/>
          <w:tab w:val="clear" w:pos="2835"/>
        </w:tabs>
        <w:overflowPunct/>
        <w:autoSpaceDE/>
        <w:autoSpaceDN/>
        <w:snapToGrid w:val="0"/>
        <w:spacing w:after="120"/>
        <w:jc w:val="both"/>
        <w:textAlignment w:val="auto"/>
        <w:rPr>
          <w:lang w:val="en-US" w:eastAsia="zh-CN"/>
        </w:rPr>
      </w:pPr>
      <w:r>
        <w:rPr>
          <w:rFonts w:hint="eastAsia"/>
          <w:lang w:val="en-US" w:eastAsia="zh-CN"/>
        </w:rPr>
        <w:t xml:space="preserve">In 2024, the United Nations General Assembly, by adopting resolution78/311, urges specialized agencies, funds, programmes, other entities, bodies and offices, and related organizations of the United Nations system, within their respective mandates and resources, to leverage the opportunities and address the challenges in enhancing international cooperation on artificial intelligence capacity. The Global Digital Compact that was adopted by the Summit of the Future also encourages the development of international partnerships on artificial intelligence capacity-building to develop education and training </w:t>
      </w:r>
      <w:proofErr w:type="gramStart"/>
      <w:r>
        <w:rPr>
          <w:rFonts w:hint="eastAsia"/>
          <w:lang w:val="en-US" w:eastAsia="zh-CN"/>
        </w:rPr>
        <w:t>programmes, and</w:t>
      </w:r>
      <w:proofErr w:type="gramEnd"/>
      <w:r>
        <w:rPr>
          <w:rFonts w:hint="eastAsia"/>
          <w:lang w:val="en-US" w:eastAsia="zh-CN"/>
        </w:rPr>
        <w:t xml:space="preserve"> increase access to resources.</w:t>
      </w:r>
    </w:p>
    <w:p w14:paraId="0F87E602" w14:textId="77777777" w:rsidR="006D5483" w:rsidRDefault="006D5483" w:rsidP="006D5483">
      <w:pPr>
        <w:tabs>
          <w:tab w:val="clear" w:pos="567"/>
          <w:tab w:val="clear" w:pos="1134"/>
          <w:tab w:val="clear" w:pos="1701"/>
          <w:tab w:val="clear" w:pos="2268"/>
          <w:tab w:val="clear" w:pos="2835"/>
        </w:tabs>
        <w:overflowPunct/>
        <w:autoSpaceDE/>
        <w:autoSpaceDN/>
        <w:snapToGrid w:val="0"/>
        <w:spacing w:after="120"/>
        <w:jc w:val="both"/>
        <w:textAlignment w:val="auto"/>
        <w:rPr>
          <w:rFonts w:eastAsia="SimSun"/>
          <w:lang w:val="en-US" w:eastAsia="zh-CN"/>
        </w:rPr>
      </w:pPr>
      <w:r>
        <w:rPr>
          <w:rFonts w:eastAsia="SimSun" w:hint="eastAsia"/>
          <w:lang w:val="en-US" w:eastAsia="zh-CN"/>
        </w:rPr>
        <w:t xml:space="preserve">The 2024 Session of ITU Council, through </w:t>
      </w:r>
      <w:r>
        <w:t>its Resolution 1332 (C11, last amended C24), request</w:t>
      </w:r>
      <w:r>
        <w:rPr>
          <w:rFonts w:eastAsia="SimSun" w:hint="eastAsia"/>
          <w:lang w:val="en-US" w:eastAsia="zh-CN"/>
        </w:rPr>
        <w:t xml:space="preserve">s </w:t>
      </w:r>
      <w:r>
        <w:t>CWG-WSIS&amp;SDG to</w:t>
      </w:r>
      <w:r>
        <w:rPr>
          <w:rFonts w:hint="eastAsia"/>
        </w:rPr>
        <w:t xml:space="preserve"> provide guidance to ITU on how its future and ongoing activities can help facilitate capacity-building related to the use of Artificial Intelligence in achieving the SDGs</w:t>
      </w:r>
      <w:r>
        <w:rPr>
          <w:rFonts w:eastAsia="SimSun" w:hint="eastAsia"/>
          <w:lang w:val="en-US" w:eastAsia="zh-CN"/>
        </w:rPr>
        <w:t xml:space="preserve">, </w:t>
      </w:r>
      <w:r>
        <w:rPr>
          <w:rFonts w:cs="Calibri"/>
          <w:szCs w:val="24"/>
        </w:rPr>
        <w:t xml:space="preserve">to </w:t>
      </w:r>
      <w:r>
        <w:rPr>
          <w:rFonts w:cs="Calibri" w:hint="eastAsia"/>
          <w:szCs w:val="24"/>
        </w:rPr>
        <w:t xml:space="preserve">facilitate inputs from </w:t>
      </w:r>
      <w:r>
        <w:rPr>
          <w:rFonts w:eastAsia="SimSun" w:cs="Calibri" w:hint="eastAsia"/>
          <w:szCs w:val="24"/>
          <w:lang w:eastAsia="zh-CN"/>
        </w:rPr>
        <w:t>members</w:t>
      </w:r>
      <w:r>
        <w:rPr>
          <w:rFonts w:cs="Calibri" w:hint="eastAsia"/>
          <w:szCs w:val="24"/>
        </w:rPr>
        <w:t>hip on the ITU implementation of PP Resolution 214, through its regular meetings and other appropriate methods</w:t>
      </w:r>
      <w:r>
        <w:rPr>
          <w:rFonts w:eastAsia="SimSun" w:cs="Calibri" w:hint="eastAsia"/>
          <w:szCs w:val="24"/>
          <w:lang w:val="en-US" w:eastAsia="zh-CN"/>
        </w:rPr>
        <w:t>, and to monitor the actions taken by ITU with respect to AI with a view to enhance intersectoral coordination, regional empowerment, and membership engagement.</w:t>
      </w:r>
      <w:r>
        <w:rPr>
          <w:rFonts w:eastAsia="SimSun" w:hint="eastAsia"/>
          <w:lang w:val="en-US" w:eastAsia="zh-CN"/>
        </w:rPr>
        <w:t xml:space="preserve"> the WTSA-24, by Resolution 101 (2024, New Delhi), calls for supporting developing countries in building their capacity in AI, including by providing technical guidance, and invites ITU members to engage in the AI-related activities of the CWG-WSIS&amp;SDGs.</w:t>
      </w:r>
    </w:p>
    <w:p w14:paraId="6B8F87D5" w14:textId="5DC84620" w:rsidR="006D5483" w:rsidRDefault="006D5483" w:rsidP="006D5483">
      <w:pPr>
        <w:tabs>
          <w:tab w:val="clear" w:pos="567"/>
          <w:tab w:val="clear" w:pos="1134"/>
          <w:tab w:val="clear" w:pos="1701"/>
          <w:tab w:val="clear" w:pos="2268"/>
          <w:tab w:val="clear" w:pos="2835"/>
        </w:tabs>
        <w:overflowPunct/>
        <w:autoSpaceDE/>
        <w:autoSpaceDN/>
        <w:snapToGrid w:val="0"/>
        <w:spacing w:beforeLines="50" w:afterLines="50" w:after="120"/>
        <w:jc w:val="both"/>
        <w:textAlignment w:val="auto"/>
        <w:rPr>
          <w:rFonts w:eastAsia="SimSun"/>
          <w:lang w:val="en-US" w:eastAsia="zh-CN"/>
        </w:rPr>
      </w:pPr>
      <w:r>
        <w:rPr>
          <w:rFonts w:eastAsia="SimSun" w:hint="eastAsia"/>
          <w:lang w:val="en-US" w:eastAsia="zh-CN"/>
        </w:rPr>
        <w:t xml:space="preserve">At present, a series of consensuses </w:t>
      </w:r>
      <w:r>
        <w:rPr>
          <w:rFonts w:eastAsia="SimSun"/>
          <w:lang w:val="en" w:eastAsia="zh-CN"/>
        </w:rPr>
        <w:t xml:space="preserve">have been </w:t>
      </w:r>
      <w:r>
        <w:rPr>
          <w:rFonts w:eastAsia="SimSun" w:hint="eastAsia"/>
          <w:lang w:val="en-US" w:eastAsia="zh-CN"/>
        </w:rPr>
        <w:t xml:space="preserve">reached </w:t>
      </w:r>
      <w:r>
        <w:rPr>
          <w:rFonts w:eastAsia="SimSun"/>
          <w:lang w:val="en" w:eastAsia="zh-CN"/>
        </w:rPr>
        <w:t xml:space="preserve">at the international level </w:t>
      </w:r>
      <w:r>
        <w:rPr>
          <w:rFonts w:eastAsia="SimSun" w:hint="eastAsia"/>
          <w:lang w:val="en-US" w:eastAsia="zh-CN"/>
        </w:rPr>
        <w:t xml:space="preserve">on </w:t>
      </w:r>
      <w:r>
        <w:rPr>
          <w:rFonts w:eastAsia="SimSun"/>
          <w:lang w:val="en" w:eastAsia="zh-CN"/>
        </w:rPr>
        <w:t xml:space="preserve">the development of </w:t>
      </w:r>
      <w:r>
        <w:rPr>
          <w:rFonts w:eastAsia="SimSun" w:hint="eastAsia"/>
          <w:lang w:val="en-US" w:eastAsia="zh-CN"/>
        </w:rPr>
        <w:t>artificial intelligence</w:t>
      </w:r>
      <w:r>
        <w:rPr>
          <w:rFonts w:eastAsia="SimSun"/>
          <w:lang w:val="en" w:eastAsia="zh-CN"/>
        </w:rPr>
        <w:t>, and</w:t>
      </w:r>
      <w:r>
        <w:rPr>
          <w:rFonts w:eastAsia="SimSun" w:hint="eastAsia"/>
          <w:lang w:val="en-US" w:eastAsia="zh-CN"/>
        </w:rPr>
        <w:t xml:space="preserve"> </w:t>
      </w:r>
      <w:r>
        <w:rPr>
          <w:rFonts w:eastAsia="SimSun"/>
          <w:lang w:val="en-US" w:eastAsia="zh-CN"/>
        </w:rPr>
        <w:t>relevant</w:t>
      </w:r>
      <w:r>
        <w:rPr>
          <w:rFonts w:eastAsia="SimSun" w:hint="eastAsia"/>
          <w:lang w:val="en-US" w:eastAsia="zh-CN"/>
        </w:rPr>
        <w:t xml:space="preserve"> resolutions of the ITU Council and the </w:t>
      </w:r>
      <w:r>
        <w:rPr>
          <w:rFonts w:eastAsia="SimSun"/>
          <w:lang w:val="en" w:eastAsia="zh-CN"/>
        </w:rPr>
        <w:t>WTSA</w:t>
      </w:r>
      <w:r>
        <w:rPr>
          <w:rFonts w:eastAsia="SimSun" w:hint="eastAsia"/>
          <w:lang w:val="en-US" w:eastAsia="zh-CN"/>
        </w:rPr>
        <w:t xml:space="preserve"> have also provided guidance for the ITU to strengthen its work </w:t>
      </w:r>
      <w:r>
        <w:rPr>
          <w:rFonts w:eastAsia="SimSun"/>
          <w:lang w:val="en" w:eastAsia="zh-CN"/>
        </w:rPr>
        <w:t>on</w:t>
      </w:r>
      <w:r>
        <w:rPr>
          <w:rFonts w:eastAsia="SimSun" w:hint="eastAsia"/>
          <w:lang w:val="en-US" w:eastAsia="zh-CN"/>
        </w:rPr>
        <w:t xml:space="preserve"> artificial intelligence capacity building. It is necessary to take implementation measures</w:t>
      </w:r>
      <w:r>
        <w:rPr>
          <w:rFonts w:eastAsia="SimSun"/>
          <w:lang w:val="en" w:eastAsia="zh-CN"/>
        </w:rPr>
        <w:t xml:space="preserve"> while</w:t>
      </w:r>
      <w:r>
        <w:rPr>
          <w:rFonts w:eastAsia="SimSun" w:hint="eastAsia"/>
          <w:lang w:val="en-US" w:eastAsia="zh-CN"/>
        </w:rPr>
        <w:t xml:space="preserve"> </w:t>
      </w:r>
      <w:r>
        <w:rPr>
          <w:rFonts w:eastAsia="SimSun"/>
          <w:lang w:val="en-US" w:eastAsia="zh-CN"/>
        </w:rPr>
        <w:t>leveraging</w:t>
      </w:r>
      <w:r>
        <w:rPr>
          <w:rFonts w:eastAsia="SimSun" w:hint="eastAsia"/>
          <w:lang w:val="en-US" w:eastAsia="zh-CN"/>
        </w:rPr>
        <w:t xml:space="preserve"> the efforts from all members of the Union, and to jointly bridge the digital divides</w:t>
      </w:r>
      <w:r>
        <w:rPr>
          <w:rFonts w:eastAsia="SimSun"/>
          <w:lang w:val="en" w:eastAsia="zh-CN"/>
        </w:rPr>
        <w:t xml:space="preserve"> raised by AI</w:t>
      </w:r>
      <w:r>
        <w:rPr>
          <w:rFonts w:eastAsia="SimSun" w:hint="eastAsia"/>
          <w:lang w:val="en-US" w:eastAsia="zh-CN"/>
        </w:rPr>
        <w:t>.</w:t>
      </w:r>
    </w:p>
    <w:p w14:paraId="44F26F12" w14:textId="0D1B260F" w:rsidR="006D5483" w:rsidRDefault="006D5483" w:rsidP="006D5483">
      <w:pPr>
        <w:numPr>
          <w:ilvl w:val="0"/>
          <w:numId w:val="2"/>
        </w:numPr>
        <w:tabs>
          <w:tab w:val="clear" w:pos="567"/>
          <w:tab w:val="clear" w:pos="1134"/>
          <w:tab w:val="clear" w:pos="1701"/>
          <w:tab w:val="clear" w:pos="2268"/>
          <w:tab w:val="clear" w:pos="2835"/>
        </w:tabs>
        <w:overflowPunct/>
        <w:autoSpaceDE/>
        <w:autoSpaceDN/>
        <w:snapToGrid w:val="0"/>
        <w:spacing w:beforeLines="150" w:before="360" w:afterLines="50" w:after="120"/>
        <w:jc w:val="both"/>
        <w:textAlignment w:val="auto"/>
        <w:rPr>
          <w:rFonts w:eastAsia="SimSun"/>
          <w:b/>
          <w:bCs/>
          <w:lang w:val="en-US" w:eastAsia="zh-CN"/>
        </w:rPr>
      </w:pPr>
      <w:r>
        <w:rPr>
          <w:rFonts w:eastAsia="SimSun"/>
          <w:b/>
          <w:bCs/>
          <w:lang w:val="en-US" w:eastAsia="zh-CN"/>
        </w:rPr>
        <w:tab/>
      </w:r>
      <w:r>
        <w:rPr>
          <w:rFonts w:eastAsia="SimSun" w:hint="eastAsia"/>
          <w:b/>
          <w:bCs/>
          <w:lang w:val="en-US" w:eastAsia="zh-CN"/>
        </w:rPr>
        <w:t>Discussion</w:t>
      </w:r>
    </w:p>
    <w:p w14:paraId="239BE154" w14:textId="4D5CFF6F" w:rsidR="006D5483" w:rsidRDefault="006D5483" w:rsidP="006D5483">
      <w:pPr>
        <w:tabs>
          <w:tab w:val="clear" w:pos="567"/>
          <w:tab w:val="clear" w:pos="1134"/>
          <w:tab w:val="clear" w:pos="1701"/>
          <w:tab w:val="clear" w:pos="2268"/>
          <w:tab w:val="clear" w:pos="2835"/>
        </w:tabs>
        <w:overflowPunct/>
        <w:autoSpaceDE/>
        <w:autoSpaceDN/>
        <w:snapToGrid w:val="0"/>
        <w:spacing w:beforeLines="50" w:afterLines="50" w:after="120"/>
        <w:jc w:val="both"/>
        <w:textAlignment w:val="auto"/>
        <w:rPr>
          <w:rFonts w:eastAsia="SimSun" w:cs="Calibri"/>
          <w:color w:val="000000"/>
          <w:szCs w:val="24"/>
          <w:lang w:val="en-US" w:eastAsia="zh-CN" w:bidi="ar"/>
        </w:rPr>
      </w:pPr>
      <w:r>
        <w:rPr>
          <w:rFonts w:eastAsia="SimSun" w:cs="Calibri" w:hint="eastAsia"/>
          <w:color w:val="000000"/>
          <w:szCs w:val="24"/>
          <w:lang w:val="en-US" w:eastAsia="zh-CN" w:bidi="ar"/>
        </w:rPr>
        <w:t xml:space="preserve">Developing countries are facing severe shortages in key resources required for the development of artificial intelligence, such as infrastructure, computing power, models, data, and talents, which poses significant challenges to the fulfillment of global sustainable development. The ITU has significant advantages in promoting AI </w:t>
      </w:r>
      <w:r>
        <w:rPr>
          <w:rFonts w:cs="Calibri"/>
          <w:szCs w:val="24"/>
        </w:rPr>
        <w:t>capacity-building</w:t>
      </w:r>
      <w:r>
        <w:rPr>
          <w:rFonts w:eastAsia="SimSun" w:cs="Calibri" w:hint="eastAsia"/>
          <w:color w:val="000000"/>
          <w:szCs w:val="24"/>
          <w:lang w:val="en-US" w:eastAsia="zh-CN" w:bidi="ar"/>
        </w:rPr>
        <w:t xml:space="preserve">, including its regional and area offices covering six regions around the world, with over 1000 members covering administrations, enterprises, research institutions, etc. </w:t>
      </w:r>
      <w:r>
        <w:rPr>
          <w:rFonts w:eastAsia="SimSun" w:cs="Calibri"/>
          <w:color w:val="000000"/>
          <w:szCs w:val="24"/>
          <w:lang w:val="en" w:eastAsia="zh-CN" w:bidi="ar"/>
        </w:rPr>
        <w:t>ITU</w:t>
      </w:r>
      <w:r>
        <w:rPr>
          <w:rFonts w:eastAsia="SimSun" w:cs="Calibri" w:hint="eastAsia"/>
          <w:color w:val="000000"/>
          <w:szCs w:val="24"/>
          <w:lang w:val="en-US" w:eastAsia="zh-CN" w:bidi="ar"/>
        </w:rPr>
        <w:t xml:space="preserve"> has launched various </w:t>
      </w:r>
      <w:r>
        <w:rPr>
          <w:rFonts w:eastAsia="SimSun" w:cs="Calibri"/>
          <w:color w:val="000000"/>
          <w:szCs w:val="24"/>
          <w:lang w:val="en-US" w:eastAsia="zh-CN" w:bidi="ar"/>
        </w:rPr>
        <w:t>initiatives</w:t>
      </w:r>
      <w:r>
        <w:rPr>
          <w:rFonts w:eastAsia="SimSun" w:cs="Calibri"/>
          <w:color w:val="000000"/>
          <w:szCs w:val="24"/>
          <w:lang w:val="en" w:eastAsia="zh-CN" w:bidi="ar"/>
        </w:rPr>
        <w:t xml:space="preserve"> and programmes, established plenty of platforms and partnerships on AI capacity-building.</w:t>
      </w:r>
      <w:r>
        <w:rPr>
          <w:rStyle w:val="FootnoteReference"/>
          <w:rFonts w:eastAsia="SimSun" w:cs="Calibri"/>
          <w:color w:val="000000"/>
          <w:szCs w:val="24"/>
          <w:lang w:val="en" w:eastAsia="zh-CN" w:bidi="ar"/>
        </w:rPr>
        <w:footnoteReference w:id="1"/>
      </w:r>
      <w:r>
        <w:rPr>
          <w:rFonts w:eastAsia="SimSun" w:cs="Calibri"/>
          <w:color w:val="000000"/>
          <w:szCs w:val="24"/>
          <w:lang w:val="en" w:eastAsia="zh-CN" w:bidi="ar"/>
        </w:rPr>
        <w:t xml:space="preserve"> </w:t>
      </w:r>
      <w:r>
        <w:rPr>
          <w:rFonts w:eastAsia="SimSun" w:cs="Calibri" w:hint="eastAsia"/>
          <w:color w:val="000000"/>
          <w:szCs w:val="24"/>
          <w:lang w:val="en-US" w:eastAsia="zh-CN" w:bidi="ar"/>
        </w:rPr>
        <w:t xml:space="preserve">These </w:t>
      </w:r>
      <w:r>
        <w:rPr>
          <w:rFonts w:eastAsia="SimSun" w:cs="Calibri"/>
          <w:color w:val="000000"/>
          <w:szCs w:val="24"/>
          <w:lang w:val="en" w:eastAsia="zh-CN" w:bidi="ar"/>
        </w:rPr>
        <w:t>efforts</w:t>
      </w:r>
      <w:r>
        <w:rPr>
          <w:rFonts w:eastAsia="SimSun" w:cs="Calibri" w:hint="eastAsia"/>
          <w:color w:val="000000"/>
          <w:szCs w:val="24"/>
          <w:lang w:val="en-US" w:eastAsia="zh-CN" w:bidi="ar"/>
        </w:rPr>
        <w:t xml:space="preserve"> could provide financial, human resources, and knowledge support for </w:t>
      </w:r>
      <w:r>
        <w:rPr>
          <w:rFonts w:eastAsia="SimSun" w:cs="Calibri" w:hint="eastAsia"/>
          <w:color w:val="000000"/>
          <w:szCs w:val="24"/>
          <w:lang w:val="en-US" w:eastAsia="zh-CN" w:bidi="ar"/>
        </w:rPr>
        <w:lastRenderedPageBreak/>
        <w:t xml:space="preserve">ITU to promote the development and welfare of AI for all countries. However, these efforts are relatively scattered at present. It is essential to </w:t>
      </w:r>
      <w:r>
        <w:rPr>
          <w:rFonts w:eastAsia="SimSun" w:cs="Calibri"/>
          <w:color w:val="000000"/>
          <w:szCs w:val="24"/>
          <w:lang w:val="en" w:eastAsia="zh-CN" w:bidi="ar"/>
        </w:rPr>
        <w:t>develop an overall plan</w:t>
      </w:r>
      <w:r>
        <w:rPr>
          <w:rFonts w:eastAsia="SimSun" w:cs="Calibri" w:hint="eastAsia"/>
          <w:color w:val="000000"/>
          <w:szCs w:val="24"/>
          <w:lang w:val="en-US" w:eastAsia="zh-CN" w:bidi="ar"/>
        </w:rPr>
        <w:t xml:space="preserve"> on artificial intelligence capacity building, integrate the efforts </w:t>
      </w:r>
      <w:r>
        <w:rPr>
          <w:rFonts w:eastAsia="SimSun" w:cs="Calibri"/>
          <w:color w:val="000000"/>
          <w:szCs w:val="24"/>
          <w:lang w:val="en" w:eastAsia="zh-CN" w:bidi="ar"/>
        </w:rPr>
        <w:t>made by the General Secretariat</w:t>
      </w:r>
      <w:r>
        <w:rPr>
          <w:rFonts w:eastAsia="SimSun" w:cs="Calibri" w:hint="eastAsia"/>
          <w:color w:val="000000"/>
          <w:szCs w:val="24"/>
          <w:lang w:val="en-US" w:eastAsia="zh-CN" w:bidi="ar"/>
        </w:rPr>
        <w:t>,</w:t>
      </w:r>
      <w:r>
        <w:rPr>
          <w:rFonts w:eastAsia="SimSun" w:cs="Calibri"/>
          <w:color w:val="000000"/>
          <w:szCs w:val="24"/>
          <w:lang w:val="en" w:eastAsia="zh-CN" w:bidi="ar"/>
        </w:rPr>
        <w:t xml:space="preserve"> TSB and BDT,</w:t>
      </w:r>
      <w:r>
        <w:rPr>
          <w:rFonts w:eastAsia="SimSun" w:cs="Calibri" w:hint="eastAsia"/>
          <w:color w:val="000000"/>
          <w:szCs w:val="24"/>
          <w:lang w:val="en-US" w:eastAsia="zh-CN" w:bidi="ar"/>
        </w:rPr>
        <w:t xml:space="preserve"> and offer more substantial support to developing countries.</w:t>
      </w:r>
    </w:p>
    <w:p w14:paraId="20A74E32" w14:textId="5695B985" w:rsidR="006D5483" w:rsidRDefault="006D5483" w:rsidP="006D5483">
      <w:pPr>
        <w:tabs>
          <w:tab w:val="clear" w:pos="567"/>
          <w:tab w:val="clear" w:pos="1134"/>
          <w:tab w:val="clear" w:pos="1701"/>
          <w:tab w:val="clear" w:pos="2268"/>
          <w:tab w:val="clear" w:pos="2835"/>
        </w:tabs>
        <w:overflowPunct/>
        <w:autoSpaceDE/>
        <w:autoSpaceDN/>
        <w:snapToGrid w:val="0"/>
        <w:spacing w:beforeLines="150" w:before="360" w:afterLines="50" w:after="120"/>
        <w:jc w:val="both"/>
        <w:textAlignment w:val="auto"/>
        <w:rPr>
          <w:highlight w:val="yellow"/>
        </w:rPr>
      </w:pPr>
      <w:r>
        <w:rPr>
          <w:rFonts w:eastAsia="SimSun" w:hint="eastAsia"/>
          <w:b/>
          <w:bCs/>
          <w:lang w:val="en-US" w:eastAsia="zh-CN"/>
        </w:rPr>
        <w:t>3.</w:t>
      </w:r>
      <w:r>
        <w:rPr>
          <w:rFonts w:eastAsia="SimSun"/>
          <w:b/>
          <w:bCs/>
          <w:lang w:val="en-US" w:eastAsia="zh-CN"/>
        </w:rPr>
        <w:tab/>
      </w:r>
      <w:r>
        <w:rPr>
          <w:rFonts w:eastAsia="SimSun" w:hint="eastAsia"/>
          <w:b/>
          <w:bCs/>
          <w:lang w:val="en-US" w:eastAsia="zh-CN"/>
        </w:rPr>
        <w:t>Proposal</w:t>
      </w:r>
    </w:p>
    <w:p w14:paraId="4D6F85C4" w14:textId="48FB0120" w:rsidR="006D5483" w:rsidRDefault="006D5483" w:rsidP="006D5483">
      <w:pPr>
        <w:tabs>
          <w:tab w:val="clear" w:pos="567"/>
          <w:tab w:val="clear" w:pos="1134"/>
          <w:tab w:val="clear" w:pos="1701"/>
          <w:tab w:val="clear" w:pos="2268"/>
          <w:tab w:val="clear" w:pos="2835"/>
        </w:tabs>
        <w:overflowPunct/>
        <w:autoSpaceDE/>
        <w:autoSpaceDN/>
        <w:adjustRightInd/>
        <w:spacing w:after="120"/>
        <w:jc w:val="both"/>
        <w:textAlignment w:val="auto"/>
      </w:pPr>
      <w:r>
        <w:rPr>
          <w:rFonts w:eastAsia="SimSun" w:hint="eastAsia"/>
          <w:lang w:val="en-US" w:eastAsia="zh-CN"/>
        </w:rPr>
        <w:t>1.</w:t>
      </w:r>
      <w:r>
        <w:rPr>
          <w:rFonts w:eastAsia="SimSun"/>
          <w:lang w:val="en-US" w:eastAsia="zh-CN"/>
        </w:rPr>
        <w:tab/>
      </w:r>
      <w:r>
        <w:rPr>
          <w:rFonts w:eastAsia="SimSun" w:hint="eastAsia"/>
          <w:lang w:val="en-US" w:eastAsia="zh-CN"/>
        </w:rPr>
        <w:t>T</w:t>
      </w:r>
      <w:r>
        <w:rPr>
          <w:rFonts w:hint="eastAsia"/>
        </w:rPr>
        <w:t xml:space="preserve">he </w:t>
      </w:r>
      <w:r>
        <w:rPr>
          <w:rFonts w:eastAsia="SimSun" w:hint="eastAsia"/>
          <w:lang w:val="en-US" w:eastAsia="zh-CN"/>
        </w:rPr>
        <w:t>CWG-</w:t>
      </w:r>
      <w:r>
        <w:rPr>
          <w:rFonts w:hint="eastAsia"/>
        </w:rPr>
        <w:t xml:space="preserve">WSIS&amp;SDG, with the assistance </w:t>
      </w:r>
      <w:r>
        <w:rPr>
          <w:rFonts w:eastAsia="SimSun" w:hint="eastAsia"/>
          <w:lang w:val="en-US" w:eastAsia="zh-CN"/>
        </w:rPr>
        <w:t>from</w:t>
      </w:r>
      <w:r>
        <w:rPr>
          <w:rFonts w:hint="eastAsia"/>
        </w:rPr>
        <w:t xml:space="preserve"> the ITU Secretariat, to draft a work plan for ITU's </w:t>
      </w:r>
      <w:r>
        <w:rPr>
          <w:rFonts w:eastAsia="SimSun" w:hint="eastAsia"/>
          <w:lang w:val="en-US" w:eastAsia="zh-CN"/>
        </w:rPr>
        <w:t xml:space="preserve">joint efforts on </w:t>
      </w:r>
      <w:r>
        <w:rPr>
          <w:rFonts w:hint="eastAsia"/>
        </w:rPr>
        <w:t xml:space="preserve">artificial intelligence capacity building, </w:t>
      </w:r>
      <w:r>
        <w:rPr>
          <w:rFonts w:eastAsia="SimSun" w:hint="eastAsia"/>
          <w:lang w:val="en-US" w:eastAsia="zh-CN"/>
        </w:rPr>
        <w:t xml:space="preserve">which should </w:t>
      </w:r>
      <w:r>
        <w:rPr>
          <w:rFonts w:hint="eastAsia"/>
        </w:rPr>
        <w:t xml:space="preserve">clarify the main objectives, specific measures and work arrangements, </w:t>
      </w:r>
      <w:proofErr w:type="gramStart"/>
      <w:r>
        <w:rPr>
          <w:lang w:val="en"/>
        </w:rPr>
        <w:t>taking into account</w:t>
      </w:r>
      <w:proofErr w:type="gramEnd"/>
      <w:r>
        <w:rPr>
          <w:lang w:val="en"/>
        </w:rPr>
        <w:t xml:space="preserve"> of the existing resources, activities and </w:t>
      </w:r>
      <w:r>
        <w:rPr>
          <w:rFonts w:hint="eastAsia"/>
        </w:rPr>
        <w:t>partnership networks</w:t>
      </w:r>
      <w:r>
        <w:rPr>
          <w:lang w:val="en"/>
        </w:rPr>
        <w:t>, and encourage the contribution and involvement of ITU members.</w:t>
      </w:r>
      <w:r>
        <w:rPr>
          <w:rFonts w:hint="eastAsia"/>
        </w:rPr>
        <w:t xml:space="preserve"> </w:t>
      </w:r>
    </w:p>
    <w:p w14:paraId="4A6B937C" w14:textId="60671259" w:rsidR="006D5483" w:rsidRDefault="006D5483" w:rsidP="006D5483">
      <w:pPr>
        <w:tabs>
          <w:tab w:val="clear" w:pos="567"/>
          <w:tab w:val="clear" w:pos="1134"/>
          <w:tab w:val="clear" w:pos="1701"/>
          <w:tab w:val="clear" w:pos="2268"/>
          <w:tab w:val="clear" w:pos="2835"/>
        </w:tabs>
        <w:overflowPunct/>
        <w:autoSpaceDE/>
        <w:autoSpaceDN/>
        <w:adjustRightInd/>
        <w:spacing w:after="120"/>
        <w:jc w:val="both"/>
        <w:textAlignment w:val="auto"/>
      </w:pPr>
      <w:r>
        <w:rPr>
          <w:rFonts w:eastAsia="SimSun" w:hint="eastAsia"/>
          <w:lang w:val="en-US" w:eastAsia="zh-CN"/>
        </w:rPr>
        <w:t>2.</w:t>
      </w:r>
      <w:r>
        <w:rPr>
          <w:rFonts w:eastAsia="SimSun"/>
          <w:lang w:val="en-US" w:eastAsia="zh-CN"/>
        </w:rPr>
        <w:tab/>
      </w:r>
      <w:r>
        <w:rPr>
          <w:rFonts w:eastAsia="SimSun" w:hint="eastAsia"/>
          <w:lang w:val="en-US" w:eastAsia="zh-CN"/>
        </w:rPr>
        <w:t>T</w:t>
      </w:r>
      <w:r>
        <w:rPr>
          <w:rFonts w:hint="eastAsia"/>
        </w:rPr>
        <w:t xml:space="preserve">o strengthen </w:t>
      </w:r>
      <w:r>
        <w:rPr>
          <w:rFonts w:eastAsia="SimSun" w:hint="eastAsia"/>
          <w:lang w:val="en-US" w:eastAsia="zh-CN"/>
        </w:rPr>
        <w:t xml:space="preserve">the </w:t>
      </w:r>
      <w:r>
        <w:rPr>
          <w:rFonts w:hint="eastAsia"/>
        </w:rPr>
        <w:t xml:space="preserve">cross-sectoral coordination </w:t>
      </w:r>
      <w:r>
        <w:rPr>
          <w:rFonts w:eastAsia="SimSun" w:hint="eastAsia"/>
          <w:lang w:val="en-US" w:eastAsia="zh-CN"/>
        </w:rPr>
        <w:t>on</w:t>
      </w:r>
      <w:r>
        <w:rPr>
          <w:rFonts w:hint="eastAsia"/>
        </w:rPr>
        <w:t xml:space="preserve"> artificial intelligence capacity building</w:t>
      </w:r>
      <w:r>
        <w:rPr>
          <w:rFonts w:eastAsia="SimSun" w:hint="eastAsia"/>
          <w:lang w:val="en-US" w:eastAsia="zh-CN"/>
        </w:rPr>
        <w:t xml:space="preserve"> in ITU</w:t>
      </w:r>
      <w:r>
        <w:rPr>
          <w:rFonts w:hint="eastAsia"/>
        </w:rPr>
        <w:t>, focusing on making good use of the existing capacity building resources and platforms of the Telecommunication Standardization Bureau</w:t>
      </w:r>
      <w:r>
        <w:rPr>
          <w:rFonts w:eastAsia="SimSun" w:hint="eastAsia"/>
          <w:lang w:val="en-US" w:eastAsia="zh-CN"/>
        </w:rPr>
        <w:t xml:space="preserve"> (TSB)</w:t>
      </w:r>
      <w:r>
        <w:rPr>
          <w:rFonts w:hint="eastAsia"/>
        </w:rPr>
        <w:t xml:space="preserve"> and the Telecommunication Development Bureau</w:t>
      </w:r>
      <w:r>
        <w:rPr>
          <w:rFonts w:eastAsia="SimSun" w:hint="eastAsia"/>
          <w:lang w:val="en-US" w:eastAsia="zh-CN"/>
        </w:rPr>
        <w:t xml:space="preserve"> (BDT)</w:t>
      </w:r>
      <w:r>
        <w:rPr>
          <w:rFonts w:hint="eastAsia"/>
        </w:rPr>
        <w:t xml:space="preserve">, and </w:t>
      </w:r>
      <w:r>
        <w:t>leveraging</w:t>
      </w:r>
      <w:r>
        <w:rPr>
          <w:rFonts w:hint="eastAsia"/>
        </w:rPr>
        <w:t xml:space="preserve"> advantages</w:t>
      </w:r>
      <w:r>
        <w:rPr>
          <w:rFonts w:eastAsia="SimSun" w:hint="eastAsia"/>
          <w:lang w:val="en-US" w:eastAsia="zh-CN"/>
        </w:rPr>
        <w:t xml:space="preserve"> of the </w:t>
      </w:r>
      <w:r>
        <w:rPr>
          <w:rFonts w:hint="eastAsia"/>
        </w:rPr>
        <w:t>regional offices</w:t>
      </w:r>
      <w:r>
        <w:rPr>
          <w:rFonts w:eastAsia="SimSun" w:hint="eastAsia"/>
          <w:lang w:val="en-US" w:eastAsia="zh-CN"/>
        </w:rPr>
        <w:t>,</w:t>
      </w:r>
      <w:r>
        <w:rPr>
          <w:rFonts w:hint="eastAsia"/>
        </w:rPr>
        <w:t xml:space="preserve"> to better meet the needs of developing </w:t>
      </w:r>
      <w:r>
        <w:rPr>
          <w:rFonts w:eastAsia="SimSun" w:hint="eastAsia"/>
          <w:lang w:val="en-US" w:eastAsia="zh-CN"/>
        </w:rPr>
        <w:t>countries</w:t>
      </w:r>
      <w:r>
        <w:rPr>
          <w:rFonts w:hint="eastAsia"/>
        </w:rPr>
        <w:t xml:space="preserve"> in various regions. </w:t>
      </w:r>
    </w:p>
    <w:p w14:paraId="1C05C960" w14:textId="6D37C57C" w:rsidR="006D5483" w:rsidRDefault="006D5483" w:rsidP="006D5483">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lang w:val="en-US" w:eastAsia="zh-CN"/>
        </w:rPr>
      </w:pPr>
      <w:r>
        <w:rPr>
          <w:rFonts w:eastAsia="SimSun" w:hint="eastAsia"/>
          <w:lang w:val="en-US" w:eastAsia="zh-CN"/>
        </w:rPr>
        <w:t>3.</w:t>
      </w:r>
      <w:r>
        <w:rPr>
          <w:rFonts w:eastAsia="SimSun"/>
          <w:lang w:val="en-US" w:eastAsia="zh-CN"/>
        </w:rPr>
        <w:tab/>
      </w:r>
      <w:r>
        <w:rPr>
          <w:rFonts w:eastAsia="SimSun" w:hint="eastAsia"/>
          <w:lang w:val="en-US" w:eastAsia="zh-CN"/>
        </w:rPr>
        <w:t>A</w:t>
      </w:r>
      <w:r>
        <w:rPr>
          <w:rFonts w:hint="eastAsia"/>
        </w:rPr>
        <w:t xml:space="preserve"> communication group may be established to carry out relevant work</w:t>
      </w:r>
      <w:r>
        <w:rPr>
          <w:rFonts w:eastAsia="SimSun" w:hint="eastAsia"/>
          <w:lang w:val="en-US" w:eastAsia="zh-CN"/>
        </w:rPr>
        <w:t>,</w:t>
      </w:r>
      <w:r>
        <w:rPr>
          <w:rFonts w:hint="eastAsia"/>
        </w:rPr>
        <w:t xml:space="preserve"> if necessary</w:t>
      </w:r>
      <w:r>
        <w:rPr>
          <w:rFonts w:eastAsia="SimSun" w:hint="eastAsia"/>
          <w:lang w:val="en-US" w:eastAsia="zh-CN"/>
        </w:rPr>
        <w:t>, t</w:t>
      </w:r>
      <w:r>
        <w:rPr>
          <w:rFonts w:hint="eastAsia"/>
        </w:rPr>
        <w:t xml:space="preserve">o promote the drafting of the </w:t>
      </w:r>
      <w:r>
        <w:rPr>
          <w:lang w:val="en"/>
        </w:rPr>
        <w:t xml:space="preserve">work plan of </w:t>
      </w:r>
      <w:r>
        <w:rPr>
          <w:rFonts w:hint="eastAsia"/>
        </w:rPr>
        <w:t>artificial intelligence capacity building</w:t>
      </w:r>
      <w:r>
        <w:rPr>
          <w:rFonts w:eastAsia="SimSun" w:hint="eastAsia"/>
          <w:lang w:val="en-US" w:eastAsia="zh-CN"/>
        </w:rPr>
        <w:t xml:space="preserve"> </w:t>
      </w:r>
      <w:r>
        <w:rPr>
          <w:lang w:val="en"/>
        </w:rPr>
        <w:t>of ITU</w:t>
      </w:r>
      <w:r>
        <w:rPr>
          <w:rFonts w:hint="eastAsia"/>
        </w:rPr>
        <w:t>.</w:t>
      </w:r>
    </w:p>
    <w:p w14:paraId="5E893047" w14:textId="3677522A" w:rsidR="00A514A4" w:rsidRPr="006D5483" w:rsidRDefault="006D5483" w:rsidP="006D5483">
      <w:pPr>
        <w:tabs>
          <w:tab w:val="clear" w:pos="567"/>
          <w:tab w:val="clear" w:pos="1134"/>
          <w:tab w:val="clear" w:pos="1701"/>
          <w:tab w:val="clear" w:pos="2268"/>
          <w:tab w:val="clear" w:pos="2835"/>
        </w:tabs>
        <w:overflowPunct/>
        <w:autoSpaceDE/>
        <w:autoSpaceDN/>
        <w:adjustRightInd/>
        <w:spacing w:before="720"/>
        <w:jc w:val="center"/>
        <w:textAlignment w:val="auto"/>
        <w:rPr>
          <w:lang w:val="en-US"/>
        </w:rPr>
      </w:pPr>
      <w:r>
        <w:rPr>
          <w:lang w:val="en-US"/>
        </w:rPr>
        <w:t>_______________</w:t>
      </w:r>
    </w:p>
    <w:sectPr w:rsidR="00A514A4" w:rsidRPr="006D5483"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BD04" w14:textId="77777777" w:rsidR="00745EBC" w:rsidRDefault="00745EBC">
      <w:r>
        <w:separator/>
      </w:r>
    </w:p>
  </w:endnote>
  <w:endnote w:type="continuationSeparator" w:id="0">
    <w:p w14:paraId="643B7D22" w14:textId="77777777" w:rsidR="00745EBC" w:rsidRDefault="007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C2C8F" w14:paraId="1D326A6B" w14:textId="77777777" w:rsidTr="0042469C">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19349A38"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6D5483">
            <w:rPr>
              <w:bCs/>
              <w:lang w:val="es-ES"/>
            </w:rPr>
            <w:t>14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C2C8F" w14:paraId="5B25C486" w14:textId="77777777" w:rsidTr="00A52C84">
      <w:trPr>
        <w:jc w:val="center"/>
      </w:trPr>
      <w:tc>
        <w:tcPr>
          <w:tcW w:w="3107" w:type="dxa"/>
          <w:vAlign w:val="center"/>
        </w:tcPr>
        <w:p w14:paraId="59526C57"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A1322AB" w14:textId="09AD41C3"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6D5483">
            <w:rPr>
              <w:bCs/>
              <w:lang w:val="es-ES"/>
            </w:rPr>
            <w:t>14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1CD5" w14:textId="77777777" w:rsidR="00745EBC" w:rsidRDefault="00745EBC">
      <w:r>
        <w:t>____________________</w:t>
      </w:r>
    </w:p>
  </w:footnote>
  <w:footnote w:type="continuationSeparator" w:id="0">
    <w:p w14:paraId="4C519035" w14:textId="77777777" w:rsidR="00745EBC" w:rsidRDefault="00745EBC">
      <w:r>
        <w:continuationSeparator/>
      </w:r>
    </w:p>
  </w:footnote>
  <w:footnote w:id="1">
    <w:p w14:paraId="250B2CBC" w14:textId="7576FD0B" w:rsidR="006D5483" w:rsidRDefault="006D5483" w:rsidP="006D5483">
      <w:pPr>
        <w:pStyle w:val="FootnoteText"/>
        <w:snapToGrid w:val="0"/>
        <w:rPr>
          <w:lang w:val="en"/>
        </w:rPr>
      </w:pPr>
      <w:r>
        <w:rPr>
          <w:rStyle w:val="FootnoteReference"/>
        </w:rPr>
        <w:footnoteRef/>
      </w:r>
      <w:r>
        <w:t xml:space="preserve"> </w:t>
      </w:r>
      <w:r>
        <w:tab/>
      </w:r>
      <w:r w:rsidRPr="006D5483">
        <w:rPr>
          <w:sz w:val="20"/>
          <w:lang w:val="en"/>
        </w:rPr>
        <w:t xml:space="preserve">See Document </w:t>
      </w:r>
      <w:hyperlink r:id="rId1" w:history="1">
        <w:r w:rsidRPr="00622D41">
          <w:rPr>
            <w:rStyle w:val="Hyperlink"/>
            <w:sz w:val="20"/>
            <w:lang w:val="en"/>
          </w:rPr>
          <w:t>C24/INF/15</w:t>
        </w:r>
      </w:hyperlink>
      <w:r w:rsidRPr="006D5483">
        <w:rPr>
          <w:sz w:val="20"/>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711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41E058"/>
    <w:multiLevelType w:val="singleLevel"/>
    <w:tmpl w:val="B041E058"/>
    <w:lvl w:ilvl="0">
      <w:start w:val="2"/>
      <w:numFmt w:val="decimal"/>
      <w:suff w:val="space"/>
      <w:lvlText w:val="%1."/>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1"/>
  </w:num>
  <w:num w:numId="2" w16cid:durableId="76252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120E4"/>
    <w:rsid w:val="000210D4"/>
    <w:rsid w:val="00063016"/>
    <w:rsid w:val="00066795"/>
    <w:rsid w:val="00076AF6"/>
    <w:rsid w:val="00085CF2"/>
    <w:rsid w:val="0009569D"/>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1D7E"/>
    <w:rsid w:val="004D599D"/>
    <w:rsid w:val="004E2EA5"/>
    <w:rsid w:val="004E3AEB"/>
    <w:rsid w:val="0050223C"/>
    <w:rsid w:val="005170FD"/>
    <w:rsid w:val="005243FF"/>
    <w:rsid w:val="005311D6"/>
    <w:rsid w:val="00536422"/>
    <w:rsid w:val="00564FBC"/>
    <w:rsid w:val="005800BC"/>
    <w:rsid w:val="00582442"/>
    <w:rsid w:val="005A335D"/>
    <w:rsid w:val="005B004A"/>
    <w:rsid w:val="005C13D4"/>
    <w:rsid w:val="005E2BD5"/>
    <w:rsid w:val="005F3269"/>
    <w:rsid w:val="00615961"/>
    <w:rsid w:val="00622D41"/>
    <w:rsid w:val="00623AE3"/>
    <w:rsid w:val="006261F4"/>
    <w:rsid w:val="0064737F"/>
    <w:rsid w:val="006535F1"/>
    <w:rsid w:val="0065557D"/>
    <w:rsid w:val="00660D50"/>
    <w:rsid w:val="00662984"/>
    <w:rsid w:val="006716BB"/>
    <w:rsid w:val="006973C8"/>
    <w:rsid w:val="006A4862"/>
    <w:rsid w:val="006B1859"/>
    <w:rsid w:val="006B6680"/>
    <w:rsid w:val="006B6DCC"/>
    <w:rsid w:val="006D5483"/>
    <w:rsid w:val="00702DEF"/>
    <w:rsid w:val="00706861"/>
    <w:rsid w:val="007247CF"/>
    <w:rsid w:val="00726B8C"/>
    <w:rsid w:val="00745EBC"/>
    <w:rsid w:val="0075051B"/>
    <w:rsid w:val="007506A0"/>
    <w:rsid w:val="00775655"/>
    <w:rsid w:val="007849D5"/>
    <w:rsid w:val="00793188"/>
    <w:rsid w:val="00794D34"/>
    <w:rsid w:val="00806E3C"/>
    <w:rsid w:val="00813E5E"/>
    <w:rsid w:val="00816C2C"/>
    <w:rsid w:val="0083581B"/>
    <w:rsid w:val="00853139"/>
    <w:rsid w:val="00860EED"/>
    <w:rsid w:val="00863874"/>
    <w:rsid w:val="00864AFF"/>
    <w:rsid w:val="00865925"/>
    <w:rsid w:val="00877BF2"/>
    <w:rsid w:val="008807C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2E98"/>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C2C8F"/>
    <w:rsid w:val="00BD032B"/>
    <w:rsid w:val="00BD0614"/>
    <w:rsid w:val="00BD094B"/>
    <w:rsid w:val="00BE2640"/>
    <w:rsid w:val="00C01189"/>
    <w:rsid w:val="00C1014F"/>
    <w:rsid w:val="00C374DE"/>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2725E"/>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77218"/>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4B2D81FF-1DD5-4625-95AD-2CA4FF21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qFormat/>
    <w:rsid w:val="00813E5E"/>
    <w:rPr>
      <w:rFonts w:ascii="Calibri" w:hAnsi="Calibri"/>
      <w:position w:val="6"/>
      <w:sz w:val="16"/>
    </w:rPr>
  </w:style>
  <w:style w:type="paragraph" w:styleId="FootnoteText">
    <w:name w:val="footnote text"/>
    <w:basedOn w:val="Normal"/>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E.pdf" TargetMode="External"/><Relationship Id="rId13" Type="http://schemas.openxmlformats.org/officeDocument/2006/relationships/hyperlink" Target="https://www.itu.int/md/S24-CL-INF-0015/en" TargetMode="External"/><Relationship Id="rId18" Type="http://schemas.openxmlformats.org/officeDocument/2006/relationships/hyperlink" Target="https://undocs.org/Home/Mobile?FinalSymbol=A%2FRES%2F78%2F311&amp;Language=E&amp;DeviceType=Desktop&amp;LangRequested=Fal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ndocs.org/Home/Mobile?FinalSymbol=A%2FRES%2F59%2F220&amp;Language=E&amp;DeviceType=Desktop&amp;LangRequested=False" TargetMode="External"/><Relationship Id="rId7" Type="http://schemas.openxmlformats.org/officeDocument/2006/relationships/endnotes" Target="endnotes.xml"/><Relationship Id="rId12" Type="http://schemas.openxmlformats.org/officeDocument/2006/relationships/hyperlink" Target="https://www.itu.int/md/S24-CL-C-0067/en" TargetMode="External"/><Relationship Id="rId17" Type="http://schemas.openxmlformats.org/officeDocument/2006/relationships/hyperlink" Target="https://undocs.org/Home/Mobile?FinalSymbol=A%2FRES%2F79%2F1&amp;Language=E&amp;DeviceType=Desktop&amp;LangRequested=Fal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WGWSIS41-C-0015/en" TargetMode="External"/><Relationship Id="rId20" Type="http://schemas.openxmlformats.org/officeDocument/2006/relationships/hyperlink" Target="https://documents.un.org/doc/undoc/gen/n05/502/72/pdf/n055027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5/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WGWSIS41-C-0018/en" TargetMode="External"/><Relationship Id="rId23" Type="http://schemas.openxmlformats.org/officeDocument/2006/relationships/header" Target="header1.xml"/><Relationship Id="rId10" Type="http://schemas.openxmlformats.org/officeDocument/2006/relationships/hyperlink" Target="https://www.itu.int/md/S24-CL-C-0141/en" TargetMode="External"/><Relationship Id="rId19" Type="http://schemas.openxmlformats.org/officeDocument/2006/relationships/hyperlink" Target="https://undocs.org/Home/Mobile?FinalSymbol=A%2F78%2F265&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https://www.itu.int/en/council/Documents/basic-texts-2023/RES-214-E.pdf" TargetMode="External"/><Relationship Id="rId14" Type="http://schemas.openxmlformats.org/officeDocument/2006/relationships/hyperlink" Target="https://www.itu.int/md/S25-CWGWSIS42-C-0006/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4-CL-INF-001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789</Words>
  <Characters>6102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the joint efforts on AI capacity-building of ITU</dc:title>
  <dc:subject>ITU Council Working Group on WSIS &amp; SDGs</dc:subject>
  <dc:creator>LRT</dc:creator>
  <cp:keywords>CWG-WSIS&amp;SDG</cp:keywords>
  <dc:description/>
  <cp:lastModifiedBy>GBS</cp:lastModifiedBy>
  <cp:revision>3</cp:revision>
  <dcterms:created xsi:type="dcterms:W3CDTF">2025-01-29T07:45:00Z</dcterms:created>
  <dcterms:modified xsi:type="dcterms:W3CDTF">2025-01-29T07:59:00Z</dcterms:modified>
  <cp:category>Conference document</cp:category>
</cp:coreProperties>
</file>