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C2C8F"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51450269"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A8243A">
              <w:rPr>
                <w:b/>
                <w:lang w:val="fr-FR"/>
              </w:rPr>
              <w:t>4</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541ED567" w:rsidR="00AD3606" w:rsidRPr="00147C54" w:rsidRDefault="003D3E56" w:rsidP="00AD3606">
            <w:pPr>
              <w:tabs>
                <w:tab w:val="left" w:pos="851"/>
              </w:tabs>
              <w:spacing w:before="0"/>
              <w:jc w:val="right"/>
              <w:rPr>
                <w:b/>
              </w:rPr>
            </w:pPr>
            <w:r>
              <w:rPr>
                <w:b/>
              </w:rPr>
              <w:t>10</w:t>
            </w:r>
            <w:r w:rsidR="009F730D">
              <w:rPr>
                <w:b/>
              </w:rPr>
              <w:t xml:space="preserve"> January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5B9466AD"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BC2C8F">
              <w:t>Secretary-General</w:t>
            </w:r>
          </w:p>
        </w:tc>
      </w:tr>
      <w:tr w:rsidR="00AD3606" w:rsidRPr="00147C54" w14:paraId="2516B450" w14:textId="77777777" w:rsidTr="00AD3606">
        <w:trPr>
          <w:cantSplit/>
        </w:trPr>
        <w:tc>
          <w:tcPr>
            <w:tcW w:w="9214" w:type="dxa"/>
            <w:gridSpan w:val="2"/>
            <w:tcMar>
              <w:left w:w="0" w:type="dxa"/>
            </w:tcMar>
          </w:tcPr>
          <w:p w14:paraId="6AAA5F4B" w14:textId="27B3D9B7" w:rsidR="00AD3606" w:rsidRPr="00147C54" w:rsidRDefault="00771A26" w:rsidP="00E4728B">
            <w:pPr>
              <w:pStyle w:val="Subtitle"/>
              <w:framePr w:hSpace="0" w:wrap="auto" w:xAlign="left" w:yAlign="inline"/>
            </w:pPr>
            <w:bookmarkStart w:id="9" w:name="dtitle1" w:colFirst="0" w:colLast="0"/>
            <w:bookmarkEnd w:id="8"/>
            <w:r w:rsidRPr="00574187">
              <w:t>UPDATE ON ITU S</w:t>
            </w:r>
            <w:r>
              <w:t>ECRETARY-</w:t>
            </w:r>
            <w:r w:rsidRPr="00574187">
              <w:t>G</w:t>
            </w:r>
            <w:r>
              <w:t>ENERAL’</w:t>
            </w:r>
            <w:r w:rsidRPr="00574187">
              <w:t xml:space="preserve">S WSIS+20 </w:t>
            </w:r>
            <w:r>
              <w:t>R</w:t>
            </w:r>
            <w:r w:rsidRPr="00574187">
              <w:t>OADMAP</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42D77E10" w14:textId="77777777" w:rsidR="0093299C" w:rsidRPr="00CE519E" w:rsidRDefault="0093299C" w:rsidP="0093299C">
            <w:pPr>
              <w:pStyle w:val="Headingb"/>
            </w:pPr>
            <w:r w:rsidRPr="00CE519E">
              <w:t>Purpose</w:t>
            </w:r>
          </w:p>
          <w:p w14:paraId="600C0979" w14:textId="39B40DFC" w:rsidR="0093299C" w:rsidRPr="003F3796" w:rsidRDefault="0093299C" w:rsidP="00CC6015">
            <w:pPr>
              <w:jc w:val="both"/>
            </w:pPr>
            <w:r w:rsidRPr="00F06E73">
              <w:t>The document provides an update on the ITU Secretary-General’s WSIS+20 Roadmap</w:t>
            </w:r>
            <w:r>
              <w:t xml:space="preserve"> </w:t>
            </w:r>
            <w:r w:rsidRPr="00574187">
              <w:t>(i</w:t>
            </w:r>
            <w:r>
              <w:t>ncluding</w:t>
            </w:r>
            <w:r w:rsidRPr="00574187">
              <w:t xml:space="preserve"> 20 years of implementation</w:t>
            </w:r>
            <w:r>
              <w:t xml:space="preserve"> of</w:t>
            </w:r>
            <w:r w:rsidRPr="00574187">
              <w:t xml:space="preserve"> WSIS Action Lines)</w:t>
            </w:r>
            <w:r>
              <w:t>.</w:t>
            </w:r>
          </w:p>
          <w:p w14:paraId="48D442BE" w14:textId="77777777" w:rsidR="0093299C" w:rsidRPr="00CE519E" w:rsidRDefault="0093299C" w:rsidP="00CC6015">
            <w:pPr>
              <w:pStyle w:val="Headingb"/>
              <w:jc w:val="both"/>
            </w:pPr>
            <w:r w:rsidRPr="00CE519E">
              <w:t>Action required</w:t>
            </w:r>
          </w:p>
          <w:p w14:paraId="6D7047AD" w14:textId="07880D5C" w:rsidR="0025570E" w:rsidRPr="004405AB" w:rsidRDefault="0093299C" w:rsidP="00CC6015">
            <w:pPr>
              <w:spacing w:before="160"/>
              <w:jc w:val="both"/>
            </w:pPr>
            <w:r w:rsidRPr="00754DFC">
              <w:t xml:space="preserve">The Council Working Group on WSIS and the SDGs is invited </w:t>
            </w:r>
            <w:r w:rsidRPr="00CE519E">
              <w:t>to</w:t>
            </w:r>
            <w:r w:rsidRPr="001137A9">
              <w:rPr>
                <w:b/>
                <w:bCs/>
              </w:rPr>
              <w:t xml:space="preserve"> review</w:t>
            </w:r>
            <w:r w:rsidRPr="001137A9">
              <w:t xml:space="preserve"> this document and </w:t>
            </w:r>
            <w:r w:rsidRPr="001137A9">
              <w:rPr>
                <w:b/>
                <w:bCs/>
              </w:rPr>
              <w:t>contribute</w:t>
            </w:r>
            <w:r w:rsidRPr="001137A9">
              <w:t xml:space="preserve"> to implementation of the roadmap</w:t>
            </w:r>
            <w:r w:rsidR="002F2D06" w:rsidRPr="00793BE2">
              <w: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569BD8A" w14:textId="4D51A306" w:rsidR="00AD3606" w:rsidRPr="00E827F8" w:rsidRDefault="00B654A0" w:rsidP="00CC6015">
            <w:pPr>
              <w:spacing w:after="160"/>
              <w:jc w:val="both"/>
              <w:rPr>
                <w:i/>
                <w:iCs/>
                <w:sz w:val="22"/>
                <w:szCs w:val="22"/>
              </w:rPr>
            </w:pPr>
            <w:hyperlink r:id="rId11" w:history="1">
              <w:r w:rsidRPr="00E827F8">
                <w:rPr>
                  <w:rStyle w:val="Hyperlink"/>
                  <w:i/>
                  <w:iCs/>
                  <w:sz w:val="22"/>
                  <w:szCs w:val="22"/>
                </w:rPr>
                <w:t>CWG-WSIS&amp;SDG website</w:t>
              </w:r>
            </w:hyperlink>
            <w:r w:rsidRPr="00E827F8">
              <w:rPr>
                <w:i/>
                <w:iCs/>
                <w:sz w:val="22"/>
                <w:szCs w:val="22"/>
              </w:rPr>
              <w:t xml:space="preserve">; </w:t>
            </w:r>
            <w:hyperlink r:id="rId12" w:history="1">
              <w:r w:rsidRPr="00E827F8">
                <w:rPr>
                  <w:rStyle w:val="Hyperlink"/>
                  <w:i/>
                  <w:iCs/>
                  <w:sz w:val="22"/>
                  <w:szCs w:val="22"/>
                </w:rPr>
                <w:t>CWG-WSIS&amp;SDG website</w:t>
              </w:r>
            </w:hyperlink>
            <w:r w:rsidRPr="00E827F8">
              <w:rPr>
                <w:i/>
                <w:iCs/>
                <w:sz w:val="22"/>
                <w:szCs w:val="22"/>
              </w:rPr>
              <w:t xml:space="preserve">; UNGA Resolutions </w:t>
            </w:r>
            <w:hyperlink r:id="rId13" w:history="1">
              <w:r w:rsidRPr="00E827F8">
                <w:rPr>
                  <w:rStyle w:val="Hyperlink"/>
                  <w:i/>
                  <w:iCs/>
                  <w:sz w:val="22"/>
                  <w:szCs w:val="22"/>
                </w:rPr>
                <w:t>A/RES/70/125</w:t>
              </w:r>
            </w:hyperlink>
            <w:r w:rsidRPr="00E827F8">
              <w:rPr>
                <w:i/>
                <w:iCs/>
                <w:sz w:val="22"/>
                <w:szCs w:val="22"/>
                <w:u w:val="single"/>
              </w:rPr>
              <w:t>,</w:t>
            </w:r>
            <w:r w:rsidRPr="00E827F8">
              <w:rPr>
                <w:i/>
                <w:iCs/>
                <w:sz w:val="22"/>
                <w:szCs w:val="22"/>
              </w:rPr>
              <w:t xml:space="preserve"> </w:t>
            </w:r>
            <w:hyperlink r:id="rId14" w:history="1">
              <w:r w:rsidRPr="00E827F8">
                <w:rPr>
                  <w:rStyle w:val="Hyperlink"/>
                  <w:i/>
                  <w:iCs/>
                  <w:sz w:val="22"/>
                  <w:szCs w:val="22"/>
                </w:rPr>
                <w:t>A/RES/70/1</w:t>
              </w:r>
            </w:hyperlink>
            <w:r w:rsidRPr="00E827F8">
              <w:rPr>
                <w:i/>
                <w:iCs/>
                <w:sz w:val="22"/>
                <w:szCs w:val="22"/>
              </w:rPr>
              <w:t xml:space="preserve">, </w:t>
            </w:r>
            <w:hyperlink r:id="rId15" w:history="1">
              <w:r w:rsidRPr="00E827F8">
                <w:rPr>
                  <w:rStyle w:val="Hyperlink"/>
                  <w:i/>
                  <w:iCs/>
                  <w:sz w:val="22"/>
                  <w:szCs w:val="22"/>
                </w:rPr>
                <w:t>A/71/212,</w:t>
              </w:r>
            </w:hyperlink>
            <w:r w:rsidRPr="00E827F8">
              <w:rPr>
                <w:i/>
                <w:iCs/>
                <w:sz w:val="22"/>
                <w:szCs w:val="22"/>
              </w:rPr>
              <w:t xml:space="preserve"> </w:t>
            </w:r>
            <w:hyperlink r:id="rId16" w:history="1">
              <w:r w:rsidRPr="00E827F8">
                <w:rPr>
                  <w:rStyle w:val="Hyperlink"/>
                  <w:i/>
                  <w:iCs/>
                  <w:sz w:val="22"/>
                  <w:szCs w:val="22"/>
                </w:rPr>
                <w:t>A/70/299</w:t>
              </w:r>
            </w:hyperlink>
            <w:r w:rsidRPr="00E827F8">
              <w:rPr>
                <w:i/>
                <w:iCs/>
                <w:sz w:val="22"/>
                <w:szCs w:val="22"/>
              </w:rPr>
              <w:t xml:space="preserve">, </w:t>
            </w:r>
            <w:hyperlink r:id="rId17" w:history="1">
              <w:r w:rsidRPr="00E827F8">
                <w:rPr>
                  <w:rStyle w:val="Hyperlink"/>
                  <w:i/>
                  <w:iCs/>
                  <w:sz w:val="22"/>
                  <w:szCs w:val="22"/>
                </w:rPr>
                <w:t>A/70/684</w:t>
              </w:r>
            </w:hyperlink>
            <w:r w:rsidRPr="00E827F8">
              <w:rPr>
                <w:i/>
                <w:iCs/>
                <w:sz w:val="22"/>
                <w:szCs w:val="22"/>
              </w:rPr>
              <w:t xml:space="preserve">, </w:t>
            </w:r>
            <w:hyperlink r:id="rId18" w:history="1">
              <w:r w:rsidRPr="00E827F8">
                <w:rPr>
                  <w:rStyle w:val="Hyperlink"/>
                  <w:i/>
                  <w:iCs/>
                  <w:sz w:val="22"/>
                  <w:szCs w:val="22"/>
                </w:rPr>
                <w:t>A/RES/73/218</w:t>
              </w:r>
            </w:hyperlink>
            <w:r w:rsidRPr="00E827F8">
              <w:rPr>
                <w:i/>
                <w:iCs/>
                <w:sz w:val="22"/>
                <w:szCs w:val="22"/>
              </w:rPr>
              <w:t xml:space="preserve">; UN ECOSOC Resolution </w:t>
            </w:r>
            <w:hyperlink r:id="rId19">
              <w:r w:rsidRPr="00E827F8">
                <w:rPr>
                  <w:rStyle w:val="Hyperlink"/>
                  <w:rFonts w:eastAsia="Calibri" w:cs="Calibri"/>
                  <w:i/>
                  <w:iCs/>
                  <w:sz w:val="22"/>
                  <w:szCs w:val="22"/>
                </w:rPr>
                <w:t>E/RES/2023/3</w:t>
              </w:r>
            </w:hyperlink>
            <w:r w:rsidRPr="00E827F8">
              <w:rPr>
                <w:i/>
                <w:iCs/>
                <w:sz w:val="22"/>
                <w:szCs w:val="22"/>
              </w:rPr>
              <w:t xml:space="preserve">; </w:t>
            </w:r>
            <w:hyperlink r:id="rId20" w:history="1">
              <w:r w:rsidRPr="00E827F8">
                <w:rPr>
                  <w:rStyle w:val="Hyperlink"/>
                  <w:i/>
                  <w:iCs/>
                  <w:sz w:val="22"/>
                  <w:szCs w:val="22"/>
                </w:rPr>
                <w:t>Resolution 140 (Rev. Bucharest, 2022)</w:t>
              </w:r>
            </w:hyperlink>
            <w:r w:rsidRPr="00E827F8">
              <w:rPr>
                <w:i/>
                <w:iCs/>
                <w:sz w:val="22"/>
                <w:szCs w:val="22"/>
              </w:rPr>
              <w:t xml:space="preserve">; </w:t>
            </w:r>
            <w:hyperlink r:id="rId21" w:history="1">
              <w:r w:rsidRPr="00E827F8">
                <w:rPr>
                  <w:rStyle w:val="Hyperlink"/>
                  <w:i/>
                  <w:iCs/>
                  <w:sz w:val="22"/>
                  <w:szCs w:val="22"/>
                </w:rPr>
                <w:t>Resolution 172 (Rev. Guadalajara, 2010)</w:t>
              </w:r>
            </w:hyperlink>
            <w:r w:rsidRPr="00E827F8">
              <w:rPr>
                <w:rStyle w:val="Hyperlink"/>
                <w:i/>
                <w:iCs/>
                <w:sz w:val="22"/>
                <w:szCs w:val="22"/>
              </w:rPr>
              <w:t>;</w:t>
            </w:r>
            <w:r w:rsidRPr="00E827F8">
              <w:rPr>
                <w:i/>
                <w:iCs/>
                <w:sz w:val="22"/>
                <w:szCs w:val="22"/>
              </w:rPr>
              <w:t xml:space="preserve"> </w:t>
            </w:r>
            <w:hyperlink r:id="rId22" w:history="1">
              <w:r w:rsidRPr="00E827F8">
                <w:rPr>
                  <w:rStyle w:val="Hyperlink"/>
                  <w:i/>
                  <w:iCs/>
                  <w:sz w:val="22"/>
                  <w:szCs w:val="22"/>
                </w:rPr>
                <w:t>Resolution 71 (Rev. Bucharest 2022)</w:t>
              </w:r>
            </w:hyperlink>
            <w:r w:rsidRPr="00E827F8">
              <w:rPr>
                <w:i/>
                <w:iCs/>
                <w:sz w:val="22"/>
                <w:szCs w:val="22"/>
              </w:rPr>
              <w:t xml:space="preserve"> of the Plenipotentiary Conference; </w:t>
            </w:r>
            <w:r w:rsidRPr="00E827F8">
              <w:rPr>
                <w:rStyle w:val="Hyperlink"/>
                <w:i/>
                <w:iCs/>
                <w:sz w:val="22"/>
                <w:szCs w:val="22"/>
              </w:rPr>
              <w:t xml:space="preserve">Council </w:t>
            </w:r>
            <w:hyperlink r:id="rId23" w:history="1">
              <w:r w:rsidRPr="00E827F8">
                <w:rPr>
                  <w:rStyle w:val="Hyperlink"/>
                  <w:i/>
                  <w:iCs/>
                  <w:sz w:val="22"/>
                  <w:szCs w:val="22"/>
                </w:rPr>
                <w:t>Resolution 1332 (Modified 2024)</w:t>
              </w:r>
            </w:hyperlink>
            <w:r w:rsidRPr="00E827F8">
              <w:rPr>
                <w:i/>
                <w:iCs/>
                <w:sz w:val="22"/>
                <w:szCs w:val="22"/>
              </w:rPr>
              <w:t xml:space="preserve">, </w:t>
            </w:r>
            <w:hyperlink r:id="rId24" w:history="1">
              <w:r w:rsidRPr="00E827F8">
                <w:rPr>
                  <w:rStyle w:val="Hyperlink"/>
                  <w:i/>
                  <w:iCs/>
                  <w:sz w:val="22"/>
                  <w:szCs w:val="22"/>
                </w:rPr>
                <w:t>Resolution 1334 (Modified 2023)</w:t>
              </w:r>
            </w:hyperlink>
            <w:r w:rsidRPr="00E827F8">
              <w:rPr>
                <w:i/>
                <w:iCs/>
                <w:sz w:val="22"/>
                <w:szCs w:val="22"/>
              </w:rPr>
              <w:t xml:space="preserve">; </w:t>
            </w:r>
            <w:hyperlink r:id="rId25" w:history="1">
              <w:r w:rsidRPr="00E827F8">
                <w:rPr>
                  <w:rStyle w:val="Hyperlink"/>
                  <w:i/>
                  <w:iCs/>
                  <w:sz w:val="22"/>
                  <w:szCs w:val="22"/>
                </w:rPr>
                <w:t>WTDC Resolution 30 (Rev. Kigali, 2022)</w:t>
              </w:r>
            </w:hyperlink>
            <w:r w:rsidRPr="00E827F8">
              <w:rPr>
                <w:i/>
                <w:iCs/>
                <w:sz w:val="22"/>
                <w:szCs w:val="22"/>
                <w:u w:val="single"/>
              </w:rPr>
              <w:t xml:space="preserve">; </w:t>
            </w:r>
            <w:hyperlink r:id="rId26" w:history="1">
              <w:r w:rsidRPr="00E827F8">
                <w:rPr>
                  <w:rStyle w:val="Hyperlink"/>
                  <w:i/>
                  <w:iCs/>
                  <w:sz w:val="22"/>
                  <w:szCs w:val="22"/>
                </w:rPr>
                <w:t>WTSA Resolution 75 (Rev. Geneva, 2022)</w:t>
              </w:r>
            </w:hyperlink>
            <w:r w:rsidRPr="00E827F8">
              <w:rPr>
                <w:i/>
                <w:iCs/>
                <w:sz w:val="22"/>
                <w:szCs w:val="22"/>
              </w:rPr>
              <w:t xml:space="preserve">; </w:t>
            </w:r>
            <w:hyperlink r:id="rId27" w:history="1">
              <w:r w:rsidRPr="00E827F8">
                <w:rPr>
                  <w:rStyle w:val="Hyperlink"/>
                  <w:i/>
                  <w:iCs/>
                  <w:sz w:val="22"/>
                  <w:szCs w:val="22"/>
                </w:rPr>
                <w:t>WRC Resolution 61-3 (Rev. Dubai, 2023</w:t>
              </w:r>
              <w:r w:rsidRPr="00E827F8">
                <w:rPr>
                  <w:rStyle w:val="Hyperlink"/>
                  <w:sz w:val="22"/>
                  <w:szCs w:val="22"/>
                </w:rPr>
                <w:t>)</w:t>
              </w:r>
            </w:hyperlink>
            <w:r w:rsidRPr="00E827F8">
              <w:rPr>
                <w:rStyle w:val="Hyperlink"/>
                <w:sz w:val="22"/>
                <w:szCs w:val="22"/>
              </w:rPr>
              <w:t>;</w:t>
            </w:r>
            <w:r w:rsidRPr="00E827F8">
              <w:rPr>
                <w:i/>
                <w:iCs/>
                <w:sz w:val="22"/>
                <w:szCs w:val="22"/>
              </w:rPr>
              <w:t xml:space="preserve"> Reports of the CWG-WSIS&amp;SDG meetings </w:t>
            </w:r>
            <w:hyperlink r:id="rId28" w:history="1">
              <w:r w:rsidRPr="00E827F8">
                <w:rPr>
                  <w:rStyle w:val="Hyperlink"/>
                  <w:i/>
                  <w:iCs/>
                  <w:sz w:val="22"/>
                  <w:szCs w:val="22"/>
                </w:rPr>
                <w:t>33</w:t>
              </w:r>
              <w:r w:rsidRPr="00E827F8">
                <w:rPr>
                  <w:rStyle w:val="Hyperlink"/>
                  <w:i/>
                  <w:iCs/>
                  <w:sz w:val="22"/>
                  <w:szCs w:val="22"/>
                  <w:vertAlign w:val="superscript"/>
                </w:rPr>
                <w:t>rd</w:t>
              </w:r>
              <w:r w:rsidRPr="00E827F8">
                <w:rPr>
                  <w:rStyle w:val="Hyperlink"/>
                  <w:i/>
                  <w:iCs/>
                  <w:sz w:val="22"/>
                  <w:szCs w:val="22"/>
                </w:rPr>
                <w:t>, 34</w:t>
              </w:r>
              <w:r w:rsidRPr="00E827F8">
                <w:rPr>
                  <w:rStyle w:val="Hyperlink"/>
                  <w:i/>
                  <w:iCs/>
                  <w:sz w:val="22"/>
                  <w:szCs w:val="22"/>
                  <w:vertAlign w:val="superscript"/>
                </w:rPr>
                <w:t>th</w:t>
              </w:r>
              <w:r w:rsidRPr="00E827F8">
                <w:rPr>
                  <w:rStyle w:val="Hyperlink"/>
                  <w:i/>
                  <w:iCs/>
                  <w:sz w:val="22"/>
                  <w:szCs w:val="22"/>
                </w:rPr>
                <w:t>, 35</w:t>
              </w:r>
              <w:r w:rsidRPr="00E827F8">
                <w:rPr>
                  <w:rStyle w:val="Hyperlink"/>
                  <w:i/>
                  <w:iCs/>
                  <w:sz w:val="22"/>
                  <w:szCs w:val="22"/>
                  <w:vertAlign w:val="superscript"/>
                </w:rPr>
                <w:t>th</w:t>
              </w:r>
              <w:r w:rsidRPr="00E827F8">
                <w:rPr>
                  <w:rStyle w:val="Hyperlink"/>
                  <w:i/>
                  <w:iCs/>
                  <w:sz w:val="22"/>
                  <w:szCs w:val="22"/>
                </w:rPr>
                <w:t>, 36</w:t>
              </w:r>
              <w:r w:rsidRPr="00E827F8">
                <w:rPr>
                  <w:rStyle w:val="Hyperlink"/>
                  <w:i/>
                  <w:iCs/>
                  <w:sz w:val="22"/>
                  <w:szCs w:val="22"/>
                  <w:vertAlign w:val="superscript"/>
                </w:rPr>
                <w:t>th</w:t>
              </w:r>
              <w:r w:rsidRPr="00E827F8">
                <w:rPr>
                  <w:rStyle w:val="Hyperlink"/>
                  <w:i/>
                  <w:iCs/>
                  <w:sz w:val="22"/>
                  <w:szCs w:val="22"/>
                </w:rPr>
                <w:t>, 37</w:t>
              </w:r>
              <w:r w:rsidRPr="00E827F8">
                <w:rPr>
                  <w:rStyle w:val="Hyperlink"/>
                  <w:i/>
                  <w:iCs/>
                  <w:sz w:val="22"/>
                  <w:szCs w:val="22"/>
                  <w:vertAlign w:val="superscript"/>
                </w:rPr>
                <w:t>th</w:t>
              </w:r>
              <w:r w:rsidRPr="00E827F8">
                <w:rPr>
                  <w:rStyle w:val="Hyperlink"/>
                  <w:i/>
                  <w:iCs/>
                  <w:sz w:val="22"/>
                  <w:szCs w:val="22"/>
                </w:rPr>
                <w:t>, 38</w:t>
              </w:r>
              <w:r w:rsidRPr="00E827F8">
                <w:rPr>
                  <w:rStyle w:val="Hyperlink"/>
                  <w:i/>
                  <w:iCs/>
                  <w:sz w:val="22"/>
                  <w:szCs w:val="22"/>
                  <w:vertAlign w:val="superscript"/>
                </w:rPr>
                <w:t>th</w:t>
              </w:r>
              <w:r w:rsidRPr="00E827F8">
                <w:rPr>
                  <w:rStyle w:val="Hyperlink"/>
                  <w:i/>
                  <w:iCs/>
                  <w:sz w:val="22"/>
                  <w:szCs w:val="22"/>
                </w:rPr>
                <w:t>, 39</w:t>
              </w:r>
              <w:r w:rsidRPr="00E827F8">
                <w:rPr>
                  <w:rStyle w:val="Hyperlink"/>
                  <w:i/>
                  <w:iCs/>
                  <w:sz w:val="22"/>
                  <w:szCs w:val="22"/>
                  <w:vertAlign w:val="superscript"/>
                </w:rPr>
                <w:t>th</w:t>
              </w:r>
            </w:hyperlink>
            <w:r w:rsidRPr="00E827F8">
              <w:rPr>
                <w:i/>
                <w:iCs/>
                <w:sz w:val="22"/>
                <w:szCs w:val="22"/>
              </w:rPr>
              <w:t xml:space="preserve">, </w:t>
            </w:r>
            <w:hyperlink r:id="rId29" w:history="1">
              <w:r w:rsidRPr="00E827F8">
                <w:rPr>
                  <w:rStyle w:val="Hyperlink"/>
                  <w:i/>
                  <w:iCs/>
                  <w:sz w:val="22"/>
                  <w:szCs w:val="22"/>
                </w:rPr>
                <w:t>40</w:t>
              </w:r>
              <w:r w:rsidRPr="00E827F8">
                <w:rPr>
                  <w:rStyle w:val="Hyperlink"/>
                  <w:i/>
                  <w:iCs/>
                  <w:sz w:val="22"/>
                  <w:szCs w:val="22"/>
                  <w:vertAlign w:val="superscript"/>
                </w:rPr>
                <w:t>th</w:t>
              </w:r>
            </w:hyperlink>
            <w:r w:rsidRPr="00E827F8">
              <w:rPr>
                <w:i/>
                <w:iCs/>
                <w:sz w:val="22"/>
                <w:szCs w:val="22"/>
              </w:rPr>
              <w:t xml:space="preserve">, </w:t>
            </w:r>
            <w:hyperlink r:id="rId30" w:history="1">
              <w:r w:rsidRPr="00E827F8">
                <w:rPr>
                  <w:rStyle w:val="Hyperlink"/>
                  <w:i/>
                  <w:iCs/>
                  <w:sz w:val="22"/>
                  <w:szCs w:val="22"/>
                </w:rPr>
                <w:t>41</w:t>
              </w:r>
              <w:r w:rsidRPr="00E827F8">
                <w:rPr>
                  <w:rStyle w:val="Hyperlink"/>
                  <w:i/>
                  <w:iCs/>
                  <w:sz w:val="22"/>
                  <w:szCs w:val="22"/>
                  <w:vertAlign w:val="superscript"/>
                </w:rPr>
                <w:t>st</w:t>
              </w:r>
            </w:hyperlink>
            <w:r w:rsidRPr="00E827F8">
              <w:rPr>
                <w:i/>
                <w:iCs/>
                <w:sz w:val="22"/>
                <w:szCs w:val="22"/>
              </w:rPr>
              <w:t xml:space="preserve">; </w:t>
            </w:r>
            <w:hyperlink r:id="rId31" w:history="1">
              <w:r w:rsidRPr="00E827F8">
                <w:rPr>
                  <w:rStyle w:val="Hyperlink"/>
                  <w:i/>
                  <w:iCs/>
                  <w:sz w:val="22"/>
                  <w:szCs w:val="22"/>
                </w:rPr>
                <w:t>Report on the Outcomes of the CWG-WSIS&amp;SDG Meetings held since PP-18</w:t>
              </w:r>
            </w:hyperlink>
            <w:r w:rsidRPr="00E827F8">
              <w:rPr>
                <w:i/>
                <w:iCs/>
                <w:sz w:val="22"/>
                <w:szCs w:val="22"/>
              </w:rPr>
              <w:t xml:space="preserve">; </w:t>
            </w:r>
            <w:hyperlink r:id="rId32" w:history="1">
              <w:r w:rsidRPr="00E827F8">
                <w:rPr>
                  <w:rStyle w:val="Hyperlink"/>
                  <w:i/>
                  <w:iCs/>
                  <w:sz w:val="22"/>
                  <w:szCs w:val="22"/>
                </w:rPr>
                <w:t>Report on the Outcomes of the CWG-WSIS&amp;SDG Meetings held since Council 21</w:t>
              </w:r>
            </w:hyperlink>
            <w:r w:rsidRPr="00E827F8">
              <w:rPr>
                <w:i/>
                <w:iCs/>
                <w:sz w:val="22"/>
                <w:szCs w:val="22"/>
              </w:rPr>
              <w:t xml:space="preserve">; </w:t>
            </w:r>
            <w:hyperlink r:id="rId33" w:history="1">
              <w:r w:rsidRPr="00E827F8">
                <w:rPr>
                  <w:rStyle w:val="Hyperlink"/>
                  <w:i/>
                  <w:iCs/>
                  <w:sz w:val="22"/>
                  <w:szCs w:val="22"/>
                </w:rPr>
                <w:t>Roadmap for ITU’s Activities to Help Achieve the 2030 Agenda for Sustainable Development</w:t>
              </w:r>
            </w:hyperlink>
            <w:r w:rsidRPr="00E827F8">
              <w:rPr>
                <w:i/>
                <w:iCs/>
                <w:sz w:val="22"/>
                <w:szCs w:val="22"/>
              </w:rPr>
              <w:t xml:space="preserve">; </w:t>
            </w:r>
            <w:hyperlink r:id="rId34" w:history="1">
              <w:r w:rsidRPr="00E827F8">
                <w:rPr>
                  <w:rStyle w:val="Hyperlink"/>
                  <w:i/>
                  <w:iCs/>
                  <w:sz w:val="22"/>
                  <w:szCs w:val="22"/>
                </w:rPr>
                <w:t>ITU Council Contribution to the High-Level Political Forum (HLPF) 2024</w:t>
              </w:r>
              <w:r w:rsidRPr="00E827F8">
                <w:rPr>
                  <w:rStyle w:val="Hyperlink"/>
                  <w:i/>
                  <w:iCs/>
                  <w:color w:val="auto"/>
                  <w:sz w:val="22"/>
                  <w:szCs w:val="22"/>
                  <w:u w:val="none"/>
                </w:rPr>
                <w:t>;</w:t>
              </w:r>
            </w:hyperlink>
            <w:r w:rsidRPr="00E827F8">
              <w:rPr>
                <w:i/>
                <w:iCs/>
                <w:sz w:val="22"/>
                <w:szCs w:val="22"/>
              </w:rPr>
              <w:t xml:space="preserve"> </w:t>
            </w:r>
            <w:bookmarkStart w:id="10" w:name="_Hlk132417791"/>
            <w:r w:rsidRPr="00E827F8">
              <w:rPr>
                <w:i/>
                <w:iCs/>
                <w:sz w:val="22"/>
                <w:szCs w:val="22"/>
                <w:u w:val="single"/>
              </w:rPr>
              <w:fldChar w:fldCharType="begin"/>
            </w:r>
            <w:r w:rsidRPr="00E827F8">
              <w:rPr>
                <w:i/>
                <w:iCs/>
                <w:sz w:val="22"/>
                <w:szCs w:val="22"/>
                <w:u w:val="single"/>
              </w:rPr>
              <w:instrText>HYPERLINK "https://www.itu.int/md/S22-PP-C-0047/en"</w:instrText>
            </w:r>
            <w:r w:rsidRPr="00E827F8">
              <w:rPr>
                <w:i/>
                <w:iCs/>
                <w:sz w:val="22"/>
                <w:szCs w:val="22"/>
                <w:u w:val="single"/>
              </w:rPr>
            </w:r>
            <w:r w:rsidRPr="00E827F8">
              <w:rPr>
                <w:i/>
                <w:iCs/>
                <w:sz w:val="22"/>
                <w:szCs w:val="22"/>
                <w:u w:val="single"/>
              </w:rPr>
              <w:fldChar w:fldCharType="separate"/>
            </w:r>
            <w:r w:rsidRPr="00E827F8">
              <w:rPr>
                <w:rStyle w:val="Hyperlink"/>
                <w:i/>
                <w:iCs/>
                <w:sz w:val="22"/>
                <w:szCs w:val="22"/>
              </w:rPr>
              <w:t>World Summit on the Information Society (WSIS)+20: WSIS beyond 2025 - WSIS+20 Roadmap</w:t>
            </w:r>
            <w:r w:rsidRPr="00E827F8">
              <w:rPr>
                <w:rStyle w:val="Hyperlink"/>
                <w:i/>
                <w:iCs/>
                <w:color w:val="auto"/>
                <w:sz w:val="22"/>
                <w:szCs w:val="22"/>
                <w:u w:val="none"/>
              </w:rPr>
              <w:t xml:space="preserve">; </w:t>
            </w:r>
            <w:hyperlink r:id="rId35" w:history="1">
              <w:r w:rsidRPr="00E827F8">
                <w:rPr>
                  <w:rStyle w:val="Hyperlink"/>
                  <w:i/>
                  <w:iCs/>
                  <w:sz w:val="22"/>
                  <w:szCs w:val="22"/>
                </w:rPr>
                <w:t>Reporting on the implementation of the WTDC-22 Kigali Action Plan (including regional initiatives)</w:t>
              </w:r>
              <w:r w:rsidRPr="00E827F8">
                <w:rPr>
                  <w:rStyle w:val="Hyperlink"/>
                  <w:i/>
                  <w:iCs/>
                  <w:color w:val="auto"/>
                  <w:sz w:val="22"/>
                  <w:szCs w:val="22"/>
                  <w:u w:val="none"/>
                </w:rPr>
                <w:t xml:space="preserve">, </w:t>
              </w:r>
              <w:r w:rsidRPr="00E827F8">
                <w:rPr>
                  <w:rStyle w:val="Hyperlink"/>
                  <w:i/>
                  <w:iCs/>
                  <w:sz w:val="22"/>
                  <w:szCs w:val="22"/>
                </w:rPr>
                <w:t>and contribution to the implementation of the WSIS Plan of Action and the Sustainable Development Goals (SDGs)</w:t>
              </w:r>
              <w:r w:rsidRPr="00E827F8">
                <w:rPr>
                  <w:rStyle w:val="Hyperlink"/>
                  <w:i/>
                  <w:iCs/>
                  <w:sz w:val="22"/>
                  <w:szCs w:val="22"/>
                  <w:lang w:val="en-US"/>
                </w:rPr>
                <w:t>”</w:t>
              </w:r>
            </w:hyperlink>
            <w:r w:rsidRPr="00E827F8">
              <w:rPr>
                <w:rStyle w:val="Hyperlink"/>
                <w:i/>
                <w:iCs/>
                <w:sz w:val="22"/>
                <w:szCs w:val="22"/>
              </w:rPr>
              <w:t>.</w:t>
            </w:r>
            <w:r w:rsidRPr="00E827F8">
              <w:rPr>
                <w:i/>
                <w:iCs/>
                <w:sz w:val="22"/>
                <w:szCs w:val="22"/>
              </w:rPr>
              <w:fldChar w:fldCharType="end"/>
            </w:r>
            <w:bookmarkEnd w:id="10"/>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DD16140" w14:textId="77777777" w:rsidR="00F313E9" w:rsidRPr="00362EE0" w:rsidRDefault="00F313E9" w:rsidP="00CC6015">
      <w:pPr>
        <w:jc w:val="both"/>
        <w:rPr>
          <w:lang w:val="en-US"/>
        </w:rPr>
      </w:pPr>
      <w:r>
        <w:lastRenderedPageBreak/>
        <w:t xml:space="preserve">Following the </w:t>
      </w:r>
      <w:r w:rsidRPr="001137A9">
        <w:rPr>
          <w:lang w:val="en-US"/>
        </w:rPr>
        <w:t xml:space="preserve">updates on the implementation of the ITU Secretary-General’s roadmap </w:t>
      </w:r>
      <w:r>
        <w:rPr>
          <w:lang w:val="en-US"/>
        </w:rPr>
        <w:t xml:space="preserve">provided in the </w:t>
      </w:r>
      <w:hyperlink r:id="rId36" w:history="1">
        <w:r w:rsidRPr="00CD3D89">
          <w:rPr>
            <w:rStyle w:val="Hyperlink"/>
            <w:lang w:val="en-US"/>
          </w:rPr>
          <w:t>CWG-WSIS&amp;SDG41/11</w:t>
        </w:r>
      </w:hyperlink>
      <w:r>
        <w:t xml:space="preserve"> this report continues to </w:t>
      </w:r>
      <w:r w:rsidRPr="004B013C">
        <w:t xml:space="preserve">elaborate the ITU Secretary-General’s roadmap on the role of ITU in the WSIS+20 Review process and its preparations. It outlines ITU’s leadership in engaging stakeholders, assessing progress, and aligning WSIS Action Lines with the 2030 Agenda for Sustainable Development. </w:t>
      </w:r>
    </w:p>
    <w:p w14:paraId="548CAFD0" w14:textId="29B7A365" w:rsidR="00F313E9" w:rsidRPr="00867A7E" w:rsidRDefault="00F313E9" w:rsidP="00771A26">
      <w:pPr>
        <w:pStyle w:val="Headingb"/>
      </w:pPr>
      <w:r w:rsidRPr="00867A7E">
        <w:t xml:space="preserve">Background and </w:t>
      </w:r>
      <w:r w:rsidR="002F258B">
        <w:t>M</w:t>
      </w:r>
      <w:r w:rsidRPr="00867A7E">
        <w:t>andate</w:t>
      </w:r>
    </w:p>
    <w:p w14:paraId="4CBF4E3D" w14:textId="4005E6F8" w:rsidR="00F313E9" w:rsidRPr="002607F1" w:rsidRDefault="00F313E9" w:rsidP="00CC6015">
      <w:pPr>
        <w:jc w:val="both"/>
        <w:rPr>
          <w:lang w:val="en-US"/>
        </w:rPr>
      </w:pPr>
      <w:r w:rsidRPr="004B013C">
        <w:t xml:space="preserve">The roadmap emphasizes comprehensive preparations, including detailing activities, events, </w:t>
      </w:r>
      <w:r w:rsidRPr="00704EDA">
        <w:rPr>
          <w:spacing w:val="2"/>
        </w:rPr>
        <w:t>and reporting mechanisms, all aimed at informing the UN General Assembly Overall Review in</w:t>
      </w:r>
      <w:r w:rsidRPr="004B013C">
        <w:t xml:space="preserve"> 2025. Through collaborative efforts, it identifies priorities for advancing digital development </w:t>
      </w:r>
      <w:r w:rsidRPr="00704EDA">
        <w:rPr>
          <w:spacing w:val="-4"/>
        </w:rPr>
        <w:t>beyond 2025 while fostering global partnerships and dialogue.</w:t>
      </w:r>
      <w:r w:rsidR="004122DC" w:rsidRPr="00704EDA">
        <w:rPr>
          <w:spacing w:val="-4"/>
        </w:rPr>
        <w:t xml:space="preserve"> Please see</w:t>
      </w:r>
      <w:r w:rsidR="004122DC">
        <w:t xml:space="preserve"> </w:t>
      </w:r>
      <w:hyperlink r:id="rId37" w:history="1">
        <w:r w:rsidR="004122DC" w:rsidRPr="00CD3D89">
          <w:rPr>
            <w:rStyle w:val="Hyperlink"/>
            <w:lang w:val="en-US"/>
          </w:rPr>
          <w:t>CWG-WSIS&amp;SDG41/11</w:t>
        </w:r>
      </w:hyperlink>
      <w:r w:rsidR="004122DC">
        <w:rPr>
          <w:lang w:val="en-US"/>
        </w:rPr>
        <w:t xml:space="preserve"> </w:t>
      </w:r>
      <w:r w:rsidR="004122DC">
        <w:t>for the full list of relevant ITU and UN resolutions.</w:t>
      </w:r>
      <w:r w:rsidR="00D61664">
        <w:t xml:space="preserve"> Please note that the </w:t>
      </w:r>
      <w:r w:rsidR="00D61664" w:rsidRPr="00D61664">
        <w:rPr>
          <w:lang w:val="en-US"/>
        </w:rPr>
        <w:t xml:space="preserve">ECOSOC resolution </w:t>
      </w:r>
      <w:hyperlink r:id="rId38" w:history="1">
        <w:r w:rsidR="00D61664" w:rsidRPr="00D61664">
          <w:rPr>
            <w:rStyle w:val="Hyperlink"/>
            <w:lang w:val="en-US"/>
          </w:rPr>
          <w:t>E/RES/2024/13</w:t>
        </w:r>
      </w:hyperlink>
      <w:r w:rsidR="00D61664" w:rsidRPr="00D61664">
        <w:rPr>
          <w:lang w:val="en-US"/>
        </w:rPr>
        <w:t xml:space="preserve"> on assessing the progress of WSIS outcomes and SDGs emphasizes ITU’s role in advancing these initiatives, acknowledging ITU’s roadmap for the WSIS+20 review process</w:t>
      </w:r>
      <w:r w:rsidR="00D61664">
        <w:rPr>
          <w:lang w:val="en-US"/>
        </w:rPr>
        <w:t>, has been revised in 2024.</w:t>
      </w:r>
    </w:p>
    <w:p w14:paraId="62295CD7" w14:textId="07601FF8" w:rsidR="00F313E9" w:rsidRDefault="00AB5F55" w:rsidP="00771A26">
      <w:pPr>
        <w:pStyle w:val="Headingb"/>
      </w:pPr>
      <w:r w:rsidRPr="00AB5F55">
        <w:t>Hosting and co-organizing WSIS Forum</w:t>
      </w:r>
    </w:p>
    <w:p w14:paraId="307CCC64" w14:textId="3B8AB892" w:rsidR="00D3531D" w:rsidRPr="00D3531D" w:rsidRDefault="00D3531D" w:rsidP="00CC6015">
      <w:pPr>
        <w:jc w:val="both"/>
        <w:rPr>
          <w:bCs/>
        </w:rPr>
      </w:pPr>
      <w:r w:rsidRPr="00602E92">
        <w:rPr>
          <w:bCs/>
        </w:rPr>
        <w:t>WSIS Forum and Multi-Stakeholder Engagement: The annual WSIS Forum, organized by ITU in collaboration with UNESCO, UNDP, and UNCTAD, embodies the WSIS principles of inclusivity and multi-stakeholder engagement. Over the past two decades, it has consistently served as a key platform for deliberating the WSIS process and the implementation of WSIS Action Lines. The Forum remains a vital venue for collecting inputs to the WSIS Review process, with its outcomes regularly presented at UN CSTD annual sessions. Its discussions and innovative formats have effectively adapted to meet the evolving needs and expectations of diverse stakeholders.</w:t>
      </w:r>
    </w:p>
    <w:p w14:paraId="67DB8669" w14:textId="3CC49B1C" w:rsidR="00F313E9" w:rsidRPr="00223669" w:rsidRDefault="00771A26" w:rsidP="00771A26">
      <w:pPr>
        <w:pStyle w:val="enumlev1"/>
        <w:jc w:val="both"/>
      </w:pPr>
      <w:r w:rsidRPr="00223669">
        <w:rPr>
          <w:rFonts w:ascii="Symbol" w:hAnsi="Symbol"/>
          <w:sz w:val="20"/>
        </w:rPr>
        <w:t></w:t>
      </w:r>
      <w:r w:rsidRPr="00223669">
        <w:rPr>
          <w:rFonts w:ascii="Symbol" w:hAnsi="Symbol"/>
          <w:sz w:val="20"/>
        </w:rPr>
        <w:tab/>
      </w:r>
      <w:r w:rsidR="00F313E9" w:rsidRPr="00223669">
        <w:rPr>
          <w:b/>
          <w:bCs/>
        </w:rPr>
        <w:t>WSIS+20 Forum High-Level Event 2024 Outcomes:</w:t>
      </w:r>
      <w:r w:rsidR="00F313E9" w:rsidRPr="00223669">
        <w:t xml:space="preserve"> Following the Chair's </w:t>
      </w:r>
      <w:r w:rsidR="00717174">
        <w:t>s</w:t>
      </w:r>
      <w:r w:rsidR="00F313E9" w:rsidRPr="00223669">
        <w:t xml:space="preserve">ummary presented by the Swiss Confederation, </w:t>
      </w:r>
      <w:r w:rsidR="00D3531D" w:rsidRPr="000E241B">
        <w:t>which emphasized</w:t>
      </w:r>
      <w:r w:rsidR="00D3531D" w:rsidRPr="006D3E00">
        <w:t xml:space="preserve"> that the time has come to think boldly and widely about a “</w:t>
      </w:r>
      <w:r w:rsidR="00D3531D" w:rsidRPr="006D3E00">
        <w:rPr>
          <w:b/>
        </w:rPr>
        <w:t>WSIS Plus</w:t>
      </w:r>
      <w:r w:rsidR="00D3531D" w:rsidRPr="006D3E00">
        <w:t>”</w:t>
      </w:r>
      <w:r w:rsidR="00D3531D">
        <w:t>,</w:t>
      </w:r>
      <w:r w:rsidR="00D3531D" w:rsidRPr="006D3E00">
        <w:t xml:space="preserve"> </w:t>
      </w:r>
      <w:r w:rsidR="00F313E9" w:rsidRPr="00223669">
        <w:t xml:space="preserve">the outcomes of the Forum continue to inform preparatory efforts </w:t>
      </w:r>
      <w:r w:rsidR="00CD0A1E">
        <w:t xml:space="preserve">towards the </w:t>
      </w:r>
      <w:r w:rsidR="0001270D">
        <w:t>WSIS+20 review</w:t>
      </w:r>
      <w:r w:rsidR="00F313E9" w:rsidRPr="00223669">
        <w:t>. The discussions underscored a multistakeholder approach</w:t>
      </w:r>
      <w:r w:rsidR="0001270D">
        <w:t xml:space="preserve">, </w:t>
      </w:r>
      <w:r w:rsidR="000F2508">
        <w:t>using and further developing the existing mechanisms</w:t>
      </w:r>
      <w:r w:rsidR="00F313E9" w:rsidRPr="00223669">
        <w:t xml:space="preserve"> to addressing challenges such as AI governance and equitable digital infrastructure</w:t>
      </w:r>
      <w:r w:rsidR="00656114" w:rsidRPr="00656114">
        <w:t>, including the WSIS Forum, IGF, UNGIS, and the WSIS Stocktaking platform.</w:t>
      </w:r>
    </w:p>
    <w:p w14:paraId="6BC04FF8" w14:textId="4FBBD60C" w:rsidR="00F313E9" w:rsidRDefault="00771A26" w:rsidP="00771A26">
      <w:pPr>
        <w:pStyle w:val="enumlev1"/>
        <w:jc w:val="both"/>
      </w:pPr>
      <w:r>
        <w:rPr>
          <w:rFonts w:ascii="Symbol" w:hAnsi="Symbol"/>
          <w:sz w:val="20"/>
        </w:rPr>
        <w:t></w:t>
      </w:r>
      <w:r>
        <w:rPr>
          <w:rFonts w:ascii="Symbol" w:hAnsi="Symbol"/>
          <w:sz w:val="20"/>
        </w:rPr>
        <w:tab/>
      </w:r>
      <w:r w:rsidR="00F313E9" w:rsidRPr="00223669">
        <w:rPr>
          <w:b/>
          <w:bCs/>
        </w:rPr>
        <w:t>Preparations for WSIS+20 High-Level Event 2025:</w:t>
      </w:r>
      <w:r w:rsidR="00F313E9" w:rsidRPr="00223669">
        <w:t xml:space="preserve"> The upcoming event will provide a platform for comprehensive stocktaking of the achievements and challenges in implementing the WSIS outcomes over the past two decades. Planning emphasizes synchronized alignment with outcomes from the Summit of the Future and the GDC.</w:t>
      </w:r>
      <w:r w:rsidR="00F261EC">
        <w:t xml:space="preserve"> </w:t>
      </w:r>
    </w:p>
    <w:p w14:paraId="4BC8D787" w14:textId="29213F07" w:rsidR="00F313E9" w:rsidRPr="00223669" w:rsidRDefault="00D3531D" w:rsidP="00CC6015">
      <w:pPr>
        <w:pStyle w:val="Headingb"/>
        <w:jc w:val="both"/>
      </w:pPr>
      <w:r>
        <w:t>Maintaining</w:t>
      </w:r>
      <w:r w:rsidRPr="00F06E73">
        <w:t xml:space="preserve"> </w:t>
      </w:r>
      <w:r>
        <w:t xml:space="preserve">and Coordinating </w:t>
      </w:r>
      <w:r w:rsidRPr="00F06E73">
        <w:t>the WSIS Stocktaking</w:t>
      </w:r>
      <w:r>
        <w:t xml:space="preserve"> Database and WSIS Prizes</w:t>
      </w:r>
    </w:p>
    <w:p w14:paraId="73012863" w14:textId="1B5F193C" w:rsidR="00F313E9" w:rsidRPr="00223669" w:rsidRDefault="00771A26" w:rsidP="00771A26">
      <w:pPr>
        <w:pStyle w:val="enumlev1"/>
        <w:jc w:val="both"/>
      </w:pPr>
      <w:r w:rsidRPr="00223669">
        <w:rPr>
          <w:rFonts w:ascii="Symbol" w:hAnsi="Symbol"/>
          <w:sz w:val="20"/>
        </w:rPr>
        <w:t></w:t>
      </w:r>
      <w:r w:rsidRPr="00223669">
        <w:rPr>
          <w:rFonts w:ascii="Symbol" w:hAnsi="Symbol"/>
          <w:sz w:val="20"/>
        </w:rPr>
        <w:tab/>
      </w:r>
      <w:r w:rsidR="00F313E9" w:rsidRPr="00223669">
        <w:rPr>
          <w:b/>
          <w:bCs/>
        </w:rPr>
        <w:t>WSIS Stocktaking Database:</w:t>
      </w:r>
      <w:r w:rsidR="00F313E9" w:rsidRPr="00223669">
        <w:t xml:space="preserve"> ITU expanded its database in 2024-2025, integrating an additional </w:t>
      </w:r>
      <w:r w:rsidR="008E7F61">
        <w:t>1</w:t>
      </w:r>
      <w:r w:rsidR="00B57212">
        <w:t>2</w:t>
      </w:r>
      <w:r w:rsidR="00F313E9" w:rsidRPr="00223669">
        <w:t>00 projects that reflect innovative use of ICTs in achieving SDGs. The WSIS+20 Stocktaking Report, showcasing a 20-year analysis of WSIS Action Lines</w:t>
      </w:r>
      <w:r w:rsidR="008C786E">
        <w:t>’</w:t>
      </w:r>
      <w:r w:rsidR="00F313E9" w:rsidRPr="00223669">
        <w:t xml:space="preserve"> implementation, is on track for release during the WSIS+20 High-Level Event.</w:t>
      </w:r>
    </w:p>
    <w:p w14:paraId="0E774FB6" w14:textId="134B5E72" w:rsidR="00F313E9" w:rsidRDefault="00771A26" w:rsidP="00771A26">
      <w:pPr>
        <w:pStyle w:val="enumlev1"/>
        <w:jc w:val="both"/>
      </w:pPr>
      <w:r>
        <w:rPr>
          <w:rFonts w:ascii="Symbol" w:hAnsi="Symbol"/>
          <w:sz w:val="20"/>
        </w:rPr>
        <w:t></w:t>
      </w:r>
      <w:r>
        <w:rPr>
          <w:rFonts w:ascii="Symbol" w:hAnsi="Symbol"/>
          <w:sz w:val="20"/>
        </w:rPr>
        <w:tab/>
      </w:r>
      <w:r w:rsidR="00F313E9" w:rsidRPr="00223669">
        <w:rPr>
          <w:b/>
          <w:bCs/>
        </w:rPr>
        <w:t>WSIS Prizes 2025:</w:t>
      </w:r>
      <w:r w:rsidR="00F313E9" w:rsidRPr="00223669">
        <w:t xml:space="preserve"> The new edition </w:t>
      </w:r>
      <w:r w:rsidR="00B57212">
        <w:t>is ongoing</w:t>
      </w:r>
      <w:r w:rsidR="00F313E9" w:rsidRPr="00223669">
        <w:t>,</w:t>
      </w:r>
      <w:r w:rsidR="000E4F4D">
        <w:t xml:space="preserve"> </w:t>
      </w:r>
      <w:r w:rsidR="00F313E9" w:rsidRPr="00223669">
        <w:t>reflecting increased global interest in leveraging ICT for sustainable development. Winners will be celebrated at the High-Level Event</w:t>
      </w:r>
      <w:r w:rsidR="008924D0">
        <w:t xml:space="preserve"> at the special ceremony</w:t>
      </w:r>
      <w:r w:rsidR="00F313E9" w:rsidRPr="00223669">
        <w:t xml:space="preserve">, </w:t>
      </w:r>
      <w:r w:rsidR="008924D0">
        <w:t>highlighting the 18 winner and 72 champions</w:t>
      </w:r>
      <w:r w:rsidR="00F313E9" w:rsidRPr="00223669">
        <w:t>.</w:t>
      </w:r>
    </w:p>
    <w:p w14:paraId="4768EB49" w14:textId="49A056C5" w:rsidR="009771A2" w:rsidRPr="00223669" w:rsidRDefault="009771A2" w:rsidP="009771A2">
      <w:pPr>
        <w:tabs>
          <w:tab w:val="clear" w:pos="567"/>
          <w:tab w:val="left" w:pos="720"/>
        </w:tabs>
        <w:spacing w:before="0"/>
        <w:jc w:val="both"/>
      </w:pPr>
      <w:r w:rsidRPr="009771A2">
        <w:rPr>
          <w:b/>
          <w:bCs/>
        </w:rPr>
        <w:lastRenderedPageBreak/>
        <w:t>WSIS+20 Joint Preparatory Process</w:t>
      </w:r>
      <w:r w:rsidRPr="009771A2">
        <w:t xml:space="preserve"> (please read </w:t>
      </w:r>
      <w:hyperlink r:id="rId39" w:history="1">
        <w:r w:rsidRPr="001D50CA">
          <w:rPr>
            <w:rStyle w:val="Hyperlink"/>
          </w:rPr>
          <w:t>CWG-WSIS&amp;SDG42/12</w:t>
        </w:r>
      </w:hyperlink>
      <w:r w:rsidRPr="009771A2">
        <w:t xml:space="preserve"> </w:t>
      </w:r>
      <w:r w:rsidR="001D50CA">
        <w:t xml:space="preserve">on </w:t>
      </w:r>
      <w:r w:rsidRPr="009771A2">
        <w:t>Preparation to the Overall Review on the Implementation of the WSIS Outcomes: WSIS+20 Review - WSIS Beyond 2025 for full information)</w:t>
      </w:r>
      <w:r w:rsidR="001D50CA">
        <w:t>.</w:t>
      </w:r>
    </w:p>
    <w:p w14:paraId="1239A268" w14:textId="2F3053F6" w:rsidR="00F313E9" w:rsidRPr="00223669" w:rsidRDefault="00F313E9" w:rsidP="00CC6015">
      <w:pPr>
        <w:tabs>
          <w:tab w:val="clear" w:pos="567"/>
          <w:tab w:val="left" w:pos="720"/>
        </w:tabs>
        <w:jc w:val="both"/>
      </w:pPr>
      <w:r w:rsidRPr="00223669">
        <w:rPr>
          <w:b/>
          <w:bCs/>
        </w:rPr>
        <w:t xml:space="preserve">Partnerships and </w:t>
      </w:r>
      <w:r w:rsidR="00FD23CA">
        <w:rPr>
          <w:b/>
          <w:bCs/>
        </w:rPr>
        <w:t>r</w:t>
      </w:r>
      <w:r w:rsidRPr="00223669">
        <w:rPr>
          <w:b/>
          <w:bCs/>
        </w:rPr>
        <w:t xml:space="preserve">egional </w:t>
      </w:r>
      <w:r w:rsidR="00FD23CA">
        <w:rPr>
          <w:b/>
          <w:bCs/>
        </w:rPr>
        <w:t>e</w:t>
      </w:r>
      <w:r w:rsidRPr="00223669">
        <w:rPr>
          <w:b/>
          <w:bCs/>
        </w:rPr>
        <w:t>ngagement</w:t>
      </w:r>
    </w:p>
    <w:p w14:paraId="192CCF2F" w14:textId="368E7C82" w:rsidR="00221316" w:rsidRDefault="00771A26" w:rsidP="00771A26">
      <w:pPr>
        <w:pStyle w:val="enumlev1"/>
        <w:jc w:val="both"/>
      </w:pPr>
      <w:r>
        <w:rPr>
          <w:rFonts w:ascii="Symbol" w:hAnsi="Symbol"/>
          <w:sz w:val="20"/>
        </w:rPr>
        <w:t></w:t>
      </w:r>
      <w:r>
        <w:rPr>
          <w:rFonts w:ascii="Symbol" w:hAnsi="Symbol"/>
          <w:sz w:val="20"/>
        </w:rPr>
        <w:tab/>
      </w:r>
      <w:r w:rsidR="00F313E9" w:rsidRPr="00223669">
        <w:t>ITU co-chaired the United Nations Group on the Information Society (UNGIS) through December 2024, facilitating multistakeholder dialogues and joint strategies to ensure inclusive digital transformation.</w:t>
      </w:r>
    </w:p>
    <w:p w14:paraId="6632D970" w14:textId="4FE8F1BB" w:rsidR="00221316" w:rsidRPr="00221316" w:rsidRDefault="00771A26" w:rsidP="00771A26">
      <w:pPr>
        <w:pStyle w:val="enumlev1"/>
        <w:jc w:val="both"/>
      </w:pPr>
      <w:r w:rsidRPr="00221316">
        <w:rPr>
          <w:rFonts w:ascii="Symbol" w:hAnsi="Symbol"/>
          <w:sz w:val="20"/>
        </w:rPr>
        <w:t></w:t>
      </w:r>
      <w:r w:rsidRPr="00221316">
        <w:rPr>
          <w:rFonts w:ascii="Symbol" w:hAnsi="Symbol"/>
          <w:sz w:val="20"/>
        </w:rPr>
        <w:tab/>
      </w:r>
      <w:r w:rsidR="00221316" w:rsidRPr="00221316">
        <w:rPr>
          <w:bCs/>
        </w:rPr>
        <w:t xml:space="preserve">The ITU is working closely with UNGA, ECOSOC, CSTD providing updates on the </w:t>
      </w:r>
      <w:r w:rsidR="00221316" w:rsidRPr="00771A26">
        <w:t>implementation</w:t>
      </w:r>
      <w:r w:rsidR="00221316" w:rsidRPr="00221316">
        <w:rPr>
          <w:bCs/>
        </w:rPr>
        <w:t xml:space="preserve"> of the roadmap. ITU has also worked closely with co-facilitators of GDC and SOTF on the strengthening the alignment of WSIS process and GDC.</w:t>
      </w:r>
    </w:p>
    <w:p w14:paraId="0CBCBDA6" w14:textId="53E9EAFE" w:rsidR="00221316" w:rsidRPr="00221316" w:rsidRDefault="00771A26" w:rsidP="00771A26">
      <w:pPr>
        <w:pStyle w:val="enumlev1"/>
        <w:jc w:val="both"/>
      </w:pPr>
      <w:r w:rsidRPr="00221316">
        <w:rPr>
          <w:rFonts w:ascii="Symbol" w:hAnsi="Symbol"/>
          <w:sz w:val="20"/>
        </w:rPr>
        <w:t></w:t>
      </w:r>
      <w:r w:rsidRPr="00221316">
        <w:rPr>
          <w:rFonts w:ascii="Symbol" w:hAnsi="Symbol"/>
          <w:sz w:val="20"/>
        </w:rPr>
        <w:tab/>
      </w:r>
      <w:r w:rsidR="00221316" w:rsidRPr="00221316">
        <w:rPr>
          <w:bCs/>
        </w:rPr>
        <w:t xml:space="preserve">The </w:t>
      </w:r>
      <w:r w:rsidR="00221316" w:rsidRPr="00221316">
        <w:rPr>
          <w:b/>
        </w:rPr>
        <w:t>Partnership on Measuring ICT for Development</w:t>
      </w:r>
      <w:r w:rsidR="00221316" w:rsidRPr="00221316">
        <w:rPr>
          <w:bCs/>
        </w:rPr>
        <w:t xml:space="preserve">, under ITU's leadership as Chair of the Steering Committee (with UNCTAD and UNDESA as other members), continues to drive efforts to enhance the availability and quality of ICT statistics. This partnership </w:t>
      </w:r>
      <w:r w:rsidR="00221316" w:rsidRPr="00771A26">
        <w:t>works</w:t>
      </w:r>
      <w:r w:rsidR="00221316" w:rsidRPr="00221316">
        <w:rPr>
          <w:bCs/>
        </w:rPr>
        <w:t xml:space="preserve"> closely with stakeholders to explore new data sources and methodologies, ensuring accurate measurement of progress toward internationally agreed targets, including the WSIS and SDGs. New areas that the Partnership will look at is ICT in health and ICT in employment.</w:t>
      </w:r>
    </w:p>
    <w:p w14:paraId="509DE463" w14:textId="3D2DF27D" w:rsidR="00221316" w:rsidRPr="00223669" w:rsidRDefault="00771A26" w:rsidP="00771A26">
      <w:pPr>
        <w:pStyle w:val="enumlev1"/>
        <w:jc w:val="both"/>
      </w:pPr>
      <w:r w:rsidRPr="00223669">
        <w:rPr>
          <w:rFonts w:ascii="Symbol" w:hAnsi="Symbol"/>
          <w:sz w:val="20"/>
        </w:rPr>
        <w:t></w:t>
      </w:r>
      <w:r w:rsidRPr="00223669">
        <w:rPr>
          <w:rFonts w:ascii="Symbol" w:hAnsi="Symbol"/>
          <w:sz w:val="20"/>
        </w:rPr>
        <w:tab/>
      </w:r>
      <w:r w:rsidR="00221316" w:rsidRPr="00221316">
        <w:rPr>
          <w:bCs/>
        </w:rPr>
        <w:t xml:space="preserve">At the </w:t>
      </w:r>
      <w:r w:rsidR="00221316" w:rsidRPr="00221316">
        <w:rPr>
          <w:b/>
        </w:rPr>
        <w:t>regional level</w:t>
      </w:r>
      <w:r w:rsidR="00221316" w:rsidRPr="00221316">
        <w:rPr>
          <w:bCs/>
        </w:rPr>
        <w:t xml:space="preserve">, ITU has maintained its role as a key facilitator for discussions on WSIS+20 and the future of the WSIS Process beyond 2025. These activities are </w:t>
      </w:r>
      <w:r w:rsidR="00221316" w:rsidRPr="00771A26">
        <w:t>coordinated</w:t>
      </w:r>
      <w:r w:rsidR="00221316" w:rsidRPr="00221316">
        <w:rPr>
          <w:bCs/>
        </w:rPr>
        <w:t xml:space="preserve"> and implemented through close collaboration between the UN Regional Commissions, ITU </w:t>
      </w:r>
      <w:r w:rsidR="00FD23CA">
        <w:rPr>
          <w:bCs/>
        </w:rPr>
        <w:t>r</w:t>
      </w:r>
      <w:r w:rsidR="00221316" w:rsidRPr="00221316">
        <w:rPr>
          <w:bCs/>
        </w:rPr>
        <w:t xml:space="preserve">egional </w:t>
      </w:r>
      <w:r w:rsidR="00FD23CA">
        <w:rPr>
          <w:bCs/>
        </w:rPr>
        <w:t>o</w:t>
      </w:r>
      <w:r w:rsidR="00221316" w:rsidRPr="00221316">
        <w:rPr>
          <w:bCs/>
        </w:rPr>
        <w:t xml:space="preserve">ffices, </w:t>
      </w:r>
      <w:r w:rsidR="00FD23CA">
        <w:rPr>
          <w:bCs/>
        </w:rPr>
        <w:t>r</w:t>
      </w:r>
      <w:r w:rsidR="00221316" w:rsidRPr="00221316">
        <w:rPr>
          <w:bCs/>
        </w:rPr>
        <w:t xml:space="preserve">egional </w:t>
      </w:r>
      <w:r w:rsidR="00FD23CA">
        <w:rPr>
          <w:bCs/>
        </w:rPr>
        <w:t>t</w:t>
      </w:r>
      <w:r w:rsidR="00221316" w:rsidRPr="00221316">
        <w:rPr>
          <w:bCs/>
        </w:rPr>
        <w:t xml:space="preserve">echnical </w:t>
      </w:r>
      <w:r w:rsidR="00FD23CA">
        <w:rPr>
          <w:bCs/>
        </w:rPr>
        <w:t>o</w:t>
      </w:r>
      <w:r w:rsidR="00221316" w:rsidRPr="00221316">
        <w:rPr>
          <w:bCs/>
        </w:rPr>
        <w:t xml:space="preserve">rganizations, and other UN agencies, </w:t>
      </w:r>
      <w:r w:rsidR="00221316" w:rsidRPr="00221316">
        <w:rPr>
          <w:lang w:val="en-US"/>
        </w:rPr>
        <w:t>ensuring</w:t>
      </w:r>
      <w:r w:rsidR="00221316" w:rsidRPr="00221316">
        <w:rPr>
          <w:bCs/>
        </w:rPr>
        <w:t xml:space="preserve"> a comprehensive and inclusive approach to digital development.</w:t>
      </w:r>
    </w:p>
    <w:p w14:paraId="330A0B5A" w14:textId="29A1F618" w:rsidR="006B6399" w:rsidRDefault="006B6399" w:rsidP="00771A26">
      <w:pPr>
        <w:pStyle w:val="Headingb"/>
      </w:pPr>
      <w:r w:rsidRPr="006B6399">
        <w:t>Contributions to GDC</w:t>
      </w:r>
    </w:p>
    <w:p w14:paraId="236259A8" w14:textId="5E832C9B" w:rsidR="006B6399" w:rsidRDefault="006B6399" w:rsidP="00771A26">
      <w:pPr>
        <w:jc w:val="both"/>
      </w:pPr>
      <w:r>
        <w:t xml:space="preserve">On 22 September, </w:t>
      </w:r>
      <w:r w:rsidR="00CD24A8">
        <w:t xml:space="preserve">Member States </w:t>
      </w:r>
      <w:r>
        <w:t xml:space="preserve">adopted the Pact for the Future, which includes the Global Digital Compact (GDC). ITU contributed by providing opportunities, like WSIS Forum and UNGIS, for the GDC co-facilitators to interact with </w:t>
      </w:r>
      <w:proofErr w:type="spellStart"/>
      <w:r>
        <w:t>multistakeholders</w:t>
      </w:r>
      <w:proofErr w:type="spellEnd"/>
      <w:r>
        <w:t xml:space="preserve"> and other UN agencies. ITU actively provided inputs to GDC consultations as ITU and through UNGIS. The implementation mechanisms which exist in the WSIS process are already implementing the GDC objectives, as showcased in the WSIS-SDG-GDC Matrix produced by UNGIS. </w:t>
      </w:r>
    </w:p>
    <w:p w14:paraId="0F165355" w14:textId="77777777" w:rsidR="006B6399" w:rsidRDefault="006B6399" w:rsidP="00771A26">
      <w:pPr>
        <w:pStyle w:val="Headingb"/>
      </w:pPr>
      <w:r w:rsidRPr="006B6399">
        <w:t>Efforts towards strengthening the visibility and presence of WSIS in New York</w:t>
      </w:r>
    </w:p>
    <w:p w14:paraId="66879A6D" w14:textId="77777777" w:rsidR="006B6399" w:rsidRDefault="006B6399" w:rsidP="00771A26">
      <w:pPr>
        <w:jc w:val="both"/>
      </w:pPr>
      <w:r>
        <w:t xml:space="preserve">Since 2022, the ITU has made several concrete initiatives to enhance the understanding of WSIS within the diplomatic missions to UN and other active stakeholders in New York, including the Ambassadors briefings, demystifying sessions, side-events at major UN gatherings, inputs to other UN processes. </w:t>
      </w:r>
    </w:p>
    <w:p w14:paraId="7B3C2A6D" w14:textId="77777777" w:rsidR="006B6399" w:rsidRDefault="006B6399" w:rsidP="00771A26">
      <w:pPr>
        <w:pStyle w:val="Headingb"/>
      </w:pPr>
      <w:r w:rsidRPr="006B6399">
        <w:t>WSIS+20 Action Lines Milestones, Challenges and Emerging Trends beyond 2025</w:t>
      </w:r>
    </w:p>
    <w:p w14:paraId="4E3487D7" w14:textId="77777777" w:rsidR="006B6399" w:rsidRDefault="006B6399" w:rsidP="00771A26">
      <w:pPr>
        <w:jc w:val="both"/>
      </w:pPr>
      <w:r>
        <w:t xml:space="preserve">The WSIS Action Lines serve as a key framework for advancing progress towards the achievement of SDGs. The ITU and other WSIS Action Line facilitators from UN agencies have worked on documenting milestones, challenges and emerging trends beyond 2025. Visit the dedicate webpage and read more about the WSIS Action Lines 20 Years of Implementation. The ITU, together with other WSIS Action Line facilitators from UN agencies, has prepared presentations highlighting key milestones, challenges, and emerging trends beyond 2025. The presentations are available here. </w:t>
      </w:r>
    </w:p>
    <w:p w14:paraId="5E893047" w14:textId="504C20D7" w:rsidR="00A514A4" w:rsidRPr="00147C54" w:rsidRDefault="006B6399" w:rsidP="00DF7DCC">
      <w:pPr>
        <w:tabs>
          <w:tab w:val="clear" w:pos="567"/>
          <w:tab w:val="clear" w:pos="1134"/>
          <w:tab w:val="clear" w:pos="1701"/>
          <w:tab w:val="clear" w:pos="2268"/>
          <w:tab w:val="clear" w:pos="2835"/>
        </w:tabs>
        <w:overflowPunct/>
        <w:autoSpaceDE/>
        <w:autoSpaceDN/>
        <w:adjustRightInd/>
        <w:spacing w:before="240"/>
        <w:jc w:val="center"/>
        <w:textAlignment w:val="auto"/>
      </w:pPr>
      <w:r>
        <w:t>______________</w:t>
      </w:r>
    </w:p>
    <w:sectPr w:rsidR="00A514A4" w:rsidRPr="00147C54" w:rsidSect="0000786E">
      <w:footerReference w:type="default" r:id="rId40"/>
      <w:headerReference w:type="first" r:id="rId41"/>
      <w:footerReference w:type="first" r:id="rId42"/>
      <w:pgSz w:w="11907" w:h="16834"/>
      <w:pgMar w:top="1418" w:right="1418" w:bottom="1170"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28BB" w14:textId="77777777" w:rsidR="00F50296" w:rsidRDefault="00F50296">
      <w:r>
        <w:separator/>
      </w:r>
    </w:p>
  </w:endnote>
  <w:endnote w:type="continuationSeparator" w:id="0">
    <w:p w14:paraId="0043A232" w14:textId="77777777" w:rsidR="00F50296" w:rsidRDefault="00F5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F730D"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315E2031"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9F730D">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F730D"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09F34F16"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9F730D">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7460" w14:textId="77777777" w:rsidR="00F50296" w:rsidRDefault="00F50296">
      <w:r>
        <w:t>____________________</w:t>
      </w:r>
    </w:p>
  </w:footnote>
  <w:footnote w:type="continuationSeparator" w:id="0">
    <w:p w14:paraId="31275346" w14:textId="77777777" w:rsidR="00F50296" w:rsidRDefault="00F5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69744538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EA2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75BA1"/>
    <w:multiLevelType w:val="multilevel"/>
    <w:tmpl w:val="F5B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69FA"/>
    <w:multiLevelType w:val="multilevel"/>
    <w:tmpl w:val="AA0619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50" w:hanging="570"/>
      </w:pPr>
      <w:rPr>
        <w:rFonts w:ascii="Calibri" w:eastAsia="Times New Roman" w:hAnsi="Calibri" w:cs="Calibr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E3561"/>
    <w:multiLevelType w:val="hybridMultilevel"/>
    <w:tmpl w:val="7C44DEA2"/>
    <w:lvl w:ilvl="0" w:tplc="AB3A6E7E">
      <w:start w:val="1"/>
      <w:numFmt w:val="decimal"/>
      <w:pStyle w:val="normalWSIS"/>
      <w:lvlText w:val="%1."/>
      <w:lvlJc w:val="left"/>
      <w:rPr>
        <w:rFonts w:asciiTheme="minorHAnsi" w:hAnsiTheme="minorHAnsi" w:cstheme="minorHAnsi" w:hint="default"/>
        <w:b w:val="0"/>
        <w:bCs w:val="0"/>
        <w:i w:val="0"/>
        <w:iCs w:val="0"/>
        <w:color w:val="auto"/>
        <w:sz w:val="24"/>
        <w:szCs w:val="24"/>
        <w:lang w:val="en-GB"/>
      </w:rPr>
    </w:lvl>
    <w:lvl w:ilvl="1" w:tplc="3236C04E">
      <w:start w:val="1"/>
      <w:numFmt w:val="lowerLetter"/>
      <w:lvlText w:val="%2)"/>
      <w:lvlJc w:val="left"/>
      <w:pPr>
        <w:ind w:left="2182" w:hanging="360"/>
      </w:pPr>
      <w:rPr>
        <w:color w:val="auto"/>
      </w:rPr>
    </w:lvl>
    <w:lvl w:ilvl="2" w:tplc="0409001B">
      <w:start w:val="1"/>
      <w:numFmt w:val="lowerRoman"/>
      <w:lvlText w:val="%3."/>
      <w:lvlJc w:val="right"/>
      <w:pPr>
        <w:ind w:left="-604" w:hanging="180"/>
      </w:pPr>
    </w:lvl>
    <w:lvl w:ilvl="3" w:tplc="0409000F">
      <w:start w:val="1"/>
      <w:numFmt w:val="decimal"/>
      <w:lvlText w:val="%4."/>
      <w:lvlJc w:val="left"/>
      <w:pPr>
        <w:ind w:left="116" w:hanging="360"/>
      </w:pPr>
    </w:lvl>
    <w:lvl w:ilvl="4" w:tplc="04090019">
      <w:start w:val="1"/>
      <w:numFmt w:val="lowerLetter"/>
      <w:lvlText w:val="%5."/>
      <w:lvlJc w:val="left"/>
      <w:pPr>
        <w:ind w:left="836" w:hanging="360"/>
      </w:pPr>
    </w:lvl>
    <w:lvl w:ilvl="5" w:tplc="04090001">
      <w:start w:val="1"/>
      <w:numFmt w:val="bullet"/>
      <w:lvlText w:val=""/>
      <w:lvlJc w:val="left"/>
      <w:pPr>
        <w:ind w:left="1811" w:hanging="435"/>
      </w:pPr>
      <w:rPr>
        <w:rFonts w:ascii="Symbol" w:hAnsi="Symbol" w:hint="default"/>
        <w:color w:val="auto"/>
      </w:rPr>
    </w:lvl>
    <w:lvl w:ilvl="6" w:tplc="04090001">
      <w:start w:val="1"/>
      <w:numFmt w:val="bullet"/>
      <w:lvlText w:val=""/>
      <w:lvlJc w:val="left"/>
      <w:pPr>
        <w:ind w:left="2276" w:hanging="360"/>
      </w:pPr>
      <w:rPr>
        <w:rFonts w:ascii="Symbol" w:hAnsi="Symbol" w:hint="default"/>
      </w:rPr>
    </w:lvl>
    <w:lvl w:ilvl="7" w:tplc="04090019">
      <w:start w:val="1"/>
      <w:numFmt w:val="lowerLetter"/>
      <w:lvlText w:val="%8."/>
      <w:lvlJc w:val="left"/>
      <w:pPr>
        <w:ind w:left="2996" w:hanging="360"/>
      </w:pPr>
    </w:lvl>
    <w:lvl w:ilvl="8" w:tplc="0409001B">
      <w:start w:val="1"/>
      <w:numFmt w:val="lowerRoman"/>
      <w:lvlText w:val="%9."/>
      <w:lvlJc w:val="right"/>
      <w:pPr>
        <w:ind w:left="3716" w:hanging="180"/>
      </w:pPr>
    </w:lvl>
  </w:abstractNum>
  <w:abstractNum w:abstractNumId="4" w15:restartNumberingAfterBreak="0">
    <w:nsid w:val="34D91549"/>
    <w:multiLevelType w:val="hybridMultilevel"/>
    <w:tmpl w:val="73D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87A60"/>
    <w:multiLevelType w:val="multilevel"/>
    <w:tmpl w:val="F45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25C58"/>
    <w:multiLevelType w:val="multilevel"/>
    <w:tmpl w:val="AE64C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01057"/>
    <w:multiLevelType w:val="multilevel"/>
    <w:tmpl w:val="F76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390152662">
    <w:abstractNumId w:val="2"/>
  </w:num>
  <w:num w:numId="3" w16cid:durableId="904953125">
    <w:abstractNumId w:val="1"/>
  </w:num>
  <w:num w:numId="4" w16cid:durableId="482738784">
    <w:abstractNumId w:val="5"/>
  </w:num>
  <w:num w:numId="5" w16cid:durableId="426273787">
    <w:abstractNumId w:val="7"/>
  </w:num>
  <w:num w:numId="6" w16cid:durableId="1838571797">
    <w:abstractNumId w:val="4"/>
  </w:num>
  <w:num w:numId="7" w16cid:durableId="1572807607">
    <w:abstractNumId w:val="6"/>
  </w:num>
  <w:num w:numId="8" w16cid:durableId="27263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0786E"/>
    <w:rsid w:val="000120E4"/>
    <w:rsid w:val="0001270D"/>
    <w:rsid w:val="000210D4"/>
    <w:rsid w:val="0003548C"/>
    <w:rsid w:val="00063016"/>
    <w:rsid w:val="00066795"/>
    <w:rsid w:val="00073F5F"/>
    <w:rsid w:val="000741D2"/>
    <w:rsid w:val="00076AF6"/>
    <w:rsid w:val="00085CF2"/>
    <w:rsid w:val="00087D32"/>
    <w:rsid w:val="0009569D"/>
    <w:rsid w:val="000A1525"/>
    <w:rsid w:val="000B1705"/>
    <w:rsid w:val="000D75B2"/>
    <w:rsid w:val="000E4F4D"/>
    <w:rsid w:val="000F2508"/>
    <w:rsid w:val="000F6AB8"/>
    <w:rsid w:val="001121F5"/>
    <w:rsid w:val="00117D22"/>
    <w:rsid w:val="00130599"/>
    <w:rsid w:val="00131E18"/>
    <w:rsid w:val="001400DC"/>
    <w:rsid w:val="00140CE1"/>
    <w:rsid w:val="00147C54"/>
    <w:rsid w:val="0017539C"/>
    <w:rsid w:val="00175AC2"/>
    <w:rsid w:val="0017609F"/>
    <w:rsid w:val="001A7D1D"/>
    <w:rsid w:val="001B51DD"/>
    <w:rsid w:val="001C628E"/>
    <w:rsid w:val="001D50CA"/>
    <w:rsid w:val="001E0F7B"/>
    <w:rsid w:val="001E0FBE"/>
    <w:rsid w:val="001E5FE7"/>
    <w:rsid w:val="001E6377"/>
    <w:rsid w:val="002119FD"/>
    <w:rsid w:val="002130E0"/>
    <w:rsid w:val="00221316"/>
    <w:rsid w:val="00227AAB"/>
    <w:rsid w:val="002410D5"/>
    <w:rsid w:val="00244F7F"/>
    <w:rsid w:val="002527B9"/>
    <w:rsid w:val="0025570E"/>
    <w:rsid w:val="00255F03"/>
    <w:rsid w:val="002608B7"/>
    <w:rsid w:val="00264425"/>
    <w:rsid w:val="00265875"/>
    <w:rsid w:val="00272B27"/>
    <w:rsid w:val="0027303B"/>
    <w:rsid w:val="00277C86"/>
    <w:rsid w:val="0028109B"/>
    <w:rsid w:val="002A2188"/>
    <w:rsid w:val="002B1F58"/>
    <w:rsid w:val="002C1C7A"/>
    <w:rsid w:val="002C54E2"/>
    <w:rsid w:val="002E0AC3"/>
    <w:rsid w:val="002E21D1"/>
    <w:rsid w:val="002F1B01"/>
    <w:rsid w:val="002F258B"/>
    <w:rsid w:val="002F2D06"/>
    <w:rsid w:val="0030160F"/>
    <w:rsid w:val="00301AEE"/>
    <w:rsid w:val="0030280E"/>
    <w:rsid w:val="003145DF"/>
    <w:rsid w:val="00320223"/>
    <w:rsid w:val="003205CC"/>
    <w:rsid w:val="003208D6"/>
    <w:rsid w:val="00322D0D"/>
    <w:rsid w:val="00361465"/>
    <w:rsid w:val="0038471B"/>
    <w:rsid w:val="003877F5"/>
    <w:rsid w:val="003942D4"/>
    <w:rsid w:val="0039514F"/>
    <w:rsid w:val="003958A8"/>
    <w:rsid w:val="003B29C2"/>
    <w:rsid w:val="003C20CA"/>
    <w:rsid w:val="003C2533"/>
    <w:rsid w:val="003D3E56"/>
    <w:rsid w:val="003D5A7F"/>
    <w:rsid w:val="003D635C"/>
    <w:rsid w:val="003D71D8"/>
    <w:rsid w:val="004016E2"/>
    <w:rsid w:val="0040435A"/>
    <w:rsid w:val="004122DC"/>
    <w:rsid w:val="00416A24"/>
    <w:rsid w:val="0042059E"/>
    <w:rsid w:val="00431D9E"/>
    <w:rsid w:val="00433916"/>
    <w:rsid w:val="00433CE8"/>
    <w:rsid w:val="00434A5C"/>
    <w:rsid w:val="004544D9"/>
    <w:rsid w:val="00472BAD"/>
    <w:rsid w:val="00474F7C"/>
    <w:rsid w:val="00484009"/>
    <w:rsid w:val="00490E72"/>
    <w:rsid w:val="00491157"/>
    <w:rsid w:val="004921C8"/>
    <w:rsid w:val="00495B0B"/>
    <w:rsid w:val="004A1B8B"/>
    <w:rsid w:val="004D1851"/>
    <w:rsid w:val="004D1D7E"/>
    <w:rsid w:val="004D599D"/>
    <w:rsid w:val="004E2EA5"/>
    <w:rsid w:val="004E3AEB"/>
    <w:rsid w:val="0050223C"/>
    <w:rsid w:val="00503BAA"/>
    <w:rsid w:val="005170FD"/>
    <w:rsid w:val="005243FF"/>
    <w:rsid w:val="005311D6"/>
    <w:rsid w:val="00531C3F"/>
    <w:rsid w:val="00536422"/>
    <w:rsid w:val="00564FBC"/>
    <w:rsid w:val="00577B40"/>
    <w:rsid w:val="005800BC"/>
    <w:rsid w:val="00582442"/>
    <w:rsid w:val="005A335D"/>
    <w:rsid w:val="005B004A"/>
    <w:rsid w:val="005C13D4"/>
    <w:rsid w:val="005E2BD5"/>
    <w:rsid w:val="005F3269"/>
    <w:rsid w:val="00602E92"/>
    <w:rsid w:val="00610279"/>
    <w:rsid w:val="00615961"/>
    <w:rsid w:val="00623AE3"/>
    <w:rsid w:val="006261F4"/>
    <w:rsid w:val="0064737F"/>
    <w:rsid w:val="006535F1"/>
    <w:rsid w:val="0065557D"/>
    <w:rsid w:val="00656114"/>
    <w:rsid w:val="00660D50"/>
    <w:rsid w:val="00662984"/>
    <w:rsid w:val="006716BB"/>
    <w:rsid w:val="006973C8"/>
    <w:rsid w:val="006A4862"/>
    <w:rsid w:val="006B1859"/>
    <w:rsid w:val="006B6399"/>
    <w:rsid w:val="006B6680"/>
    <w:rsid w:val="006B6DCC"/>
    <w:rsid w:val="00702DEF"/>
    <w:rsid w:val="00704EDA"/>
    <w:rsid w:val="00706861"/>
    <w:rsid w:val="00717174"/>
    <w:rsid w:val="007247CF"/>
    <w:rsid w:val="00726B8C"/>
    <w:rsid w:val="00745EBC"/>
    <w:rsid w:val="0075051B"/>
    <w:rsid w:val="00771A26"/>
    <w:rsid w:val="00775655"/>
    <w:rsid w:val="007849D5"/>
    <w:rsid w:val="00793188"/>
    <w:rsid w:val="00794D34"/>
    <w:rsid w:val="00797929"/>
    <w:rsid w:val="007E2083"/>
    <w:rsid w:val="007F4E11"/>
    <w:rsid w:val="00806E3C"/>
    <w:rsid w:val="00813E5E"/>
    <w:rsid w:val="00816C2C"/>
    <w:rsid w:val="0083581B"/>
    <w:rsid w:val="008373B6"/>
    <w:rsid w:val="00860EED"/>
    <w:rsid w:val="00863874"/>
    <w:rsid w:val="00864AFF"/>
    <w:rsid w:val="00865925"/>
    <w:rsid w:val="00877BF2"/>
    <w:rsid w:val="008807C2"/>
    <w:rsid w:val="00891503"/>
    <w:rsid w:val="008924D0"/>
    <w:rsid w:val="008954FB"/>
    <w:rsid w:val="008A2F06"/>
    <w:rsid w:val="008B4A6A"/>
    <w:rsid w:val="008C3B4A"/>
    <w:rsid w:val="008C6C8F"/>
    <w:rsid w:val="008C786E"/>
    <w:rsid w:val="008C7E27"/>
    <w:rsid w:val="008D0FD0"/>
    <w:rsid w:val="008D5F44"/>
    <w:rsid w:val="008E7F61"/>
    <w:rsid w:val="008F3822"/>
    <w:rsid w:val="008F7448"/>
    <w:rsid w:val="0090147A"/>
    <w:rsid w:val="0090389B"/>
    <w:rsid w:val="009173EF"/>
    <w:rsid w:val="00932906"/>
    <w:rsid w:val="0093299C"/>
    <w:rsid w:val="0096018E"/>
    <w:rsid w:val="00961860"/>
    <w:rsid w:val="00961B0B"/>
    <w:rsid w:val="00962D33"/>
    <w:rsid w:val="0097566D"/>
    <w:rsid w:val="009771A2"/>
    <w:rsid w:val="009B1602"/>
    <w:rsid w:val="009B38C3"/>
    <w:rsid w:val="009E17BD"/>
    <w:rsid w:val="009E485A"/>
    <w:rsid w:val="009F730D"/>
    <w:rsid w:val="00A04CEC"/>
    <w:rsid w:val="00A263C1"/>
    <w:rsid w:val="00A27F92"/>
    <w:rsid w:val="00A32257"/>
    <w:rsid w:val="00A36D20"/>
    <w:rsid w:val="00A43C03"/>
    <w:rsid w:val="00A46CD0"/>
    <w:rsid w:val="00A514A4"/>
    <w:rsid w:val="00A52C84"/>
    <w:rsid w:val="00A55622"/>
    <w:rsid w:val="00A8243A"/>
    <w:rsid w:val="00A83502"/>
    <w:rsid w:val="00A91D27"/>
    <w:rsid w:val="00AB3666"/>
    <w:rsid w:val="00AB5F55"/>
    <w:rsid w:val="00AD134A"/>
    <w:rsid w:val="00AD15B3"/>
    <w:rsid w:val="00AD3606"/>
    <w:rsid w:val="00AD4A3D"/>
    <w:rsid w:val="00AF62F5"/>
    <w:rsid w:val="00AF6E49"/>
    <w:rsid w:val="00B02E98"/>
    <w:rsid w:val="00B04A67"/>
    <w:rsid w:val="00B0583C"/>
    <w:rsid w:val="00B248BC"/>
    <w:rsid w:val="00B358B2"/>
    <w:rsid w:val="00B40A81"/>
    <w:rsid w:val="00B44910"/>
    <w:rsid w:val="00B57212"/>
    <w:rsid w:val="00B654A0"/>
    <w:rsid w:val="00B72267"/>
    <w:rsid w:val="00B73DD1"/>
    <w:rsid w:val="00B76EB6"/>
    <w:rsid w:val="00B7737B"/>
    <w:rsid w:val="00B824C8"/>
    <w:rsid w:val="00B849D3"/>
    <w:rsid w:val="00B84B9D"/>
    <w:rsid w:val="00B95946"/>
    <w:rsid w:val="00BA3A51"/>
    <w:rsid w:val="00BC251A"/>
    <w:rsid w:val="00BC2C8F"/>
    <w:rsid w:val="00BD032B"/>
    <w:rsid w:val="00BD0614"/>
    <w:rsid w:val="00BD094B"/>
    <w:rsid w:val="00BE2640"/>
    <w:rsid w:val="00C01189"/>
    <w:rsid w:val="00C1014F"/>
    <w:rsid w:val="00C374DE"/>
    <w:rsid w:val="00C44E27"/>
    <w:rsid w:val="00C47AD4"/>
    <w:rsid w:val="00C52D81"/>
    <w:rsid w:val="00C55198"/>
    <w:rsid w:val="00C725C6"/>
    <w:rsid w:val="00C922C7"/>
    <w:rsid w:val="00CA6393"/>
    <w:rsid w:val="00CB18FF"/>
    <w:rsid w:val="00CB24AA"/>
    <w:rsid w:val="00CB6619"/>
    <w:rsid w:val="00CC6015"/>
    <w:rsid w:val="00CD0A1E"/>
    <w:rsid w:val="00CD0C08"/>
    <w:rsid w:val="00CD24A8"/>
    <w:rsid w:val="00CD3C91"/>
    <w:rsid w:val="00CE03FB"/>
    <w:rsid w:val="00CE433C"/>
    <w:rsid w:val="00CF0161"/>
    <w:rsid w:val="00CF33F3"/>
    <w:rsid w:val="00D06183"/>
    <w:rsid w:val="00D22C42"/>
    <w:rsid w:val="00D3531D"/>
    <w:rsid w:val="00D42CB5"/>
    <w:rsid w:val="00D45669"/>
    <w:rsid w:val="00D464CC"/>
    <w:rsid w:val="00D522F6"/>
    <w:rsid w:val="00D61664"/>
    <w:rsid w:val="00D63AF8"/>
    <w:rsid w:val="00D65041"/>
    <w:rsid w:val="00D67039"/>
    <w:rsid w:val="00D86E6C"/>
    <w:rsid w:val="00D9474A"/>
    <w:rsid w:val="00DB00D5"/>
    <w:rsid w:val="00DB1936"/>
    <w:rsid w:val="00DB384B"/>
    <w:rsid w:val="00DF0189"/>
    <w:rsid w:val="00DF7DCC"/>
    <w:rsid w:val="00E03FA7"/>
    <w:rsid w:val="00E06FD5"/>
    <w:rsid w:val="00E10E80"/>
    <w:rsid w:val="00E124F0"/>
    <w:rsid w:val="00E139F7"/>
    <w:rsid w:val="00E227F3"/>
    <w:rsid w:val="00E4728B"/>
    <w:rsid w:val="00E545C6"/>
    <w:rsid w:val="00E60F04"/>
    <w:rsid w:val="00E63EFF"/>
    <w:rsid w:val="00E65B24"/>
    <w:rsid w:val="00E67B03"/>
    <w:rsid w:val="00E827F8"/>
    <w:rsid w:val="00E854E4"/>
    <w:rsid w:val="00E86142"/>
    <w:rsid w:val="00E86DBF"/>
    <w:rsid w:val="00EB0D6F"/>
    <w:rsid w:val="00EB2232"/>
    <w:rsid w:val="00EC5337"/>
    <w:rsid w:val="00EE49E8"/>
    <w:rsid w:val="00EF3EA0"/>
    <w:rsid w:val="00F10B59"/>
    <w:rsid w:val="00F16BAB"/>
    <w:rsid w:val="00F2150A"/>
    <w:rsid w:val="00F231D8"/>
    <w:rsid w:val="00F261EC"/>
    <w:rsid w:val="00F313E9"/>
    <w:rsid w:val="00F44C00"/>
    <w:rsid w:val="00F44ED6"/>
    <w:rsid w:val="00F45D2C"/>
    <w:rsid w:val="00F46C5F"/>
    <w:rsid w:val="00F50296"/>
    <w:rsid w:val="00F632C0"/>
    <w:rsid w:val="00F74694"/>
    <w:rsid w:val="00F77218"/>
    <w:rsid w:val="00F86596"/>
    <w:rsid w:val="00F93FD4"/>
    <w:rsid w:val="00F94A63"/>
    <w:rsid w:val="00FA1C28"/>
    <w:rsid w:val="00FB1279"/>
    <w:rsid w:val="00FB6B76"/>
    <w:rsid w:val="00FB7596"/>
    <w:rsid w:val="00FD23CA"/>
    <w:rsid w:val="00FE1B9E"/>
    <w:rsid w:val="00FE4077"/>
    <w:rsid w:val="00FE500D"/>
    <w:rsid w:val="00FE77D2"/>
    <w:rsid w:val="00FF31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F313E9"/>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AB3666"/>
    <w:pPr>
      <w:ind w:left="720"/>
      <w:contextualSpacing/>
    </w:pPr>
  </w:style>
  <w:style w:type="paragraph" w:styleId="NormalWeb">
    <w:name w:val="Normal (Web)"/>
    <w:basedOn w:val="Normal"/>
    <w:semiHidden/>
    <w:unhideWhenUsed/>
    <w:rsid w:val="00656114"/>
    <w:rPr>
      <w:rFonts w:ascii="Times New Roman" w:hAnsi="Times New Roman"/>
      <w:szCs w:val="24"/>
    </w:rPr>
  </w:style>
  <w:style w:type="paragraph" w:customStyle="1" w:styleId="normalWSIS">
    <w:name w:val="normal WSIS"/>
    <w:basedOn w:val="ListParagraph"/>
    <w:link w:val="normalWSISChar"/>
    <w:qFormat/>
    <w:rsid w:val="00E67B03"/>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E67B03"/>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09336">
      <w:bodyDiv w:val="1"/>
      <w:marLeft w:val="0"/>
      <w:marRight w:val="0"/>
      <w:marTop w:val="0"/>
      <w:marBottom w:val="0"/>
      <w:divBdr>
        <w:top w:val="none" w:sz="0" w:space="0" w:color="auto"/>
        <w:left w:val="none" w:sz="0" w:space="0" w:color="auto"/>
        <w:bottom w:val="none" w:sz="0" w:space="0" w:color="auto"/>
        <w:right w:val="none" w:sz="0" w:space="0" w:color="auto"/>
      </w:divBdr>
    </w:div>
    <w:div w:id="4562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s://undocs.org/Home/Mobile?FinalSymbol=A%2Fres%2F73%2F218&amp;Language=E&amp;DeviceType=Desktop&amp;LangRequested=False" TargetMode="External"/><Relationship Id="rId26" Type="http://schemas.openxmlformats.org/officeDocument/2006/relationships/hyperlink" Target="https://www.itu.int/pub/T-RES-T.75-2022" TargetMode="External"/><Relationship Id="rId39" Type="http://schemas.openxmlformats.org/officeDocument/2006/relationships/hyperlink" Target="https://www.itu.int/md/S25-CWGWSIS42-C-0012/en" TargetMode="External"/><Relationship Id="rId21" Type="http://schemas.openxmlformats.org/officeDocument/2006/relationships/hyperlink" Target="https://www.itu.int/en/council/cwg-wsis/Documents/Resolution172-PP10.pdf" TargetMode="External"/><Relationship Id="rId34" Type="http://schemas.openxmlformats.org/officeDocument/2006/relationships/hyperlink" Target="https://www.itu.int/md/S24-CWGWSIS40-C-0016/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Home/Mobile?FinalSymbol=A%2FRES%2F70%2F299&amp;Language=E&amp;DeviceType=Desktop&amp;LangRequested=False" TargetMode="External"/><Relationship Id="rId20" Type="http://schemas.openxmlformats.org/officeDocument/2006/relationships/hyperlink" Target="https://www.itu.int/en/council/Documents/basic-texts-2023/RES-140-E.pdf" TargetMode="External"/><Relationship Id="rId29" Type="http://schemas.openxmlformats.org/officeDocument/2006/relationships/hyperlink" Target="https://www.itu.int/md/S24-CL-C-0008/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3-CL-C-0120/en" TargetMode="External"/><Relationship Id="rId32" Type="http://schemas.openxmlformats.org/officeDocument/2006/relationships/hyperlink" Target="https://www.itu.int/md/S22-CWGWSIS38-C-0019/en" TargetMode="External"/><Relationship Id="rId37" Type="http://schemas.openxmlformats.org/officeDocument/2006/relationships/hyperlink" Target="https://www.itu.int/md/S24-CWGWSIS41-C-0011/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docs.org/Home/Mobile?FinalSymbol=A%2FRES%2F71%2F212&amp;Language=E&amp;DeviceType=Desktop&amp;LangRequested=False" TargetMode="External"/><Relationship Id="rId23" Type="http://schemas.openxmlformats.org/officeDocument/2006/relationships/hyperlink" Target="https://www.itu.int/md/S24-CL-C-0141/en" TargetMode="External"/><Relationship Id="rId28" Type="http://schemas.openxmlformats.org/officeDocument/2006/relationships/hyperlink" Target="http://www.itu.int/en/council/cwg-wsis/Pages/default.aspx" TargetMode="External"/><Relationship Id="rId36" Type="http://schemas.openxmlformats.org/officeDocument/2006/relationships/hyperlink" Target="https://www.itu.int/md/S24-CWGWSIS41-C-0011/en" TargetMode="External"/><Relationship Id="rId10" Type="http://schemas.openxmlformats.org/officeDocument/2006/relationships/endnotes" Target="endnotes.xml"/><Relationship Id="rId19" Type="http://schemas.openxmlformats.org/officeDocument/2006/relationships/hyperlink" Target="https://unctad.org/system/files/official-document/ecosoc_res_2023d3_en.pdf" TargetMode="External"/><Relationship Id="rId31" Type="http://schemas.openxmlformats.org/officeDocument/2006/relationships/hyperlink" Target="https://www.itu.int/md/S22-CWGWSIS38-C-0020/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hyperlink" Target="https://www.itu.int/en/council/Documents/basic-texts-2023/RES-071-E.pdf" TargetMode="External"/><Relationship Id="rId27" Type="http://schemas.openxmlformats.org/officeDocument/2006/relationships/hyperlink" Target="https://www.itu.int/pub/R-RES-R.61-3-2023" TargetMode="External"/><Relationship Id="rId30" Type="http://schemas.openxmlformats.org/officeDocument/2006/relationships/hyperlink" Target="https://www.itu.int/md/meetingdoc.asp?lang=en&amp;parent=S24-CWGWSIS41-C-0018" TargetMode="External"/><Relationship Id="rId35" Type="http://schemas.openxmlformats.org/officeDocument/2006/relationships/hyperlink" Target="https://www.itu.int/en/ITU-D/Conferences/WTDC/WTDC21/Documents/Final_508076_WTDC-Declaration_Layout_En.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cwg-wsis/Pages/default.aspx" TargetMode="External"/><Relationship Id="rId17" Type="http://schemas.openxmlformats.org/officeDocument/2006/relationships/hyperlink" Target="https://undocs.org/Home/Mobile?FinalSymbol=A%2F70%2F684&amp;Language=E&amp;DeviceType=Desktop&amp;LangRequested=False" TargetMode="External"/><Relationship Id="rId25" Type="http://schemas.openxmlformats.org/officeDocument/2006/relationships/hyperlink" Target="https://www.itu.int/dms_pub/itu-d/opb/tdc/D-TDC-WTDC-2022-PDF-E.pdf" TargetMode="External"/><Relationship Id="rId33" Type="http://schemas.openxmlformats.org/officeDocument/2006/relationships/hyperlink" Target="https://www.itu.int/md/S22-CWGWSIS38-C-0014/en" TargetMode="External"/><Relationship Id="rId38" Type="http://schemas.openxmlformats.org/officeDocument/2006/relationships/hyperlink" Target="https://undocs.org/E/RES/2024/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5BECF-7ADD-43AE-9A53-D95F59E2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056E9-6A98-431C-92C9-039E4A5817F5}">
  <ds:schemaRef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a1cf676c-2816-4389-ad5d-0f2e7c7e67c4"/>
    <ds:schemaRef ds:uri="http://purl.org/dc/terms/"/>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CA3396F-8A36-4B6D-B2F0-16299140E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ITU Secretary-General's WSIS+20 roadmap</dc:title>
  <dc:subject>ITU Council Working Group on WSIS &amp; SDGs</dc:subject>
  <dc:creator>LRT</dc:creator>
  <cp:keywords>CWG-WSIS&amp;SDG</cp:keywords>
  <dc:description/>
  <cp:lastModifiedBy>GBS</cp:lastModifiedBy>
  <cp:revision>2</cp:revision>
  <dcterms:created xsi:type="dcterms:W3CDTF">2025-01-10T16:14:00Z</dcterms:created>
  <dcterms:modified xsi:type="dcterms:W3CDTF">2025-01-10T16:14:00Z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a64e40552d6ff4963bb0334b1e63f0245d3d9cc51767e14c1529cb13a27b863b</vt:lpwstr>
  </property>
</Properties>
</file>