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3561" w14:paraId="2318798D" w14:textId="77777777" w:rsidTr="00AD3606">
        <w:trPr>
          <w:cantSplit/>
          <w:trHeight w:val="23"/>
        </w:trPr>
        <w:tc>
          <w:tcPr>
            <w:tcW w:w="3969" w:type="dxa"/>
            <w:vMerge w:val="restart"/>
            <w:tcMar>
              <w:left w:w="0" w:type="dxa"/>
            </w:tcMar>
          </w:tcPr>
          <w:p w14:paraId="69CE8A91" w14:textId="77777777" w:rsidR="00AD3606" w:rsidRPr="00743561"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3A6DA7B" w14:textId="3F93F9F7" w:rsidR="00AD3606" w:rsidRPr="00743561" w:rsidRDefault="00AD3606" w:rsidP="00472BAD">
            <w:pPr>
              <w:tabs>
                <w:tab w:val="left" w:pos="851"/>
              </w:tabs>
              <w:spacing w:before="0" w:line="240" w:lineRule="atLeast"/>
              <w:jc w:val="right"/>
              <w:rPr>
                <w:b/>
              </w:rPr>
            </w:pPr>
            <w:r w:rsidRPr="00743561">
              <w:rPr>
                <w:b/>
              </w:rPr>
              <w:t xml:space="preserve">Document </w:t>
            </w:r>
            <w:r w:rsidR="00227AAB" w:rsidRPr="00743561">
              <w:rPr>
                <w:b/>
              </w:rPr>
              <w:t>CWG-WSIS&amp;SDG-42</w:t>
            </w:r>
            <w:r w:rsidR="002F2D06" w:rsidRPr="00743561">
              <w:rPr>
                <w:b/>
              </w:rPr>
              <w:t>/</w:t>
            </w:r>
            <w:r w:rsidR="004F3AD6" w:rsidRPr="00743561">
              <w:rPr>
                <w:b/>
              </w:rPr>
              <w:t>2</w:t>
            </w:r>
          </w:p>
        </w:tc>
      </w:tr>
      <w:tr w:rsidR="00AD3606" w:rsidRPr="00743561" w14:paraId="3EF23D95" w14:textId="77777777" w:rsidTr="00AD3606">
        <w:trPr>
          <w:cantSplit/>
        </w:trPr>
        <w:tc>
          <w:tcPr>
            <w:tcW w:w="3969" w:type="dxa"/>
            <w:vMerge/>
          </w:tcPr>
          <w:p w14:paraId="7CFBDA08" w14:textId="77777777" w:rsidR="00AD3606" w:rsidRPr="00743561" w:rsidRDefault="00AD3606" w:rsidP="00AD3606">
            <w:pPr>
              <w:tabs>
                <w:tab w:val="left" w:pos="851"/>
              </w:tabs>
              <w:spacing w:line="240" w:lineRule="atLeast"/>
              <w:rPr>
                <w:b/>
              </w:rPr>
            </w:pPr>
            <w:bookmarkStart w:id="6" w:name="ddate" w:colFirst="1" w:colLast="1"/>
            <w:bookmarkEnd w:id="0"/>
            <w:bookmarkEnd w:id="1"/>
          </w:p>
        </w:tc>
        <w:tc>
          <w:tcPr>
            <w:tcW w:w="5245" w:type="dxa"/>
          </w:tcPr>
          <w:p w14:paraId="64E84D81" w14:textId="24E3D215" w:rsidR="00AD3606" w:rsidRPr="00743561" w:rsidRDefault="00452F4D" w:rsidP="00AD3606">
            <w:pPr>
              <w:tabs>
                <w:tab w:val="left" w:pos="851"/>
              </w:tabs>
              <w:spacing w:before="0"/>
              <w:jc w:val="right"/>
              <w:rPr>
                <w:b/>
              </w:rPr>
            </w:pPr>
            <w:r>
              <w:rPr>
                <w:b/>
              </w:rPr>
              <w:t>10</w:t>
            </w:r>
            <w:r w:rsidR="0078098F" w:rsidRPr="00743561">
              <w:rPr>
                <w:b/>
              </w:rPr>
              <w:t xml:space="preserve"> January 2025</w:t>
            </w:r>
          </w:p>
        </w:tc>
      </w:tr>
      <w:tr w:rsidR="00AD3606" w:rsidRPr="00743561" w14:paraId="2C541D66" w14:textId="77777777" w:rsidTr="00AD3606">
        <w:trPr>
          <w:cantSplit/>
          <w:trHeight w:val="23"/>
        </w:trPr>
        <w:tc>
          <w:tcPr>
            <w:tcW w:w="3969" w:type="dxa"/>
            <w:vMerge/>
          </w:tcPr>
          <w:p w14:paraId="6E31504C" w14:textId="77777777" w:rsidR="00AD3606" w:rsidRPr="00743561" w:rsidRDefault="00AD3606" w:rsidP="00AD3606">
            <w:pPr>
              <w:tabs>
                <w:tab w:val="left" w:pos="851"/>
              </w:tabs>
              <w:spacing w:line="240" w:lineRule="atLeast"/>
              <w:rPr>
                <w:b/>
              </w:rPr>
            </w:pPr>
            <w:bookmarkStart w:id="7" w:name="dorlang" w:colFirst="1" w:colLast="1"/>
            <w:bookmarkEnd w:id="6"/>
          </w:p>
        </w:tc>
        <w:tc>
          <w:tcPr>
            <w:tcW w:w="5245" w:type="dxa"/>
          </w:tcPr>
          <w:p w14:paraId="74E26546" w14:textId="77777777" w:rsidR="00AD3606" w:rsidRPr="00743561" w:rsidRDefault="00891503" w:rsidP="00AD3606">
            <w:pPr>
              <w:tabs>
                <w:tab w:val="left" w:pos="851"/>
              </w:tabs>
              <w:spacing w:before="0" w:line="240" w:lineRule="atLeast"/>
              <w:jc w:val="right"/>
              <w:rPr>
                <w:b/>
              </w:rPr>
            </w:pPr>
            <w:r w:rsidRPr="00743561">
              <w:rPr>
                <w:b/>
              </w:rPr>
              <w:t>English only</w:t>
            </w:r>
          </w:p>
        </w:tc>
      </w:tr>
      <w:tr w:rsidR="00472BAD" w:rsidRPr="00743561" w14:paraId="777D1004" w14:textId="77777777" w:rsidTr="00AD3606">
        <w:trPr>
          <w:cantSplit/>
          <w:trHeight w:val="23"/>
        </w:trPr>
        <w:tc>
          <w:tcPr>
            <w:tcW w:w="3969" w:type="dxa"/>
          </w:tcPr>
          <w:p w14:paraId="31F8AC58" w14:textId="77777777" w:rsidR="00472BAD" w:rsidRPr="00743561" w:rsidRDefault="00472BAD" w:rsidP="00AD3606">
            <w:pPr>
              <w:tabs>
                <w:tab w:val="left" w:pos="851"/>
              </w:tabs>
              <w:spacing w:line="240" w:lineRule="atLeast"/>
              <w:rPr>
                <w:b/>
              </w:rPr>
            </w:pPr>
          </w:p>
        </w:tc>
        <w:tc>
          <w:tcPr>
            <w:tcW w:w="5245" w:type="dxa"/>
          </w:tcPr>
          <w:p w14:paraId="2BF88117" w14:textId="77777777" w:rsidR="00472BAD" w:rsidRPr="00743561" w:rsidRDefault="00472BAD" w:rsidP="00AD3606">
            <w:pPr>
              <w:tabs>
                <w:tab w:val="left" w:pos="851"/>
              </w:tabs>
              <w:spacing w:before="0" w:line="240" w:lineRule="atLeast"/>
              <w:jc w:val="right"/>
              <w:rPr>
                <w:b/>
              </w:rPr>
            </w:pPr>
          </w:p>
        </w:tc>
      </w:tr>
      <w:tr w:rsidR="00AD3606" w:rsidRPr="00743561" w14:paraId="0866D406" w14:textId="77777777" w:rsidTr="00AD3606">
        <w:trPr>
          <w:cantSplit/>
        </w:trPr>
        <w:tc>
          <w:tcPr>
            <w:tcW w:w="9214" w:type="dxa"/>
            <w:gridSpan w:val="2"/>
            <w:tcMar>
              <w:left w:w="0" w:type="dxa"/>
            </w:tcMar>
          </w:tcPr>
          <w:p w14:paraId="13DC604B" w14:textId="77777777" w:rsidR="00AD3606" w:rsidRPr="00743561" w:rsidRDefault="00227AAB" w:rsidP="00E4728B">
            <w:pPr>
              <w:pStyle w:val="Source"/>
              <w:framePr w:hSpace="0" w:wrap="auto" w:vAnchor="margin" w:hAnchor="text" w:xAlign="left" w:yAlign="inline"/>
            </w:pPr>
            <w:bookmarkStart w:id="8" w:name="dsource" w:colFirst="0" w:colLast="0"/>
            <w:bookmarkEnd w:id="7"/>
            <w:r w:rsidRPr="00743561">
              <w:t>Report</w:t>
            </w:r>
            <w:r w:rsidR="002F2D06" w:rsidRPr="00743561">
              <w:t xml:space="preserve"> by the </w:t>
            </w:r>
            <w:r w:rsidR="00F74A15" w:rsidRPr="00743561">
              <w:t>Secretary-General</w:t>
            </w:r>
          </w:p>
        </w:tc>
      </w:tr>
      <w:tr w:rsidR="00AD3606" w:rsidRPr="00743561" w14:paraId="21C83652" w14:textId="77777777" w:rsidTr="00AD3606">
        <w:trPr>
          <w:cantSplit/>
        </w:trPr>
        <w:tc>
          <w:tcPr>
            <w:tcW w:w="9214" w:type="dxa"/>
            <w:gridSpan w:val="2"/>
            <w:tcMar>
              <w:left w:w="0" w:type="dxa"/>
            </w:tcMar>
          </w:tcPr>
          <w:p w14:paraId="6BE09530" w14:textId="560AC4E9" w:rsidR="00AD3606" w:rsidRPr="00743561" w:rsidRDefault="0078098F" w:rsidP="00E4728B">
            <w:pPr>
              <w:pStyle w:val="Subtitle"/>
              <w:framePr w:hSpace="0" w:wrap="auto" w:xAlign="left" w:yAlign="inline"/>
            </w:pPr>
            <w:bookmarkStart w:id="9" w:name="dtitle1" w:colFirst="0" w:colLast="0"/>
            <w:bookmarkEnd w:id="8"/>
            <w:r w:rsidRPr="00743561">
              <w:t>COMPREHENSIVE REPORT DETAILING THE ACTIVITIES, ACTIONS, AND ENGAGEMENTS THAT THE UNION IS UNDERTAKING IN THE CONTEXT OF THE WSIS IMPLEMENTATION AND 2030 AGENDA</w:t>
            </w:r>
          </w:p>
        </w:tc>
      </w:tr>
      <w:tr w:rsidR="00AD3606" w:rsidRPr="00743561" w14:paraId="1BA97AE9" w14:textId="77777777" w:rsidTr="00AD3606">
        <w:trPr>
          <w:cantSplit/>
        </w:trPr>
        <w:tc>
          <w:tcPr>
            <w:tcW w:w="9214" w:type="dxa"/>
            <w:gridSpan w:val="2"/>
            <w:tcBorders>
              <w:top w:val="single" w:sz="4" w:space="0" w:color="auto"/>
              <w:bottom w:val="single" w:sz="4" w:space="0" w:color="auto"/>
            </w:tcBorders>
            <w:tcMar>
              <w:left w:w="0" w:type="dxa"/>
            </w:tcMar>
          </w:tcPr>
          <w:p w14:paraId="18D8A036" w14:textId="77777777" w:rsidR="00AD3606" w:rsidRPr="00743561" w:rsidRDefault="00F16BAB" w:rsidP="00F16BAB">
            <w:pPr>
              <w:spacing w:before="160"/>
              <w:rPr>
                <w:b/>
                <w:bCs/>
                <w:sz w:val="26"/>
                <w:szCs w:val="26"/>
              </w:rPr>
            </w:pPr>
            <w:r w:rsidRPr="00743561">
              <w:rPr>
                <w:b/>
                <w:bCs/>
                <w:sz w:val="26"/>
                <w:szCs w:val="26"/>
              </w:rPr>
              <w:t>Purpose</w:t>
            </w:r>
          </w:p>
          <w:p w14:paraId="498708D7" w14:textId="63DE7BF5" w:rsidR="00AD3606" w:rsidRPr="00743561" w:rsidRDefault="0078098F" w:rsidP="00660B55">
            <w:pPr>
              <w:jc w:val="both"/>
            </w:pPr>
            <w:r w:rsidRPr="00660B55">
              <w:rPr>
                <w:spacing w:val="-2"/>
                <w:szCs w:val="24"/>
              </w:rPr>
              <w:t>The objective of this report is to provide information on the activities, actions, and engagements</w:t>
            </w:r>
            <w:r w:rsidRPr="00743561">
              <w:rPr>
                <w:szCs w:val="24"/>
              </w:rPr>
              <w:t xml:space="preserve"> that the Union is undertaking in the context of the implementation of the World Summit on the Information Society and the 2030 Agenda for Sustainable Development, as well as in their follow-up and review processes.</w:t>
            </w:r>
          </w:p>
          <w:p w14:paraId="5C6AF60C" w14:textId="77777777" w:rsidR="00AD3606" w:rsidRPr="00743561" w:rsidRDefault="00AD3606" w:rsidP="00F16BAB">
            <w:pPr>
              <w:spacing w:before="160"/>
              <w:rPr>
                <w:b/>
                <w:bCs/>
                <w:sz w:val="26"/>
                <w:szCs w:val="26"/>
              </w:rPr>
            </w:pPr>
            <w:r w:rsidRPr="00743561">
              <w:rPr>
                <w:b/>
                <w:bCs/>
                <w:sz w:val="26"/>
                <w:szCs w:val="26"/>
              </w:rPr>
              <w:t>Action required</w:t>
            </w:r>
          </w:p>
          <w:p w14:paraId="60941C27" w14:textId="77777777" w:rsidR="0078098F" w:rsidRPr="00743561" w:rsidRDefault="0078098F" w:rsidP="0078098F">
            <w:pPr>
              <w:spacing w:before="160"/>
            </w:pPr>
            <w:r w:rsidRPr="00743561">
              <w:rPr>
                <w:szCs w:val="24"/>
              </w:rPr>
              <w:t xml:space="preserve">The Council Working Group on WSIS and the SDGs is invited to </w:t>
            </w:r>
            <w:r w:rsidRPr="00743561">
              <w:rPr>
                <w:b/>
                <w:bCs/>
                <w:szCs w:val="24"/>
              </w:rPr>
              <w:t>consider</w:t>
            </w:r>
            <w:r w:rsidRPr="00743561">
              <w:rPr>
                <w:szCs w:val="24"/>
              </w:rPr>
              <w:t xml:space="preserve"> this document.</w:t>
            </w:r>
          </w:p>
          <w:p w14:paraId="2F9AF392" w14:textId="77777777" w:rsidR="00AD3606" w:rsidRPr="00743561" w:rsidRDefault="00CD3C91" w:rsidP="00CD3C91">
            <w:r w:rsidRPr="00743561">
              <w:t>_______________</w:t>
            </w:r>
          </w:p>
          <w:p w14:paraId="667EE2C8" w14:textId="77777777" w:rsidR="00AD3606" w:rsidRPr="00743561" w:rsidRDefault="00AD3606" w:rsidP="00F16BAB">
            <w:pPr>
              <w:spacing w:before="160"/>
              <w:rPr>
                <w:b/>
                <w:bCs/>
                <w:sz w:val="26"/>
                <w:szCs w:val="26"/>
              </w:rPr>
            </w:pPr>
            <w:r w:rsidRPr="00743561">
              <w:rPr>
                <w:b/>
                <w:bCs/>
                <w:sz w:val="26"/>
                <w:szCs w:val="26"/>
              </w:rPr>
              <w:t>References</w:t>
            </w:r>
            <w:r w:rsidR="00301AEE" w:rsidRPr="00743561">
              <w:rPr>
                <w:b/>
                <w:bCs/>
                <w:sz w:val="26"/>
                <w:szCs w:val="26"/>
              </w:rPr>
              <w:t xml:space="preserve"> </w:t>
            </w:r>
          </w:p>
          <w:p w14:paraId="2CCEFC15" w14:textId="50C03EA5" w:rsidR="00AD3606" w:rsidRPr="00743561" w:rsidRDefault="00AF25B0" w:rsidP="00AF25B0">
            <w:pPr>
              <w:spacing w:after="160"/>
              <w:jc w:val="both"/>
              <w:rPr>
                <w:i/>
                <w:iCs/>
                <w:sz w:val="22"/>
                <w:szCs w:val="22"/>
              </w:rPr>
            </w:pPr>
            <w:hyperlink r:id="rId11" w:history="1">
              <w:r w:rsidRPr="0009569D">
                <w:rPr>
                  <w:rStyle w:val="Hyperlink"/>
                  <w:i/>
                  <w:iCs/>
                  <w:sz w:val="22"/>
                  <w:szCs w:val="22"/>
                </w:rPr>
                <w:t>CWG-WSIS&amp;SDG website</w:t>
              </w:r>
            </w:hyperlink>
            <w:r w:rsidRPr="0009569D">
              <w:rPr>
                <w:i/>
                <w:iCs/>
                <w:sz w:val="22"/>
                <w:szCs w:val="22"/>
              </w:rPr>
              <w:t xml:space="preserve">; </w:t>
            </w:r>
            <w:r w:rsidRPr="2ECC8AEC">
              <w:rPr>
                <w:i/>
                <w:iCs/>
                <w:sz w:val="22"/>
                <w:szCs w:val="22"/>
              </w:rPr>
              <w:t xml:space="preserve"> </w:t>
            </w:r>
            <w:r w:rsidRPr="00A33BDB">
              <w:rPr>
                <w:rFonts w:cs="Calibri"/>
                <w:i/>
                <w:iCs/>
                <w:color w:val="000000"/>
                <w:sz w:val="22"/>
                <w:szCs w:val="22"/>
                <w:shd w:val="clear" w:color="auto" w:fill="FFFFFF"/>
              </w:rPr>
              <w:t xml:space="preserve"> </w:t>
            </w:r>
            <w:r w:rsidRPr="00A33BDB">
              <w:rPr>
                <w:rStyle w:val="normaltextrun"/>
                <w:rFonts w:cs="Calibri"/>
                <w:i/>
                <w:iCs/>
                <w:color w:val="000000"/>
                <w:sz w:val="22"/>
                <w:szCs w:val="22"/>
                <w:shd w:val="clear" w:color="auto" w:fill="FFFFFF"/>
              </w:rPr>
              <w:t xml:space="preserve">UNGA Resolutions </w:t>
            </w:r>
            <w:hyperlink r:id="rId12" w:tgtFrame="_blank" w:history="1">
              <w:r w:rsidRPr="00A33BDB">
                <w:rPr>
                  <w:rStyle w:val="Hyperlink"/>
                  <w:i/>
                  <w:iCs/>
                  <w:sz w:val="22"/>
                  <w:szCs w:val="22"/>
                </w:rPr>
                <w:t>A/RES/70/125</w:t>
              </w:r>
            </w:hyperlink>
            <w:r w:rsidRPr="00A33BDB">
              <w:rPr>
                <w:rStyle w:val="normaltextrun"/>
                <w:rFonts w:cs="Calibri"/>
                <w:i/>
                <w:iCs/>
                <w:color w:val="000000"/>
                <w:sz w:val="22"/>
                <w:szCs w:val="22"/>
                <w:shd w:val="clear" w:color="auto" w:fill="FFFFFF"/>
              </w:rPr>
              <w:t xml:space="preserve">, </w:t>
            </w:r>
            <w:hyperlink r:id="rId13" w:tgtFrame="_blank" w:history="1">
              <w:r w:rsidRPr="00A33BDB">
                <w:rPr>
                  <w:rStyle w:val="Hyperlink"/>
                  <w:i/>
                  <w:iCs/>
                  <w:sz w:val="22"/>
                  <w:szCs w:val="22"/>
                </w:rPr>
                <w:t>A/RES/70/1</w:t>
              </w:r>
            </w:hyperlink>
            <w:r w:rsidRPr="00A33BDB">
              <w:rPr>
                <w:rStyle w:val="normaltextrun"/>
                <w:rFonts w:cs="Calibri"/>
                <w:i/>
                <w:iCs/>
                <w:color w:val="000000"/>
                <w:sz w:val="22"/>
                <w:szCs w:val="22"/>
                <w:shd w:val="clear" w:color="auto" w:fill="FFFFFF"/>
              </w:rPr>
              <w:t xml:space="preserve">, </w:t>
            </w:r>
            <w:hyperlink r:id="rId14" w:tgtFrame="_blank" w:history="1">
              <w:r w:rsidRPr="00A33BDB">
                <w:rPr>
                  <w:rStyle w:val="Hyperlink"/>
                  <w:i/>
                  <w:iCs/>
                  <w:sz w:val="22"/>
                  <w:szCs w:val="22"/>
                </w:rPr>
                <w:t>A/RES/77/150</w:t>
              </w:r>
            </w:hyperlink>
            <w:r w:rsidRPr="00A33BDB">
              <w:rPr>
                <w:rStyle w:val="normaltextrun"/>
                <w:rFonts w:cs="Calibri"/>
                <w:i/>
                <w:iCs/>
                <w:color w:val="000000"/>
                <w:sz w:val="22"/>
                <w:szCs w:val="22"/>
                <w:shd w:val="clear" w:color="auto" w:fill="FFFFFF"/>
              </w:rPr>
              <w:t xml:space="preserve">; UN ECOSOC </w:t>
            </w:r>
            <w:hyperlink r:id="rId15" w:tgtFrame="_blank" w:history="1">
              <w:r w:rsidRPr="00A33BDB">
                <w:rPr>
                  <w:rStyle w:val="Hyperlink"/>
                  <w:i/>
                  <w:iCs/>
                  <w:sz w:val="22"/>
                  <w:szCs w:val="22"/>
                </w:rPr>
                <w:t>Resolution E/RES/2022/15</w:t>
              </w:r>
            </w:hyperlink>
            <w:r w:rsidRPr="00A33BDB">
              <w:rPr>
                <w:i/>
                <w:iCs/>
                <w:sz w:val="22"/>
                <w:szCs w:val="22"/>
              </w:rPr>
              <w:t>;</w:t>
            </w:r>
            <w:r w:rsidRPr="00A33BDB">
              <w:rPr>
                <w:rStyle w:val="normaltextrun"/>
                <w:rFonts w:cs="Calibri"/>
                <w:i/>
                <w:iCs/>
                <w:color w:val="000000"/>
                <w:sz w:val="22"/>
                <w:szCs w:val="22"/>
                <w:shd w:val="clear" w:color="auto" w:fill="FFFFFF"/>
              </w:rPr>
              <w:t xml:space="preserve"> </w:t>
            </w:r>
            <w:hyperlink r:id="rId16" w:tgtFrame="_blank" w:history="1">
              <w:r w:rsidRPr="00A33BDB">
                <w:rPr>
                  <w:rStyle w:val="Hyperlink"/>
                  <w:i/>
                  <w:iCs/>
                  <w:sz w:val="22"/>
                  <w:szCs w:val="22"/>
                </w:rPr>
                <w:t>PP Resolution 172 (Rev. Guadalajara, 2010)</w:t>
              </w:r>
            </w:hyperlink>
            <w:r w:rsidRPr="00A33BDB">
              <w:rPr>
                <w:i/>
                <w:iCs/>
                <w:sz w:val="22"/>
                <w:szCs w:val="22"/>
              </w:rPr>
              <w:t>;</w:t>
            </w:r>
            <w:r w:rsidRPr="00A33BDB">
              <w:rPr>
                <w:rStyle w:val="normaltextrun"/>
                <w:rFonts w:cs="Calibri"/>
                <w:i/>
                <w:iCs/>
                <w:color w:val="000000"/>
                <w:sz w:val="22"/>
                <w:szCs w:val="22"/>
                <w:shd w:val="clear" w:color="auto" w:fill="FFFFFF"/>
              </w:rPr>
              <w:t xml:space="preserve"> </w:t>
            </w:r>
            <w:hyperlink r:id="rId17" w:tgtFrame="_blank" w:history="1">
              <w:r w:rsidRPr="00A33BDB">
                <w:rPr>
                  <w:rStyle w:val="Hyperlink"/>
                  <w:i/>
                  <w:iCs/>
                  <w:sz w:val="22"/>
                  <w:szCs w:val="22"/>
                </w:rPr>
                <w:t>PP Resolution 140 (Bucharest, 2022)</w:t>
              </w:r>
            </w:hyperlink>
            <w:r w:rsidRPr="00A33BDB">
              <w:rPr>
                <w:i/>
                <w:iCs/>
                <w:sz w:val="22"/>
                <w:szCs w:val="22"/>
              </w:rPr>
              <w:t>;</w:t>
            </w:r>
            <w:r w:rsidRPr="00A33BDB">
              <w:rPr>
                <w:rStyle w:val="normaltextrun"/>
                <w:rFonts w:cs="Calibri"/>
                <w:i/>
                <w:iCs/>
                <w:color w:val="000000"/>
                <w:sz w:val="22"/>
                <w:szCs w:val="22"/>
                <w:shd w:val="clear" w:color="auto" w:fill="FFFFFF"/>
              </w:rPr>
              <w:t xml:space="preserve"> </w:t>
            </w:r>
            <w:hyperlink r:id="rId18" w:history="1">
              <w:r w:rsidRPr="00A33BDB">
                <w:rPr>
                  <w:rStyle w:val="Hyperlink"/>
                  <w:rFonts w:cs="Calibri"/>
                  <w:i/>
                  <w:iCs/>
                  <w:sz w:val="22"/>
                  <w:szCs w:val="22"/>
                  <w:shd w:val="clear" w:color="auto" w:fill="FFFFFF"/>
                </w:rPr>
                <w:t>Council Resolution 1332 (Modified 2024)</w:t>
              </w:r>
            </w:hyperlink>
            <w:r w:rsidRPr="00A33BDB">
              <w:rPr>
                <w:i/>
                <w:iCs/>
                <w:sz w:val="22"/>
                <w:szCs w:val="22"/>
              </w:rPr>
              <w:t xml:space="preserve">; </w:t>
            </w:r>
            <w:hyperlink r:id="rId19" w:history="1">
              <w:r w:rsidRPr="00A33BDB">
                <w:rPr>
                  <w:rStyle w:val="Hyperlink"/>
                  <w:rFonts w:cs="Calibri"/>
                  <w:i/>
                  <w:iCs/>
                  <w:sz w:val="22"/>
                  <w:szCs w:val="22"/>
                  <w:shd w:val="clear" w:color="auto" w:fill="FFFFFF"/>
                </w:rPr>
                <w:t>Council Resolution 1334 (Modified 2023)</w:t>
              </w:r>
            </w:hyperlink>
            <w:r w:rsidRPr="00A33BDB">
              <w:rPr>
                <w:rStyle w:val="normaltextrun"/>
                <w:rFonts w:cs="Calibri"/>
                <w:i/>
                <w:iCs/>
                <w:color w:val="000000"/>
                <w:sz w:val="22"/>
                <w:szCs w:val="22"/>
                <w:shd w:val="clear" w:color="auto" w:fill="FFFFFF"/>
              </w:rPr>
              <w:t>;</w:t>
            </w:r>
            <w:r>
              <w:rPr>
                <w:rStyle w:val="normaltextrun"/>
                <w:rFonts w:cs="Calibri"/>
                <w:i/>
                <w:iCs/>
                <w:color w:val="000000"/>
                <w:sz w:val="22"/>
                <w:szCs w:val="22"/>
                <w:shd w:val="clear" w:color="auto" w:fill="FFFFFF"/>
              </w:rPr>
              <w:t xml:space="preserve"> </w:t>
            </w:r>
            <w:hyperlink r:id="rId20" w:history="1">
              <w:r w:rsidRPr="002312D6">
                <w:rPr>
                  <w:rStyle w:val="Hyperlink"/>
                  <w:i/>
                  <w:iCs/>
                  <w:sz w:val="22"/>
                  <w:szCs w:val="22"/>
                </w:rPr>
                <w:t>WTDC Resolution 30 (Rev. Kigali, 2022)</w:t>
              </w:r>
            </w:hyperlink>
            <w:r w:rsidRPr="002312D6">
              <w:rPr>
                <w:i/>
                <w:iCs/>
                <w:sz w:val="22"/>
                <w:szCs w:val="22"/>
              </w:rPr>
              <w:t xml:space="preserve">; </w:t>
            </w:r>
            <w:hyperlink r:id="rId21" w:history="1">
              <w:r w:rsidRPr="002312D6">
                <w:rPr>
                  <w:rStyle w:val="Hyperlink"/>
                  <w:i/>
                  <w:iCs/>
                  <w:sz w:val="22"/>
                  <w:szCs w:val="22"/>
                </w:rPr>
                <w:t>WTSA Resolution 75 (Rev. Geneva, 2022)</w:t>
              </w:r>
            </w:hyperlink>
            <w:r w:rsidRPr="002312D6">
              <w:rPr>
                <w:i/>
                <w:iCs/>
                <w:sz w:val="22"/>
                <w:szCs w:val="22"/>
              </w:rPr>
              <w:t xml:space="preserve">; </w:t>
            </w:r>
            <w:hyperlink r:id="rId22" w:history="1">
              <w:r w:rsidRPr="002312D6">
                <w:rPr>
                  <w:rStyle w:val="Hyperlink"/>
                  <w:i/>
                  <w:iCs/>
                  <w:sz w:val="22"/>
                  <w:szCs w:val="22"/>
                </w:rPr>
                <w:t>Resolution ITU-R 61-3 (Rev. Dubai, 2023)</w:t>
              </w:r>
            </w:hyperlink>
            <w:r w:rsidRPr="002312D6">
              <w:rPr>
                <w:i/>
                <w:iCs/>
                <w:sz w:val="22"/>
                <w:szCs w:val="22"/>
              </w:rPr>
              <w:t xml:space="preserve">; Reports of the CWG-WSIS&amp;SDG meetings </w:t>
            </w:r>
            <w:hyperlink r:id="rId23" w:history="1">
              <w:r w:rsidRPr="002312D6">
                <w:rPr>
                  <w:rStyle w:val="Hyperlink"/>
                  <w:i/>
                  <w:iCs/>
                  <w:sz w:val="22"/>
                  <w:szCs w:val="22"/>
                </w:rPr>
                <w:t>33</w:t>
              </w:r>
              <w:r w:rsidRPr="002312D6">
                <w:rPr>
                  <w:rStyle w:val="Hyperlink"/>
                  <w:i/>
                  <w:iCs/>
                  <w:sz w:val="22"/>
                  <w:szCs w:val="22"/>
                  <w:vertAlign w:val="superscript"/>
                </w:rPr>
                <w:t>rd</w:t>
              </w:r>
              <w:r w:rsidRPr="002312D6">
                <w:rPr>
                  <w:rStyle w:val="Hyperlink"/>
                  <w:i/>
                  <w:iCs/>
                  <w:sz w:val="22"/>
                  <w:szCs w:val="22"/>
                </w:rPr>
                <w:t>, 34</w:t>
              </w:r>
              <w:r w:rsidRPr="002312D6">
                <w:rPr>
                  <w:rStyle w:val="Hyperlink"/>
                  <w:i/>
                  <w:iCs/>
                  <w:sz w:val="22"/>
                  <w:szCs w:val="22"/>
                  <w:vertAlign w:val="superscript"/>
                </w:rPr>
                <w:t>th</w:t>
              </w:r>
              <w:r w:rsidRPr="002312D6">
                <w:rPr>
                  <w:rStyle w:val="Hyperlink"/>
                  <w:i/>
                  <w:iCs/>
                  <w:sz w:val="22"/>
                  <w:szCs w:val="22"/>
                </w:rPr>
                <w:t>, 35</w:t>
              </w:r>
              <w:r w:rsidRPr="002312D6">
                <w:rPr>
                  <w:rStyle w:val="Hyperlink"/>
                  <w:i/>
                  <w:iCs/>
                  <w:sz w:val="22"/>
                  <w:szCs w:val="22"/>
                  <w:vertAlign w:val="superscript"/>
                </w:rPr>
                <w:t>th</w:t>
              </w:r>
              <w:r w:rsidRPr="002312D6">
                <w:rPr>
                  <w:rStyle w:val="Hyperlink"/>
                  <w:i/>
                  <w:iCs/>
                  <w:sz w:val="22"/>
                  <w:szCs w:val="22"/>
                </w:rPr>
                <w:t>, 36</w:t>
              </w:r>
              <w:r w:rsidRPr="002312D6">
                <w:rPr>
                  <w:rStyle w:val="Hyperlink"/>
                  <w:i/>
                  <w:iCs/>
                  <w:sz w:val="22"/>
                  <w:szCs w:val="22"/>
                  <w:vertAlign w:val="superscript"/>
                </w:rPr>
                <w:t>th</w:t>
              </w:r>
              <w:r w:rsidRPr="002312D6">
                <w:rPr>
                  <w:rStyle w:val="Hyperlink"/>
                  <w:i/>
                  <w:iCs/>
                  <w:sz w:val="22"/>
                  <w:szCs w:val="22"/>
                </w:rPr>
                <w:t>, 37</w:t>
              </w:r>
              <w:r w:rsidRPr="002312D6">
                <w:rPr>
                  <w:rStyle w:val="Hyperlink"/>
                  <w:i/>
                  <w:iCs/>
                  <w:sz w:val="22"/>
                  <w:szCs w:val="22"/>
                  <w:vertAlign w:val="superscript"/>
                </w:rPr>
                <w:t>th</w:t>
              </w:r>
              <w:r w:rsidRPr="002312D6">
                <w:rPr>
                  <w:rStyle w:val="Hyperlink"/>
                  <w:i/>
                  <w:iCs/>
                  <w:sz w:val="22"/>
                  <w:szCs w:val="22"/>
                </w:rPr>
                <w:t>, 38</w:t>
              </w:r>
              <w:r w:rsidRPr="002312D6">
                <w:rPr>
                  <w:rStyle w:val="Hyperlink"/>
                  <w:i/>
                  <w:iCs/>
                  <w:sz w:val="22"/>
                  <w:szCs w:val="22"/>
                  <w:vertAlign w:val="superscript"/>
                </w:rPr>
                <w:t>th</w:t>
              </w:r>
              <w:r w:rsidRPr="002312D6">
                <w:rPr>
                  <w:rStyle w:val="Hyperlink"/>
                  <w:i/>
                  <w:iCs/>
                  <w:sz w:val="22"/>
                  <w:szCs w:val="22"/>
                </w:rPr>
                <w:t>, 39</w:t>
              </w:r>
              <w:r w:rsidRPr="002312D6">
                <w:rPr>
                  <w:rStyle w:val="Hyperlink"/>
                  <w:i/>
                  <w:iCs/>
                  <w:sz w:val="22"/>
                  <w:szCs w:val="22"/>
                  <w:vertAlign w:val="superscript"/>
                </w:rPr>
                <w:t>th</w:t>
              </w:r>
            </w:hyperlink>
            <w:r w:rsidRPr="002312D6">
              <w:rPr>
                <w:i/>
                <w:iCs/>
                <w:sz w:val="22"/>
                <w:szCs w:val="22"/>
              </w:rPr>
              <w:t xml:space="preserve">, </w:t>
            </w:r>
            <w:hyperlink r:id="rId24" w:history="1">
              <w:r w:rsidRPr="002312D6">
                <w:rPr>
                  <w:rStyle w:val="Hyperlink"/>
                  <w:i/>
                  <w:iCs/>
                  <w:sz w:val="22"/>
                  <w:szCs w:val="22"/>
                </w:rPr>
                <w:t>40</w:t>
              </w:r>
              <w:r w:rsidRPr="002312D6">
                <w:rPr>
                  <w:rStyle w:val="Hyperlink"/>
                  <w:i/>
                  <w:iCs/>
                  <w:sz w:val="22"/>
                  <w:szCs w:val="22"/>
                  <w:vertAlign w:val="superscript"/>
                </w:rPr>
                <w:t>th</w:t>
              </w:r>
            </w:hyperlink>
            <w:r w:rsidRPr="002312D6">
              <w:rPr>
                <w:i/>
                <w:iCs/>
                <w:sz w:val="22"/>
                <w:szCs w:val="22"/>
              </w:rPr>
              <w:t xml:space="preserve">; </w:t>
            </w:r>
            <w:hyperlink r:id="rId25" w:history="1">
              <w:r w:rsidRPr="002312D6">
                <w:rPr>
                  <w:rStyle w:val="Hyperlink"/>
                  <w:i/>
                  <w:iCs/>
                  <w:sz w:val="22"/>
                  <w:szCs w:val="22"/>
                </w:rPr>
                <w:t>Report on the Outcomes of the CWG-WSIS&amp;SDG Meetings held since PP-18</w:t>
              </w:r>
            </w:hyperlink>
            <w:r w:rsidRPr="002312D6">
              <w:rPr>
                <w:i/>
                <w:iCs/>
                <w:sz w:val="22"/>
                <w:szCs w:val="22"/>
              </w:rPr>
              <w:t xml:space="preserve">; </w:t>
            </w:r>
            <w:hyperlink r:id="rId26" w:history="1">
              <w:r w:rsidRPr="002312D6">
                <w:rPr>
                  <w:rStyle w:val="Hyperlink"/>
                  <w:i/>
                  <w:iCs/>
                  <w:sz w:val="22"/>
                  <w:szCs w:val="22"/>
                </w:rPr>
                <w:t>Report on the Outcomes of the CWG-WSIS&amp;SDG Meetings held since Council 21</w:t>
              </w:r>
            </w:hyperlink>
            <w:r w:rsidRPr="002312D6">
              <w:rPr>
                <w:i/>
                <w:iCs/>
                <w:sz w:val="22"/>
                <w:szCs w:val="22"/>
              </w:rPr>
              <w:t xml:space="preserve">; </w:t>
            </w:r>
            <w:hyperlink r:id="rId27" w:history="1">
              <w:r w:rsidRPr="002312D6">
                <w:rPr>
                  <w:rStyle w:val="Hyperlink"/>
                  <w:i/>
                  <w:iCs/>
                  <w:sz w:val="22"/>
                  <w:szCs w:val="22"/>
                </w:rPr>
                <w:t>Roadmap for ITU’s Activities to Help Achieve the 2030 Agenda for Sustainable Development</w:t>
              </w:r>
            </w:hyperlink>
            <w:r w:rsidRPr="002312D6">
              <w:rPr>
                <w:i/>
                <w:iCs/>
                <w:sz w:val="22"/>
                <w:szCs w:val="22"/>
              </w:rPr>
              <w:t xml:space="preserve">; </w:t>
            </w:r>
            <w:hyperlink r:id="rId28" w:history="1">
              <w:r w:rsidRPr="002312D6">
                <w:rPr>
                  <w:rStyle w:val="Hyperlink"/>
                  <w:i/>
                  <w:iCs/>
                  <w:sz w:val="22"/>
                  <w:szCs w:val="22"/>
                </w:rPr>
                <w:t>ITU Council Contribution to the High-Level Political Forum (HLPF) 2024</w:t>
              </w:r>
              <w:r w:rsidRPr="002312D6">
                <w:rPr>
                  <w:i/>
                  <w:iCs/>
                  <w:sz w:val="22"/>
                  <w:szCs w:val="22"/>
                </w:rPr>
                <w:t xml:space="preserve">; </w:t>
              </w:r>
            </w:hyperlink>
            <w:hyperlink r:id="rId29" w:history="1">
              <w:r w:rsidRPr="002312D6">
                <w:rPr>
                  <w:rStyle w:val="Hyperlink"/>
                  <w:i/>
                  <w:iCs/>
                  <w:sz w:val="22"/>
                  <w:szCs w:val="22"/>
                </w:rPr>
                <w:t>World Summit on the Information Society (WSIS)+20: WSIS beyond 2025 - WSIS+20 Roadmap</w:t>
              </w:r>
            </w:hyperlink>
            <w:r>
              <w:rPr>
                <w:i/>
                <w:iCs/>
                <w:sz w:val="22"/>
                <w:szCs w:val="22"/>
              </w:rPr>
              <w:t xml:space="preserve">, </w:t>
            </w:r>
            <w:hyperlink r:id="rId30" w:history="1">
              <w:r w:rsidRPr="009969EE">
                <w:rPr>
                  <w:rStyle w:val="Hyperlink"/>
                  <w:i/>
                  <w:iCs/>
                  <w:sz w:val="22"/>
                  <w:szCs w:val="22"/>
                </w:rPr>
                <w:t>ITU Council Contribution to the High-Level Political Forum (HLPF) 2024;</w:t>
              </w:r>
            </w:hyperlink>
            <w:r w:rsidRPr="2ECC8AEC">
              <w:rPr>
                <w:i/>
                <w:iCs/>
                <w:sz w:val="22"/>
                <w:szCs w:val="22"/>
              </w:rPr>
              <w:t xml:space="preserve"> </w:t>
            </w:r>
            <w:bookmarkStart w:id="10" w:name="_Hlk132417791"/>
            <w:r>
              <w:rPr>
                <w:i/>
                <w:iCs/>
                <w:sz w:val="22"/>
                <w:szCs w:val="22"/>
              </w:rPr>
              <w:fldChar w:fldCharType="begin"/>
            </w:r>
            <w:r>
              <w:rPr>
                <w:i/>
                <w:iCs/>
                <w:sz w:val="22"/>
                <w:szCs w:val="22"/>
              </w:rPr>
              <w:instrText>HYPERLINK "https://www.itu.int/en/ITU-D/Conferences/WTDC/WTDC21/Documents/Final_508076_WTDC-Declaration_Layout_En.pdf"</w:instrText>
            </w:r>
            <w:r>
              <w:rPr>
                <w:i/>
                <w:iCs/>
                <w:sz w:val="22"/>
                <w:szCs w:val="22"/>
              </w:rPr>
            </w:r>
            <w:r>
              <w:rPr>
                <w:i/>
                <w:iCs/>
                <w:sz w:val="22"/>
                <w:szCs w:val="22"/>
              </w:rPr>
              <w:fldChar w:fldCharType="separate"/>
            </w:r>
            <w:r w:rsidRPr="00154B04">
              <w:rPr>
                <w:rStyle w:val="Hyperlink"/>
                <w:i/>
                <w:iCs/>
                <w:sz w:val="22"/>
                <w:szCs w:val="22"/>
              </w:rPr>
              <w:t>WTDC</w:t>
            </w:r>
            <w:r w:rsidRPr="00154B04">
              <w:rPr>
                <w:rStyle w:val="Hyperlink"/>
                <w:i/>
                <w:iCs/>
                <w:sz w:val="22"/>
                <w:szCs w:val="22"/>
                <w:lang w:val="en-US"/>
              </w:rPr>
              <w:t xml:space="preserve"> Declaration (Kigali, 2022)</w:t>
            </w:r>
            <w:r>
              <w:rPr>
                <w:i/>
                <w:iCs/>
                <w:sz w:val="22"/>
                <w:szCs w:val="22"/>
              </w:rPr>
              <w:fldChar w:fldCharType="end"/>
            </w:r>
            <w:hyperlink r:id="rId31" w:history="1"/>
            <w:bookmarkEnd w:id="10"/>
          </w:p>
        </w:tc>
      </w:tr>
    </w:tbl>
    <w:p w14:paraId="4FDD08D9" w14:textId="77777777" w:rsidR="00E227F3" w:rsidRPr="0074356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6DA93C41" w14:textId="77777777" w:rsidR="0090147A" w:rsidRPr="0074356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43561">
        <w:br w:type="page"/>
      </w:r>
    </w:p>
    <w:bookmarkEnd w:id="5"/>
    <w:bookmarkEnd w:id="11"/>
    <w:p w14:paraId="71885DB2" w14:textId="77777777" w:rsidR="009D0AA1" w:rsidRDefault="009D0AA1" w:rsidP="009D0AA1">
      <w:pPr>
        <w:pStyle w:val="ListParagraph"/>
        <w:numPr>
          <w:ilvl w:val="0"/>
          <w:numId w:val="2"/>
        </w:numPr>
        <w:tabs>
          <w:tab w:val="clear" w:pos="567"/>
          <w:tab w:val="clear" w:pos="1134"/>
          <w:tab w:val="clear" w:pos="1701"/>
          <w:tab w:val="clear" w:pos="2268"/>
          <w:tab w:val="clear" w:pos="2835"/>
        </w:tabs>
        <w:overflowPunct/>
        <w:autoSpaceDE/>
        <w:autoSpaceDN/>
        <w:snapToGrid w:val="0"/>
        <w:spacing w:before="0"/>
        <w:ind w:left="0" w:firstLine="0"/>
        <w:contextualSpacing w:val="0"/>
        <w:textAlignment w:val="auto"/>
        <w:rPr>
          <w:rFonts w:cs="Calibri"/>
          <w:b/>
          <w:bCs/>
          <w:szCs w:val="24"/>
        </w:rPr>
      </w:pPr>
      <w:r w:rsidRPr="00ED2FAB">
        <w:rPr>
          <w:rFonts w:cs="Calibri"/>
          <w:b/>
          <w:bCs/>
          <w:szCs w:val="24"/>
        </w:rPr>
        <w:lastRenderedPageBreak/>
        <w:t>ITU’s activities for the implementation of the WSIS outcomes</w:t>
      </w:r>
    </w:p>
    <w:p w14:paraId="177F5B0B" w14:textId="77777777" w:rsidR="009D0AA1" w:rsidRPr="00ED2FAB" w:rsidRDefault="009D0AA1" w:rsidP="009D0AA1">
      <w:pPr>
        <w:pStyle w:val="ListParagraph"/>
        <w:tabs>
          <w:tab w:val="clear" w:pos="567"/>
          <w:tab w:val="clear" w:pos="1134"/>
          <w:tab w:val="clear" w:pos="1701"/>
          <w:tab w:val="clear" w:pos="2268"/>
          <w:tab w:val="clear" w:pos="2835"/>
        </w:tabs>
        <w:overflowPunct/>
        <w:autoSpaceDE/>
        <w:autoSpaceDN/>
        <w:snapToGrid w:val="0"/>
        <w:spacing w:before="0"/>
        <w:ind w:left="0"/>
        <w:contextualSpacing w:val="0"/>
        <w:textAlignment w:val="auto"/>
        <w:rPr>
          <w:rFonts w:cs="Calibri"/>
          <w:b/>
          <w:bCs/>
          <w:szCs w:val="24"/>
        </w:rPr>
      </w:pPr>
    </w:p>
    <w:p w14:paraId="0BD485B3"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spacing w:before="0" w:after="240"/>
        <w:ind w:left="0" w:firstLine="0"/>
        <w:contextualSpacing w:val="0"/>
        <w:jc w:val="both"/>
        <w:textAlignment w:val="auto"/>
        <w:rPr>
          <w:rFonts w:cs="Calibri"/>
          <w:color w:val="000000" w:themeColor="text1"/>
          <w:szCs w:val="24"/>
        </w:rPr>
      </w:pPr>
      <w:r w:rsidRPr="00ED2FAB">
        <w:rPr>
          <w:rFonts w:cs="Calibri"/>
          <w:bCs/>
          <w:szCs w:val="24"/>
        </w:rPr>
        <w:t xml:space="preserve">In line with </w:t>
      </w:r>
      <w:hyperlink r:id="rId32" w:history="1">
        <w:r w:rsidRPr="00ED2FAB">
          <w:rPr>
            <w:rStyle w:val="Hyperlink"/>
            <w:rFonts w:cs="Calibri"/>
            <w:bCs/>
            <w:szCs w:val="24"/>
          </w:rPr>
          <w:t>Resolution 1332 (Modified 2024)</w:t>
        </w:r>
      </w:hyperlink>
      <w:r w:rsidRPr="00ED2FAB">
        <w:rPr>
          <w:rFonts w:cs="Calibri"/>
          <w:bCs/>
          <w:szCs w:val="24"/>
        </w:rPr>
        <w:t xml:space="preserve">, the Secretary-General prepares a comprehensive annual report on </w:t>
      </w:r>
      <w:hyperlink r:id="rId33" w:history="1">
        <w:r w:rsidRPr="00ED2FAB">
          <w:rPr>
            <w:rStyle w:val="Hyperlink"/>
            <w:rFonts w:cs="Calibri"/>
            <w:bCs/>
            <w:szCs w:val="24"/>
          </w:rPr>
          <w:t>ITU’s contribution to the implementation of the WSIS outcomes</w:t>
        </w:r>
      </w:hyperlink>
      <w:r w:rsidRPr="00ED2FAB">
        <w:rPr>
          <w:rFonts w:cs="Calibri"/>
          <w:bCs/>
          <w:szCs w:val="24"/>
        </w:rPr>
        <w:t>. This report offers a detailed overview of key WSIS-related initiatives and activities undertaken by the Union's three sectors—Standardization, Radiocommunication, and Development—as well as by the General Secretariat. It provides updates on ITU’s operational and policy-level tasks, addressing all assigned mandates in relation to the WSIS Process.</w:t>
      </w:r>
      <w:r>
        <w:rPr>
          <w:rFonts w:cs="Calibri"/>
          <w:bCs/>
          <w:szCs w:val="24"/>
        </w:rPr>
        <w:t xml:space="preserve"> Reports of </w:t>
      </w:r>
      <w:r w:rsidRPr="005873D3">
        <w:rPr>
          <w:rFonts w:cs="Calibri"/>
          <w:bCs/>
          <w:szCs w:val="24"/>
        </w:rPr>
        <w:t>ITU Contribution to the WSIS Implementation</w:t>
      </w:r>
      <w:r>
        <w:rPr>
          <w:rFonts w:cs="Calibri"/>
          <w:bCs/>
          <w:szCs w:val="24"/>
        </w:rPr>
        <w:t xml:space="preserve"> are available </w:t>
      </w:r>
      <w:hyperlink r:id="rId34" w:history="1">
        <w:r w:rsidRPr="005873D3">
          <w:rPr>
            <w:rStyle w:val="Hyperlink"/>
            <w:rFonts w:cs="Calibri"/>
            <w:bCs/>
            <w:szCs w:val="24"/>
          </w:rPr>
          <w:t>here</w:t>
        </w:r>
      </w:hyperlink>
      <w:r>
        <w:rPr>
          <w:rFonts w:cs="Calibri"/>
          <w:bCs/>
          <w:szCs w:val="24"/>
        </w:rPr>
        <w:t>.</w:t>
      </w:r>
    </w:p>
    <w:p w14:paraId="7319C930"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spacing w:before="0"/>
        <w:ind w:left="0" w:firstLine="0"/>
        <w:jc w:val="both"/>
        <w:textAlignment w:val="auto"/>
        <w:rPr>
          <w:rFonts w:cs="Calibri"/>
        </w:rPr>
      </w:pPr>
      <w:r w:rsidRPr="0076522C">
        <w:rPr>
          <w:rFonts w:cs="Calibri"/>
        </w:rPr>
        <w:t xml:space="preserve">The ITU has published the draft 2024 edition of the </w:t>
      </w:r>
      <w:hyperlink r:id="rId35">
        <w:r w:rsidRPr="00ED2FAB">
          <w:rPr>
            <w:rStyle w:val="Hyperlink"/>
            <w:rFonts w:cs="Calibri"/>
          </w:rPr>
          <w:t>WSIS Action Lines Roadmaps</w:t>
        </w:r>
      </w:hyperlink>
      <w:r>
        <w:rPr>
          <w:rStyle w:val="Hyperlink"/>
          <w:rFonts w:cs="Calibri"/>
        </w:rPr>
        <w:t xml:space="preserve"> </w:t>
      </w:r>
      <w:r w:rsidRPr="0076522C">
        <w:rPr>
          <w:rFonts w:cs="Calibri"/>
        </w:rPr>
        <w:t xml:space="preserve">online. This draft covers Action Lines C2 (Information and Communication Infrastructure), C4 (Capacity Building), C5 (Building Confidence and Security in the Use of ICTs), and C6 (Enabling Environment), </w:t>
      </w:r>
      <w:r>
        <w:rPr>
          <w:rFonts w:cs="Calibri"/>
        </w:rPr>
        <w:t>where ITU is the sole facilitator</w:t>
      </w:r>
      <w:r w:rsidRPr="0076522C">
        <w:rPr>
          <w:rFonts w:cs="Calibri"/>
        </w:rPr>
        <w:t>. Additionally, the draft highlights ITU's role as co-facilitator for Action Lines C1, C3, C7, C8, C9, and C11.</w:t>
      </w:r>
      <w:r>
        <w:rPr>
          <w:rFonts w:cs="Calibri"/>
        </w:rPr>
        <w:t xml:space="preserve"> </w:t>
      </w:r>
    </w:p>
    <w:p w14:paraId="3F483A3D"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spacing w:after="240"/>
        <w:ind w:left="0" w:firstLine="0"/>
        <w:contextualSpacing w:val="0"/>
        <w:jc w:val="both"/>
        <w:textAlignment w:val="auto"/>
        <w:rPr>
          <w:rFonts w:cs="Calibri"/>
          <w:szCs w:val="24"/>
        </w:rPr>
      </w:pPr>
      <w:r w:rsidRPr="00ED2FAB">
        <w:rPr>
          <w:rFonts w:cs="Calibri"/>
          <w:szCs w:val="24"/>
        </w:rPr>
        <w:t xml:space="preserve">ITU has spearheaded numerous WSIS-related activities, including, among others the </w:t>
      </w:r>
      <w:r>
        <w:rPr>
          <w:rFonts w:cs="Calibri"/>
          <w:szCs w:val="24"/>
        </w:rPr>
        <w:t xml:space="preserve">annual </w:t>
      </w:r>
      <w:hyperlink r:id="rId36">
        <w:r w:rsidRPr="00ED2FAB">
          <w:rPr>
            <w:rStyle w:val="Hyperlink"/>
            <w:rFonts w:cs="Calibri"/>
            <w:szCs w:val="24"/>
          </w:rPr>
          <w:t>WSIS Forum</w:t>
        </w:r>
      </w:hyperlink>
      <w:r w:rsidRPr="00ED2FAB">
        <w:rPr>
          <w:rFonts w:cs="Calibri"/>
          <w:szCs w:val="24"/>
        </w:rPr>
        <w:t xml:space="preserve">, the </w:t>
      </w:r>
      <w:hyperlink r:id="rId37">
        <w:r w:rsidRPr="00ED2FAB">
          <w:rPr>
            <w:rStyle w:val="Hyperlink"/>
            <w:rFonts w:cs="Calibri"/>
            <w:szCs w:val="24"/>
          </w:rPr>
          <w:t>WSIS Stocktaking</w:t>
        </w:r>
      </w:hyperlink>
      <w:r w:rsidRPr="00ED2FAB">
        <w:rPr>
          <w:rFonts w:cs="Calibri"/>
          <w:szCs w:val="24"/>
        </w:rPr>
        <w:t xml:space="preserve">, the </w:t>
      </w:r>
      <w:hyperlink r:id="rId38">
        <w:r w:rsidRPr="00ED2FAB">
          <w:rPr>
            <w:rStyle w:val="Hyperlink"/>
            <w:rFonts w:cs="Calibri"/>
            <w:szCs w:val="24"/>
          </w:rPr>
          <w:t>WSIS Prizes</w:t>
        </w:r>
      </w:hyperlink>
      <w:r w:rsidRPr="00ED2FAB">
        <w:rPr>
          <w:rFonts w:cs="Calibri"/>
          <w:szCs w:val="24"/>
        </w:rPr>
        <w:t xml:space="preserve"> </w:t>
      </w:r>
      <w:r>
        <w:rPr>
          <w:rFonts w:cs="Calibri"/>
          <w:szCs w:val="24"/>
        </w:rPr>
        <w:t xml:space="preserve">and the </w:t>
      </w:r>
      <w:hyperlink r:id="rId39" w:history="1">
        <w:r w:rsidRPr="00ED2FAB">
          <w:rPr>
            <w:rStyle w:val="Hyperlink"/>
            <w:rFonts w:cs="Calibri"/>
            <w:szCs w:val="24"/>
          </w:rPr>
          <w:t>WSIS Special Prizes</w:t>
        </w:r>
      </w:hyperlink>
      <w:r>
        <w:rPr>
          <w:rStyle w:val="Hyperlink"/>
          <w:rFonts w:cs="Calibri"/>
          <w:szCs w:val="24"/>
        </w:rPr>
        <w:t xml:space="preserve">, </w:t>
      </w:r>
      <w:r w:rsidRPr="00ED2FAB">
        <w:rPr>
          <w:rFonts w:cs="Calibri"/>
          <w:szCs w:val="24"/>
        </w:rPr>
        <w:t xml:space="preserve">and the </w:t>
      </w:r>
      <w:hyperlink r:id="rId40" w:history="1">
        <w:r w:rsidRPr="00ED2FAB">
          <w:rPr>
            <w:rStyle w:val="Hyperlink"/>
            <w:rFonts w:cs="Calibri"/>
            <w:szCs w:val="24"/>
          </w:rPr>
          <w:t xml:space="preserve">WSIS&amp;SDG </w:t>
        </w:r>
        <w:proofErr w:type="spellStart"/>
        <w:r w:rsidRPr="00ED2FAB">
          <w:rPr>
            <w:rStyle w:val="Hyperlink"/>
            <w:rFonts w:cs="Calibri"/>
            <w:szCs w:val="24"/>
          </w:rPr>
          <w:t>TalkX</w:t>
        </w:r>
        <w:proofErr w:type="spellEnd"/>
      </w:hyperlink>
      <w:r w:rsidRPr="00ED2FAB">
        <w:rPr>
          <w:rFonts w:cs="Calibri"/>
          <w:szCs w:val="24"/>
        </w:rPr>
        <w:t xml:space="preserve">. All these activities are aligned with the Sustainable Development Goals (SDGs), as reflected in the </w:t>
      </w:r>
      <w:hyperlink r:id="rId41">
        <w:r w:rsidRPr="00ED2FAB">
          <w:rPr>
            <w:rStyle w:val="Hyperlink"/>
            <w:rFonts w:cs="Calibri"/>
            <w:szCs w:val="24"/>
          </w:rPr>
          <w:t>WSIS-SDG Matrix</w:t>
        </w:r>
      </w:hyperlink>
      <w:r w:rsidRPr="00ED2FAB">
        <w:rPr>
          <w:rFonts w:cs="Calibri"/>
          <w:szCs w:val="24"/>
        </w:rPr>
        <w:t xml:space="preserve"> developed by UN agencies. At its 2016 session, the Council resolved to use the WSIS framework as the foundation for ITU’s contribution to achieving the 2030 Agenda, in line with ITU’s mandate and within the resources allocated in the financial plan and biennial budget.</w:t>
      </w:r>
    </w:p>
    <w:p w14:paraId="50EEFD1E"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spacing w:before="0" w:after="240"/>
        <w:ind w:left="0" w:firstLine="0"/>
        <w:contextualSpacing w:val="0"/>
        <w:jc w:val="both"/>
        <w:textAlignment w:val="auto"/>
        <w:rPr>
          <w:rStyle w:val="Hyperlink"/>
          <w:rFonts w:cs="Calibri"/>
          <w:szCs w:val="24"/>
        </w:rPr>
      </w:pPr>
      <w:r w:rsidRPr="00ED2FAB">
        <w:rPr>
          <w:rFonts w:cs="Calibri"/>
          <w:szCs w:val="24"/>
        </w:rPr>
        <w:t xml:space="preserve">Since its establishment in 2011 under PP Resolution 140, ITU has coordinated the </w:t>
      </w:r>
      <w:hyperlink r:id="rId42" w:history="1">
        <w:r w:rsidRPr="00ED2FAB">
          <w:rPr>
            <w:rStyle w:val="Hyperlink"/>
            <w:rFonts w:cs="Calibri"/>
            <w:szCs w:val="24"/>
          </w:rPr>
          <w:t>WSIS Fund in Trust</w:t>
        </w:r>
      </w:hyperlink>
      <w:r w:rsidRPr="00ED2FAB">
        <w:rPr>
          <w:rFonts w:cs="Calibri"/>
          <w:szCs w:val="24"/>
        </w:rPr>
        <w:t xml:space="preserve"> to support activities related to the implementation of WSIS outcomes. In line with Council Resolutions 1332 and 1334, all ITU members and stakeholders are encouraged to make voluntary contributions to support the implementation of WSIS outcomes and the achievement of the SDGs, and to ensure effective implementation of the WSIS+20 review process. Partnership packages for 2025 in all six UN languages </w:t>
      </w:r>
      <w:r>
        <w:rPr>
          <w:rFonts w:cs="Calibri"/>
          <w:szCs w:val="24"/>
        </w:rPr>
        <w:t>are</w:t>
      </w:r>
      <w:r w:rsidRPr="00ED2FAB">
        <w:rPr>
          <w:rFonts w:cs="Calibri"/>
          <w:szCs w:val="24"/>
        </w:rPr>
        <w:t xml:space="preserve"> available on</w:t>
      </w:r>
      <w:r>
        <w:rPr>
          <w:rFonts w:cs="Calibri"/>
          <w:szCs w:val="24"/>
        </w:rPr>
        <w:t>line</w:t>
      </w:r>
      <w:r w:rsidRPr="00ED2FAB">
        <w:rPr>
          <w:rFonts w:cs="Calibri"/>
          <w:szCs w:val="24"/>
        </w:rPr>
        <w:t>.</w:t>
      </w:r>
    </w:p>
    <w:p w14:paraId="7B714242" w14:textId="77777777" w:rsidR="009D0AA1" w:rsidRPr="00504A75"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ind w:left="0" w:firstLine="0"/>
        <w:jc w:val="both"/>
        <w:textAlignment w:val="auto"/>
        <w:rPr>
          <w:rFonts w:cs="Calibri"/>
          <w:b/>
          <w:bCs/>
        </w:rPr>
      </w:pPr>
      <w:r>
        <w:rPr>
          <w:rFonts w:cs="Calibri"/>
        </w:rPr>
        <w:t xml:space="preserve">Serving as a permanent secretariat, and </w:t>
      </w:r>
      <w:r w:rsidRPr="00ED2FAB">
        <w:rPr>
          <w:rFonts w:cs="Calibri"/>
        </w:rPr>
        <w:t xml:space="preserve">a vice-chair of </w:t>
      </w:r>
      <w:hyperlink r:id="rId43" w:history="1">
        <w:r w:rsidRPr="00ED2FAB">
          <w:rPr>
            <w:rStyle w:val="Hyperlink"/>
            <w:rFonts w:cs="Calibri"/>
          </w:rPr>
          <w:t>UNGIS</w:t>
        </w:r>
      </w:hyperlink>
      <w:r w:rsidRPr="00ED2FAB">
        <w:rPr>
          <w:rFonts w:cs="Calibri"/>
        </w:rPr>
        <w:t xml:space="preserve"> for the 2024-2025 period, alongside UNDP, UNCTAD, and UN ECLAC, with UNESCO serving as the chair, ITU has been instrumental in facilitating UNGIS activities and events, emphasizing the importance of interagency coordination. UNGIS contributes annually to various global digital </w:t>
      </w:r>
      <w:r>
        <w:rPr>
          <w:rFonts w:cs="Calibri"/>
        </w:rPr>
        <w:t xml:space="preserve">and development </w:t>
      </w:r>
      <w:r w:rsidRPr="00ED2FAB">
        <w:rPr>
          <w:rFonts w:cs="Calibri"/>
        </w:rPr>
        <w:t xml:space="preserve">processes and events, including the High-Level Political Forum (HLPF). Notable contributions for 2024 are available </w:t>
      </w:r>
      <w:hyperlink r:id="rId44" w:history="1">
        <w:r w:rsidRPr="00ED2FAB">
          <w:rPr>
            <w:rStyle w:val="Hyperlink"/>
            <w:rFonts w:cs="Calibri"/>
            <w:szCs w:val="24"/>
          </w:rPr>
          <w:t>here</w:t>
        </w:r>
      </w:hyperlink>
      <w:r>
        <w:rPr>
          <w:rFonts w:cs="Calibri"/>
          <w:color w:val="000000" w:themeColor="text1"/>
          <w:szCs w:val="24"/>
        </w:rPr>
        <w:t xml:space="preserve">. Following </w:t>
      </w:r>
      <w:r w:rsidRPr="00ED2FAB">
        <w:rPr>
          <w:rFonts w:cs="Calibri"/>
        </w:rPr>
        <w:t>the</w:t>
      </w:r>
      <w:r>
        <w:rPr>
          <w:rFonts w:cs="Calibri"/>
        </w:rPr>
        <w:t xml:space="preserve"> UNGIS inputs towards the Summit of the Future and GDC consultations, as part of the </w:t>
      </w:r>
      <w:r w:rsidRPr="00771F08">
        <w:rPr>
          <w:rFonts w:cs="Calibri"/>
        </w:rPr>
        <w:t xml:space="preserve">WSIS Process follow-up on </w:t>
      </w:r>
      <w:r>
        <w:rPr>
          <w:rFonts w:cs="Calibri"/>
        </w:rPr>
        <w:t>the GDC the</w:t>
      </w:r>
      <w:r w:rsidRPr="00771F08">
        <w:rPr>
          <w:rFonts w:cs="Calibri"/>
        </w:rPr>
        <w:t xml:space="preserve"> </w:t>
      </w:r>
      <w:r>
        <w:rPr>
          <w:rFonts w:cs="Calibri"/>
        </w:rPr>
        <w:t xml:space="preserve"> </w:t>
      </w:r>
      <w:hyperlink r:id="rId45" w:history="1">
        <w:r w:rsidRPr="0099642D">
          <w:rPr>
            <w:rStyle w:val="Hyperlink"/>
            <w:rFonts w:cs="Calibri"/>
          </w:rPr>
          <w:t>WSIS Process and 2030 Agenda– Draft GDC Matrix</w:t>
        </w:r>
      </w:hyperlink>
      <w:r w:rsidRPr="0099642D">
        <w:rPr>
          <w:rFonts w:cs="Calibri"/>
        </w:rPr>
        <w:t xml:space="preserve"> </w:t>
      </w:r>
      <w:r>
        <w:rPr>
          <w:rFonts w:cs="Calibri"/>
        </w:rPr>
        <w:t xml:space="preserve">was developed. </w:t>
      </w:r>
    </w:p>
    <w:p w14:paraId="4307E06D"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ind w:left="0" w:firstLine="0"/>
        <w:contextualSpacing w:val="0"/>
        <w:jc w:val="both"/>
        <w:textAlignment w:val="auto"/>
        <w:rPr>
          <w:rStyle w:val="Hyperlink"/>
          <w:rFonts w:cs="Calibri"/>
          <w:szCs w:val="24"/>
        </w:rPr>
      </w:pPr>
      <w:r w:rsidRPr="00ED2FAB">
        <w:rPr>
          <w:rFonts w:eastAsia="SimSun" w:cs="Calibri"/>
          <w:szCs w:val="24"/>
        </w:rPr>
        <w:t xml:space="preserve">ITU continues to be an active member of the </w:t>
      </w:r>
      <w:hyperlink r:id="rId46" w:history="1">
        <w:r w:rsidRPr="00ED2FAB">
          <w:rPr>
            <w:rStyle w:val="Hyperlink"/>
            <w:rFonts w:eastAsia="SimSun" w:cs="Calibri"/>
            <w:szCs w:val="24"/>
          </w:rPr>
          <w:t>Partnership on Measuring ICT for Development</w:t>
        </w:r>
      </w:hyperlink>
      <w:r w:rsidRPr="00ED2FAB">
        <w:rPr>
          <w:rFonts w:eastAsia="SimSun" w:cs="Calibri"/>
          <w:szCs w:val="24"/>
        </w:rPr>
        <w:t xml:space="preserve"> and of its Steering Committee, along with UNCTAD and UNDESA. </w:t>
      </w:r>
      <w:r w:rsidRPr="00ED2FAB">
        <w:rPr>
          <w:rFonts w:cs="Calibri"/>
          <w:szCs w:val="24"/>
        </w:rPr>
        <w:t>The Partnership has been monitoring ICT development globally, tracking progress towards the WSIS Targets and raising awareness about the importance of</w:t>
      </w:r>
      <w:r>
        <w:rPr>
          <w:rFonts w:cs="Calibri"/>
          <w:szCs w:val="24"/>
        </w:rPr>
        <w:t xml:space="preserve"> measuring </w:t>
      </w:r>
      <w:r w:rsidRPr="00ED2FAB">
        <w:rPr>
          <w:rFonts w:cs="Calibri"/>
          <w:szCs w:val="24"/>
        </w:rPr>
        <w:t xml:space="preserve">ICT </w:t>
      </w:r>
      <w:r>
        <w:rPr>
          <w:rFonts w:cs="Calibri"/>
          <w:szCs w:val="24"/>
        </w:rPr>
        <w:t xml:space="preserve">access and use </w:t>
      </w:r>
      <w:r w:rsidRPr="00ED2FAB">
        <w:rPr>
          <w:rFonts w:cs="Calibri"/>
          <w:szCs w:val="24"/>
        </w:rPr>
        <w:t xml:space="preserve">for development. </w:t>
      </w:r>
    </w:p>
    <w:p w14:paraId="20399895" w14:textId="77777777" w:rsidR="009D0AA1" w:rsidRPr="007C0BF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ind w:left="0" w:firstLine="0"/>
        <w:contextualSpacing w:val="0"/>
        <w:jc w:val="both"/>
        <w:textAlignment w:val="auto"/>
        <w:rPr>
          <w:rFonts w:cs="Calibri"/>
          <w:color w:val="000000" w:themeColor="text1"/>
          <w:szCs w:val="24"/>
        </w:rPr>
      </w:pPr>
      <w:r w:rsidRPr="00ED2FAB">
        <w:rPr>
          <w:rFonts w:cs="Calibri"/>
          <w:color w:val="000000" w:themeColor="text1"/>
          <w:szCs w:val="24"/>
        </w:rPr>
        <w:t xml:space="preserve">ITU organizes and supports </w:t>
      </w:r>
      <w:hyperlink r:id="rId47" w:history="1">
        <w:r w:rsidRPr="007C0BFB">
          <w:rPr>
            <w:rStyle w:val="Hyperlink"/>
            <w:rFonts w:cs="Calibri"/>
            <w:szCs w:val="24"/>
          </w:rPr>
          <w:t>Regional Development Forums</w:t>
        </w:r>
      </w:hyperlink>
      <w:r w:rsidRPr="00ED2FAB">
        <w:rPr>
          <w:rFonts w:cs="Calibri"/>
          <w:color w:val="000000" w:themeColor="text1"/>
          <w:szCs w:val="24"/>
        </w:rPr>
        <w:t xml:space="preserve"> aligned with WSIS outcomes, providing a platform for </w:t>
      </w:r>
      <w:r>
        <w:rPr>
          <w:rFonts w:cs="Calibri"/>
          <w:color w:val="000000" w:themeColor="text1"/>
          <w:szCs w:val="24"/>
        </w:rPr>
        <w:t>multi</w:t>
      </w:r>
      <w:r w:rsidRPr="00ED2FAB">
        <w:rPr>
          <w:rFonts w:cs="Calibri"/>
          <w:color w:val="000000" w:themeColor="text1"/>
          <w:szCs w:val="24"/>
        </w:rPr>
        <w:t xml:space="preserve">stakeholder exchange </w:t>
      </w:r>
      <w:r>
        <w:rPr>
          <w:rFonts w:cs="Calibri"/>
          <w:color w:val="000000" w:themeColor="text1"/>
          <w:szCs w:val="24"/>
        </w:rPr>
        <w:t xml:space="preserve">of </w:t>
      </w:r>
      <w:r w:rsidRPr="00ED2FAB">
        <w:rPr>
          <w:rFonts w:cs="Calibri"/>
          <w:color w:val="000000" w:themeColor="text1"/>
          <w:szCs w:val="24"/>
        </w:rPr>
        <w:t>best practices, challenges, and solutions. These forums facilitate regional collaboration and implementation efforts, contributing to the broader WSIS vision</w:t>
      </w:r>
      <w:r>
        <w:rPr>
          <w:rFonts w:cs="Calibri"/>
          <w:color w:val="000000" w:themeColor="text1"/>
          <w:szCs w:val="24"/>
        </w:rPr>
        <w:t xml:space="preserve">. The six upcoming RDFs are listed online.  </w:t>
      </w:r>
    </w:p>
    <w:p w14:paraId="5C9F3D95" w14:textId="77777777" w:rsidR="009D0AA1" w:rsidRPr="00ED2FAB" w:rsidRDefault="009D0AA1" w:rsidP="009D0AA1">
      <w:pPr>
        <w:pStyle w:val="ListParagraph"/>
        <w:keepNext/>
        <w:keepLines/>
        <w:numPr>
          <w:ilvl w:val="0"/>
          <w:numId w:val="2"/>
        </w:numPr>
        <w:tabs>
          <w:tab w:val="clear" w:pos="567"/>
          <w:tab w:val="clear" w:pos="1134"/>
          <w:tab w:val="clear" w:pos="1701"/>
          <w:tab w:val="clear" w:pos="2268"/>
          <w:tab w:val="clear" w:pos="2835"/>
        </w:tabs>
        <w:overflowPunct/>
        <w:autoSpaceDE/>
        <w:autoSpaceDN/>
        <w:snapToGrid w:val="0"/>
        <w:spacing w:before="0"/>
        <w:ind w:left="720" w:hanging="630"/>
        <w:textAlignment w:val="auto"/>
        <w:rPr>
          <w:rFonts w:cs="Calibri"/>
          <w:b/>
          <w:bCs/>
          <w:szCs w:val="24"/>
        </w:rPr>
      </w:pPr>
      <w:r w:rsidRPr="007F243B">
        <w:rPr>
          <w:rFonts w:cs="Calibri"/>
          <w:b/>
          <w:bCs/>
          <w:szCs w:val="24"/>
        </w:rPr>
        <w:lastRenderedPageBreak/>
        <w:t>Preparation for the</w:t>
      </w:r>
      <w:r>
        <w:rPr>
          <w:rFonts w:cs="Calibri"/>
          <w:b/>
          <w:bCs/>
          <w:szCs w:val="24"/>
        </w:rPr>
        <w:t xml:space="preserve"> WSIS+20</w:t>
      </w:r>
      <w:r w:rsidRPr="007F243B">
        <w:rPr>
          <w:rFonts w:cs="Calibri"/>
          <w:b/>
          <w:bCs/>
          <w:szCs w:val="24"/>
        </w:rPr>
        <w:t xml:space="preserve"> Overall Review on the Implementation of the WSIS Outcomes: WSIS Beyond 2025</w:t>
      </w:r>
    </w:p>
    <w:p w14:paraId="640A5278" w14:textId="77777777" w:rsidR="009D0AA1" w:rsidRDefault="009D0AA1" w:rsidP="009D0AA1">
      <w:pPr>
        <w:pStyle w:val="ListParagraph"/>
        <w:tabs>
          <w:tab w:val="clear" w:pos="567"/>
          <w:tab w:val="clear" w:pos="1134"/>
          <w:tab w:val="clear" w:pos="1701"/>
          <w:tab w:val="clear" w:pos="2268"/>
          <w:tab w:val="clear" w:pos="2835"/>
        </w:tabs>
        <w:overflowPunct/>
        <w:autoSpaceDE/>
        <w:autoSpaceDN/>
        <w:snapToGrid w:val="0"/>
        <w:spacing w:before="0"/>
        <w:ind w:left="0"/>
        <w:contextualSpacing w:val="0"/>
        <w:jc w:val="both"/>
        <w:textAlignment w:val="auto"/>
        <w:rPr>
          <w:rFonts w:cs="Calibri"/>
          <w:szCs w:val="24"/>
        </w:rPr>
      </w:pPr>
    </w:p>
    <w:p w14:paraId="7B0AC186" w14:textId="77777777" w:rsidR="009D0AA1" w:rsidRPr="00805EB4" w:rsidRDefault="009D0AA1" w:rsidP="009D0AA1">
      <w:pPr>
        <w:pStyle w:val="ListParagraph"/>
        <w:numPr>
          <w:ilvl w:val="1"/>
          <w:numId w:val="2"/>
        </w:numPr>
        <w:snapToGrid w:val="0"/>
        <w:ind w:left="90" w:firstLine="0"/>
        <w:jc w:val="both"/>
        <w:rPr>
          <w:rFonts w:cs="Calibri"/>
          <w:szCs w:val="24"/>
        </w:rPr>
      </w:pPr>
      <w:r w:rsidRPr="00805EB4">
        <w:rPr>
          <w:rFonts w:cs="Calibri"/>
          <w:szCs w:val="24"/>
        </w:rPr>
        <w:t xml:space="preserve">Preparations for the WSIS+20 review process are ongoing. The ITU Council has adopted </w:t>
      </w:r>
      <w:r>
        <w:rPr>
          <w:rFonts w:cs="Calibri"/>
          <w:szCs w:val="24"/>
        </w:rPr>
        <w:t xml:space="preserve">a </w:t>
      </w:r>
      <w:r w:rsidRPr="00805EB4">
        <w:rPr>
          <w:rFonts w:cs="Calibri"/>
          <w:szCs w:val="24"/>
        </w:rPr>
        <w:t xml:space="preserve">revised </w:t>
      </w:r>
      <w:hyperlink r:id="rId48" w:history="1">
        <w:r w:rsidRPr="00ED2FAB">
          <w:rPr>
            <w:rStyle w:val="Hyperlink"/>
            <w:rFonts w:cs="Calibri"/>
            <w:szCs w:val="24"/>
          </w:rPr>
          <w:t>Resolution 1334</w:t>
        </w:r>
      </w:hyperlink>
      <w:r w:rsidRPr="00ED2FAB">
        <w:rPr>
          <w:rFonts w:cs="Calibri"/>
          <w:szCs w:val="24"/>
        </w:rPr>
        <w:t xml:space="preserve"> </w:t>
      </w:r>
      <w:r w:rsidRPr="00805EB4">
        <w:rPr>
          <w:rFonts w:cs="Calibri"/>
          <w:szCs w:val="24"/>
        </w:rPr>
        <w:t xml:space="preserve">(2023) and </w:t>
      </w:r>
      <w:r>
        <w:rPr>
          <w:rFonts w:cs="Calibri"/>
          <w:szCs w:val="24"/>
        </w:rPr>
        <w:t>a</w:t>
      </w:r>
      <w:r w:rsidRPr="00ED2FAB">
        <w:rPr>
          <w:rFonts w:cs="Calibri"/>
          <w:szCs w:val="24"/>
        </w:rPr>
        <w:t xml:space="preserve"> revised </w:t>
      </w:r>
      <w:hyperlink r:id="rId49" w:history="1">
        <w:r w:rsidRPr="00ED2FAB">
          <w:rPr>
            <w:rStyle w:val="Hyperlink"/>
            <w:rFonts w:cs="Calibri"/>
            <w:szCs w:val="24"/>
          </w:rPr>
          <w:t>Resolution 1332</w:t>
        </w:r>
      </w:hyperlink>
      <w:r w:rsidRPr="00805EB4">
        <w:rPr>
          <w:rFonts w:cs="Calibri"/>
          <w:szCs w:val="24"/>
        </w:rPr>
        <w:t xml:space="preserve"> (2024) to guide ITU’s work in addressing Member States' requests and following PP </w:t>
      </w:r>
      <w:hyperlink r:id="rId50" w:history="1">
        <w:r w:rsidRPr="00ED2FAB">
          <w:rPr>
            <w:rStyle w:val="Hyperlink"/>
            <w:rFonts w:cs="Calibri"/>
            <w:szCs w:val="24"/>
          </w:rPr>
          <w:t>Resolution 140</w:t>
        </w:r>
      </w:hyperlink>
      <w:r w:rsidRPr="00805EB4">
        <w:rPr>
          <w:rFonts w:cs="Calibri"/>
          <w:szCs w:val="24"/>
        </w:rPr>
        <w:t>.</w:t>
      </w:r>
    </w:p>
    <w:p w14:paraId="66AF1C27" w14:textId="77777777" w:rsidR="009D0AA1" w:rsidRDefault="009D0AA1" w:rsidP="009D0AA1">
      <w:pPr>
        <w:snapToGrid w:val="0"/>
        <w:ind w:left="90"/>
        <w:jc w:val="both"/>
        <w:rPr>
          <w:rFonts w:cs="Calibri"/>
          <w:szCs w:val="24"/>
        </w:rPr>
      </w:pPr>
      <w:r>
        <w:rPr>
          <w:rFonts w:cs="Calibri"/>
          <w:szCs w:val="24"/>
        </w:rPr>
        <w:t xml:space="preserve">2.2. </w:t>
      </w:r>
      <w:r w:rsidRPr="00061406">
        <w:rPr>
          <w:rFonts w:cs="Calibri"/>
          <w:szCs w:val="24"/>
        </w:rPr>
        <w:t>In collaboration with ITU, UNESCO, UNDP, UN CSTD, and UN DESA, a collaborative preparatory process for the WSIS+20 review is in progress. Regular meetings ensure effective coordination, with a strong emphasis on engaging the multistakeholder community in discussions and consultations. This inclusive approach aims to incorporate diverse perspectives towards the UNGA Overall Review in 2025.</w:t>
      </w:r>
    </w:p>
    <w:p w14:paraId="66D7E25A" w14:textId="77777777" w:rsidR="009D0AA1" w:rsidRPr="00825AA7" w:rsidRDefault="009D0AA1" w:rsidP="009D0AA1">
      <w:pPr>
        <w:snapToGrid w:val="0"/>
        <w:ind w:left="90"/>
        <w:jc w:val="both"/>
        <w:rPr>
          <w:rFonts w:cs="Calibri"/>
          <w:szCs w:val="24"/>
        </w:rPr>
      </w:pPr>
      <w:r>
        <w:rPr>
          <w:rFonts w:cs="Calibri"/>
          <w:szCs w:val="24"/>
        </w:rPr>
        <w:t>2.3. Following t</w:t>
      </w:r>
      <w:r w:rsidRPr="00825AA7">
        <w:rPr>
          <w:rFonts w:cs="Calibri"/>
          <w:szCs w:val="24"/>
        </w:rPr>
        <w:t xml:space="preserve">he  </w:t>
      </w:r>
      <w:hyperlink r:id="rId51" w:history="1">
        <w:r w:rsidRPr="00304F87">
          <w:rPr>
            <w:rStyle w:val="Hyperlink"/>
            <w:rFonts w:cs="Calibri"/>
            <w:szCs w:val="24"/>
          </w:rPr>
          <w:t>WSIS+20 Forum High-level Event</w:t>
        </w:r>
      </w:hyperlink>
      <w:r w:rsidRPr="00825AA7">
        <w:rPr>
          <w:rFonts w:cs="Calibri"/>
          <w:szCs w:val="24"/>
        </w:rPr>
        <w:t xml:space="preserve"> (HLE)</w:t>
      </w:r>
      <w:r>
        <w:rPr>
          <w:rFonts w:cs="Calibri"/>
          <w:szCs w:val="24"/>
        </w:rPr>
        <w:t xml:space="preserve"> 2024</w:t>
      </w:r>
      <w:r w:rsidRPr="00825AA7">
        <w:rPr>
          <w:rFonts w:cs="Calibri"/>
          <w:szCs w:val="24"/>
        </w:rPr>
        <w:t xml:space="preserve"> and the forthcoming </w:t>
      </w:r>
      <w:hyperlink r:id="rId52" w:history="1">
        <w:r w:rsidRPr="00825AA7">
          <w:rPr>
            <w:rStyle w:val="Hyperlink"/>
            <w:rFonts w:cs="Calibri"/>
            <w:szCs w:val="24"/>
          </w:rPr>
          <w:t>WSIS+20 HLE 2025</w:t>
        </w:r>
      </w:hyperlink>
      <w:r w:rsidRPr="00825AA7">
        <w:rPr>
          <w:rFonts w:cs="Calibri"/>
          <w:szCs w:val="24"/>
        </w:rPr>
        <w:t xml:space="preserve"> will review the progress, achievements, challenges, and opportunities since the Summit phases in Geneva (2003) and Tunis (2005). The 2024 HLE, chaired </w:t>
      </w:r>
      <w:r>
        <w:rPr>
          <w:rFonts w:cs="Calibri"/>
          <w:szCs w:val="24"/>
        </w:rPr>
        <w:t xml:space="preserve">and co-hosted </w:t>
      </w:r>
      <w:r w:rsidRPr="00825AA7">
        <w:rPr>
          <w:rFonts w:cs="Calibri"/>
          <w:szCs w:val="24"/>
        </w:rPr>
        <w:t xml:space="preserve">by the Swiss Confederation, presented a </w:t>
      </w:r>
      <w:hyperlink r:id="rId53" w:history="1">
        <w:r w:rsidRPr="00F03D88">
          <w:rPr>
            <w:rStyle w:val="Hyperlink"/>
            <w:rFonts w:cs="Calibri"/>
            <w:szCs w:val="24"/>
          </w:rPr>
          <w:t>Chair's Summary</w:t>
        </w:r>
      </w:hyperlink>
      <w:r w:rsidRPr="00825AA7">
        <w:rPr>
          <w:rFonts w:cs="Calibri"/>
          <w:szCs w:val="24"/>
        </w:rPr>
        <w:t xml:space="preserve"> advocating for a strengthened and inclusive framework for digital governance and cooperation, especially in the context of rapid AI and digital developments.</w:t>
      </w:r>
      <w:r>
        <w:rPr>
          <w:rFonts w:cs="Calibri"/>
          <w:szCs w:val="24"/>
        </w:rPr>
        <w:t xml:space="preserve"> The 2024 HLE highlights and documents are available </w:t>
      </w:r>
      <w:hyperlink r:id="rId54" w:history="1">
        <w:r w:rsidRPr="00775149">
          <w:rPr>
            <w:rStyle w:val="Hyperlink"/>
            <w:rFonts w:cs="Calibri"/>
            <w:szCs w:val="24"/>
          </w:rPr>
          <w:t>here</w:t>
        </w:r>
      </w:hyperlink>
      <w:r>
        <w:rPr>
          <w:rFonts w:cs="Calibri"/>
          <w:szCs w:val="24"/>
        </w:rPr>
        <w:t>.</w:t>
      </w:r>
    </w:p>
    <w:p w14:paraId="03137CE7" w14:textId="77777777" w:rsidR="009D0AA1" w:rsidRPr="00805EB4" w:rsidRDefault="009D0AA1" w:rsidP="009D0AA1">
      <w:pPr>
        <w:snapToGrid w:val="0"/>
        <w:ind w:left="90"/>
        <w:jc w:val="both"/>
        <w:rPr>
          <w:rFonts w:cs="Calibri"/>
          <w:szCs w:val="24"/>
        </w:rPr>
      </w:pPr>
      <w:r>
        <w:rPr>
          <w:rFonts w:cs="Calibri"/>
          <w:szCs w:val="24"/>
        </w:rPr>
        <w:t xml:space="preserve">2.4. </w:t>
      </w:r>
      <w:r w:rsidRPr="00805EB4">
        <w:rPr>
          <w:rFonts w:cs="Calibri"/>
          <w:szCs w:val="24"/>
        </w:rPr>
        <w:t xml:space="preserve">The Ministerial Roundtable at the 2024 HLE recognized the WSIS+20 review in 2025 as a key opportunity to evolve the WSIS Outcomes, integrating new technologies like AI to support inclusive global digital governance and development. ITU </w:t>
      </w:r>
      <w:r>
        <w:rPr>
          <w:rFonts w:cs="Calibri"/>
          <w:szCs w:val="24"/>
        </w:rPr>
        <w:t xml:space="preserve">continues to </w:t>
      </w:r>
      <w:r w:rsidRPr="00805EB4">
        <w:rPr>
          <w:rFonts w:cs="Calibri"/>
          <w:szCs w:val="24"/>
        </w:rPr>
        <w:t>actively engag</w:t>
      </w:r>
      <w:r>
        <w:rPr>
          <w:rFonts w:cs="Calibri"/>
          <w:szCs w:val="24"/>
        </w:rPr>
        <w:t>e</w:t>
      </w:r>
      <w:r w:rsidRPr="00805EB4">
        <w:rPr>
          <w:rFonts w:cs="Calibri"/>
          <w:szCs w:val="24"/>
        </w:rPr>
        <w:t xml:space="preserve"> with other global digital governance processes, such as the 2030 Agenda, the GDC, and the Summit of the Future, to ensure synergy and coherence throughout the WSIS+20 review process.</w:t>
      </w:r>
    </w:p>
    <w:p w14:paraId="1DAB541B" w14:textId="77777777" w:rsidR="009D0AA1" w:rsidRDefault="009D0AA1" w:rsidP="009D0AA1">
      <w:pPr>
        <w:snapToGrid w:val="0"/>
        <w:ind w:left="90"/>
        <w:jc w:val="both"/>
        <w:rPr>
          <w:rFonts w:cs="Calibri"/>
          <w:szCs w:val="24"/>
        </w:rPr>
      </w:pPr>
      <w:r>
        <w:rPr>
          <w:rFonts w:cs="Calibri"/>
          <w:szCs w:val="24"/>
        </w:rPr>
        <w:t xml:space="preserve">2.5. </w:t>
      </w:r>
      <w:r w:rsidRPr="005137A3">
        <w:rPr>
          <w:rFonts w:cs="Calibri"/>
          <w:szCs w:val="24"/>
        </w:rPr>
        <w:t>As part of the preparations for the WSIS+20 overall review, the ITU Secretary-General's WSIS+20 roadmap is being implemented, with stakeholders actively encouraged to contribute. Similarly, UN agencies are advancing their roadmaps and plans, such as UNESCO’s Global Forum on AI and Digital Transformation in June 2025 and CSTD’s 28th annual session in April 2025. UNDP, UN DESA, and UN Regional Commissions continue to assess regional WSIS implementation and follow-up, urging broad and inclusive participation.</w:t>
      </w:r>
    </w:p>
    <w:p w14:paraId="50C64D67" w14:textId="3491BE84" w:rsidR="009D0AA1" w:rsidRDefault="009D0AA1" w:rsidP="009D0AA1">
      <w:pPr>
        <w:snapToGrid w:val="0"/>
        <w:ind w:left="90"/>
        <w:jc w:val="both"/>
        <w:rPr>
          <w:rFonts w:cs="Calibri"/>
          <w:szCs w:val="24"/>
        </w:rPr>
      </w:pPr>
      <w:r>
        <w:rPr>
          <w:rFonts w:cs="Calibri"/>
          <w:szCs w:val="24"/>
        </w:rPr>
        <w:t xml:space="preserve">2.6. </w:t>
      </w:r>
      <w:r w:rsidRPr="00400268">
        <w:rPr>
          <w:rFonts w:cs="Calibri"/>
          <w:szCs w:val="24"/>
        </w:rPr>
        <w:t xml:space="preserve">Additionally, </w:t>
      </w:r>
      <w:r>
        <w:rPr>
          <w:rFonts w:cs="Calibri"/>
          <w:szCs w:val="24"/>
        </w:rPr>
        <w:t xml:space="preserve">as requested by the revised Resolution 1332 (2024), </w:t>
      </w:r>
      <w:r w:rsidRPr="00400268">
        <w:rPr>
          <w:rFonts w:cs="Calibri"/>
          <w:szCs w:val="24"/>
        </w:rPr>
        <w:t xml:space="preserve">the ITU </w:t>
      </w:r>
      <w:r w:rsidR="00081C5C">
        <w:rPr>
          <w:rFonts w:cs="Calibri"/>
          <w:szCs w:val="24"/>
        </w:rPr>
        <w:t>s</w:t>
      </w:r>
      <w:r w:rsidRPr="00400268">
        <w:rPr>
          <w:rFonts w:cs="Calibri"/>
          <w:szCs w:val="24"/>
        </w:rPr>
        <w:t xml:space="preserve">ecretariat </w:t>
      </w:r>
      <w:r>
        <w:rPr>
          <w:rFonts w:cs="Calibri"/>
          <w:szCs w:val="24"/>
        </w:rPr>
        <w:t xml:space="preserve">was invited to prepare and present during the </w:t>
      </w:r>
      <w:r w:rsidRPr="00400268">
        <w:rPr>
          <w:rFonts w:cs="Calibri"/>
          <w:szCs w:val="24"/>
        </w:rPr>
        <w:t>42</w:t>
      </w:r>
      <w:r w:rsidRPr="00F61F6A">
        <w:rPr>
          <w:rFonts w:cs="Calibri"/>
          <w:szCs w:val="24"/>
          <w:vertAlign w:val="superscript"/>
        </w:rPr>
        <w:t>nd</w:t>
      </w:r>
      <w:r>
        <w:rPr>
          <w:rFonts w:cs="Calibri"/>
          <w:szCs w:val="24"/>
        </w:rPr>
        <w:t xml:space="preserve"> meeting of the </w:t>
      </w:r>
      <w:r w:rsidRPr="00400268">
        <w:rPr>
          <w:rFonts w:cs="Calibri"/>
          <w:szCs w:val="24"/>
        </w:rPr>
        <w:t xml:space="preserve">CWG-WSIS&amp;SDG a </w:t>
      </w:r>
      <w:r>
        <w:rPr>
          <w:rFonts w:cs="Calibri"/>
          <w:szCs w:val="24"/>
        </w:rPr>
        <w:t>draft</w:t>
      </w:r>
      <w:r w:rsidRPr="00400268">
        <w:rPr>
          <w:rFonts w:cs="Calibri"/>
          <w:szCs w:val="24"/>
        </w:rPr>
        <w:t xml:space="preserve"> report on</w:t>
      </w:r>
      <w:r w:rsidRPr="00213177">
        <w:rPr>
          <w:rFonts w:cs="Calibri"/>
          <w:szCs w:val="24"/>
        </w:rPr>
        <w:t xml:space="preserve"> the work of the ITU in the WSIS+20 review, including ideas related to the re​view of the WSIS Action Line</w:t>
      </w:r>
      <w:r>
        <w:rPr>
          <w:rFonts w:cs="Calibri"/>
          <w:szCs w:val="24"/>
        </w:rPr>
        <w:t>s</w:t>
      </w:r>
      <w:r w:rsidRPr="00400268">
        <w:rPr>
          <w:rFonts w:cs="Calibri"/>
          <w:szCs w:val="24"/>
        </w:rPr>
        <w:t>, and a vision for WSIS beyond 2025.</w:t>
      </w:r>
    </w:p>
    <w:p w14:paraId="62943EBC" w14:textId="77777777" w:rsidR="009D0AA1" w:rsidRPr="00400268" w:rsidRDefault="009D0AA1" w:rsidP="009D0AA1">
      <w:pPr>
        <w:snapToGrid w:val="0"/>
        <w:ind w:left="90"/>
        <w:jc w:val="both"/>
        <w:rPr>
          <w:rFonts w:cs="Calibri"/>
          <w:szCs w:val="24"/>
        </w:rPr>
      </w:pPr>
    </w:p>
    <w:p w14:paraId="6C3795B9" w14:textId="77777777" w:rsidR="009D0AA1" w:rsidRDefault="009D0AA1" w:rsidP="009D0AA1">
      <w:pPr>
        <w:pStyle w:val="ListParagraph"/>
        <w:numPr>
          <w:ilvl w:val="0"/>
          <w:numId w:val="2"/>
        </w:numPr>
        <w:tabs>
          <w:tab w:val="clear" w:pos="567"/>
          <w:tab w:val="clear" w:pos="1134"/>
          <w:tab w:val="clear" w:pos="1701"/>
          <w:tab w:val="clear" w:pos="2268"/>
          <w:tab w:val="clear" w:pos="2835"/>
        </w:tabs>
        <w:overflowPunct/>
        <w:autoSpaceDE/>
        <w:autoSpaceDN/>
        <w:snapToGrid w:val="0"/>
        <w:spacing w:before="0"/>
        <w:ind w:left="0" w:firstLine="0"/>
        <w:contextualSpacing w:val="0"/>
        <w:textAlignment w:val="auto"/>
        <w:rPr>
          <w:rFonts w:cs="Calibri"/>
          <w:b/>
          <w:bCs/>
          <w:szCs w:val="24"/>
        </w:rPr>
      </w:pPr>
      <w:r w:rsidRPr="00ED2FAB">
        <w:rPr>
          <w:rFonts w:cs="Calibri"/>
          <w:b/>
          <w:bCs/>
          <w:szCs w:val="24"/>
        </w:rPr>
        <w:t xml:space="preserve">ITU’s activities for the implementation of the 2030 Agenda </w:t>
      </w:r>
      <w:bookmarkStart w:id="12" w:name="_Toc424563282"/>
    </w:p>
    <w:p w14:paraId="2B77DBD6" w14:textId="77777777" w:rsidR="009D0AA1" w:rsidRPr="00ED2FAB" w:rsidRDefault="009D0AA1" w:rsidP="009D0AA1">
      <w:pPr>
        <w:pStyle w:val="ListParagraph"/>
        <w:tabs>
          <w:tab w:val="clear" w:pos="567"/>
          <w:tab w:val="clear" w:pos="1134"/>
          <w:tab w:val="clear" w:pos="1701"/>
          <w:tab w:val="clear" w:pos="2268"/>
          <w:tab w:val="clear" w:pos="2835"/>
        </w:tabs>
        <w:overflowPunct/>
        <w:autoSpaceDE/>
        <w:autoSpaceDN/>
        <w:snapToGrid w:val="0"/>
        <w:spacing w:before="0"/>
        <w:ind w:left="0"/>
        <w:contextualSpacing w:val="0"/>
        <w:textAlignment w:val="auto"/>
        <w:rPr>
          <w:rFonts w:cs="Calibri"/>
          <w:b/>
          <w:bCs/>
          <w:szCs w:val="24"/>
        </w:rPr>
      </w:pPr>
    </w:p>
    <w:p w14:paraId="30395D83"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spacing w:before="0"/>
        <w:ind w:left="0" w:firstLine="0"/>
        <w:contextualSpacing w:val="0"/>
        <w:jc w:val="both"/>
        <w:textAlignment w:val="auto"/>
        <w:rPr>
          <w:rFonts w:cs="Calibri"/>
          <w:b/>
          <w:bCs/>
          <w:szCs w:val="24"/>
        </w:rPr>
      </w:pPr>
      <w:r w:rsidRPr="00ED2FAB">
        <w:rPr>
          <w:rFonts w:cs="Calibri"/>
          <w:szCs w:val="24"/>
        </w:rPr>
        <w:t xml:space="preserve">ITU's commitment to the 2030 Agenda is integrated in the </w:t>
      </w:r>
      <w:hyperlink r:id="rId55" w:history="1">
        <w:r w:rsidRPr="00ED2FAB">
          <w:rPr>
            <w:rStyle w:val="Hyperlink"/>
            <w:rFonts w:cs="Calibri"/>
            <w:szCs w:val="24"/>
          </w:rPr>
          <w:t>ITU Strategic Plan 2024-2027</w:t>
        </w:r>
      </w:hyperlink>
      <w:r w:rsidRPr="00ED2FAB">
        <w:rPr>
          <w:rFonts w:cs="Calibri"/>
          <w:szCs w:val="24"/>
        </w:rPr>
        <w:t xml:space="preserve">, which also facilitates progress towards implementing the WSIS Action Lines. With strategic goals that focus on the universal connectivity and sustainable digital transformation, ITU has made a concerted effort to highlight the role that </w:t>
      </w:r>
      <w:r>
        <w:rPr>
          <w:rFonts w:cs="Calibri"/>
          <w:szCs w:val="24"/>
        </w:rPr>
        <w:t xml:space="preserve">digital and emerging technologies </w:t>
      </w:r>
      <w:r w:rsidRPr="00ED2FAB">
        <w:rPr>
          <w:rFonts w:cs="Calibri"/>
          <w:szCs w:val="24"/>
        </w:rPr>
        <w:t xml:space="preserve">play in achieving the SDGs. ITU works on various initiatives and projects that harness the power of </w:t>
      </w:r>
      <w:r>
        <w:rPr>
          <w:rFonts w:cs="Calibri"/>
          <w:szCs w:val="24"/>
        </w:rPr>
        <w:t>digital</w:t>
      </w:r>
      <w:r w:rsidRPr="00ED2FAB">
        <w:rPr>
          <w:rFonts w:cs="Calibri"/>
          <w:szCs w:val="24"/>
        </w:rPr>
        <w:t xml:space="preserve"> for the implementation of the 2030 Agenda.</w:t>
      </w:r>
    </w:p>
    <w:p w14:paraId="23C529FB" w14:textId="77777777" w:rsidR="009D0AA1" w:rsidRPr="006C4257"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ind w:left="0" w:firstLine="0"/>
        <w:contextualSpacing w:val="0"/>
        <w:jc w:val="both"/>
        <w:textAlignment w:val="auto"/>
        <w:rPr>
          <w:rFonts w:cs="Calibri"/>
          <w:szCs w:val="24"/>
        </w:rPr>
      </w:pPr>
      <w:r w:rsidRPr="00ED2FAB">
        <w:rPr>
          <w:rFonts w:cs="Calibri"/>
          <w:bCs/>
          <w:szCs w:val="24"/>
        </w:rPr>
        <w:lastRenderedPageBreak/>
        <w:t xml:space="preserve">In accordance with </w:t>
      </w:r>
      <w:hyperlink r:id="rId56" w:history="1">
        <w:r w:rsidRPr="00ED2FAB">
          <w:rPr>
            <w:rStyle w:val="Hyperlink"/>
            <w:rFonts w:cs="Calibri"/>
            <w:bCs/>
            <w:szCs w:val="24"/>
          </w:rPr>
          <w:t>Resolution 1332 (Modified 2024)</w:t>
        </w:r>
      </w:hyperlink>
      <w:r w:rsidRPr="00ED2FAB">
        <w:rPr>
          <w:rFonts w:cs="Calibri"/>
          <w:bCs/>
          <w:szCs w:val="24"/>
        </w:rPr>
        <w:t>, the</w:t>
      </w:r>
      <w:r w:rsidRPr="00513CCF">
        <w:rPr>
          <w:rFonts w:cs="Calibri"/>
          <w:bCs/>
          <w:i/>
          <w:iCs/>
          <w:szCs w:val="24"/>
        </w:rPr>
        <w:t xml:space="preserve"> </w:t>
      </w:r>
      <w:r w:rsidRPr="003E33CE">
        <w:rPr>
          <w:rFonts w:cs="Calibri"/>
          <w:bCs/>
          <w:i/>
          <w:iCs/>
          <w:szCs w:val="24"/>
        </w:rPr>
        <w:t xml:space="preserve">Roadmap for ITU’s activities to help </w:t>
      </w:r>
      <w:r w:rsidRPr="00513CCF">
        <w:rPr>
          <w:rFonts w:cs="Calibri"/>
          <w:i/>
          <w:iCs/>
          <w:szCs w:val="24"/>
        </w:rPr>
        <w:t>achieve the 2030 Agenda for Sustainable Development</w:t>
      </w:r>
      <w:r w:rsidRPr="006C4257">
        <w:rPr>
          <w:rFonts w:cs="Calibri"/>
          <w:szCs w:val="24"/>
        </w:rPr>
        <w:t xml:space="preserve"> remains a living document guiding ITU actions to implement the 2030 Agenda and the SDGs. </w:t>
      </w:r>
    </w:p>
    <w:p w14:paraId="5DE84F49"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ind w:left="0" w:firstLine="0"/>
        <w:contextualSpacing w:val="0"/>
        <w:jc w:val="both"/>
        <w:textAlignment w:val="auto"/>
        <w:rPr>
          <w:rFonts w:cs="Calibri"/>
          <w:szCs w:val="24"/>
        </w:rPr>
      </w:pPr>
      <w:r w:rsidRPr="00ED2FAB">
        <w:rPr>
          <w:rFonts w:cs="Calibri"/>
          <w:szCs w:val="24"/>
        </w:rPr>
        <w:t xml:space="preserve">The 'Connect 2030 Agenda for Global Telecommunication/ICT Development' focuses on how technological advances will contribute to accelerate the achievement of the SDGs by 2030. Further reporting on ITU's contribution to the implementation of the </w:t>
      </w:r>
      <w:hyperlink r:id="rId57">
        <w:r w:rsidRPr="00ED2FAB">
          <w:rPr>
            <w:rStyle w:val="Hyperlink"/>
            <w:rFonts w:cs="Calibri"/>
            <w:szCs w:val="24"/>
          </w:rPr>
          <w:t>Connect 2030 Agenda</w:t>
        </w:r>
      </w:hyperlink>
      <w:r w:rsidRPr="00ED2FAB">
        <w:rPr>
          <w:rFonts w:cs="Calibri"/>
          <w:szCs w:val="24"/>
        </w:rPr>
        <w:t xml:space="preserve"> is available on the dedicated website.  </w:t>
      </w:r>
    </w:p>
    <w:p w14:paraId="343679D7"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ind w:left="0" w:firstLine="0"/>
        <w:contextualSpacing w:val="0"/>
        <w:jc w:val="both"/>
        <w:textAlignment w:val="auto"/>
        <w:rPr>
          <w:rFonts w:cs="Calibri"/>
          <w:szCs w:val="24"/>
        </w:rPr>
      </w:pPr>
      <w:r w:rsidRPr="00ED2FAB">
        <w:rPr>
          <w:rFonts w:cs="Calibri"/>
          <w:szCs w:val="24"/>
        </w:rPr>
        <w:t xml:space="preserve">ITU engages actively </w:t>
      </w:r>
      <w:r>
        <w:rPr>
          <w:rFonts w:cs="Calibri"/>
          <w:szCs w:val="24"/>
        </w:rPr>
        <w:t>in the annual High-Level Political Forum</w:t>
      </w:r>
      <w:r w:rsidRPr="00ED2FAB">
        <w:rPr>
          <w:rFonts w:cs="Calibri"/>
          <w:szCs w:val="24"/>
        </w:rPr>
        <w:t xml:space="preserve"> </w:t>
      </w:r>
      <w:r>
        <w:rPr>
          <w:rFonts w:cs="Calibri"/>
          <w:szCs w:val="24"/>
        </w:rPr>
        <w:t>(</w:t>
      </w:r>
      <w:r w:rsidRPr="00ED2FAB">
        <w:rPr>
          <w:rFonts w:cs="Calibri"/>
          <w:szCs w:val="24"/>
        </w:rPr>
        <w:t>HLPF</w:t>
      </w:r>
      <w:r>
        <w:rPr>
          <w:rFonts w:cs="Calibri"/>
          <w:szCs w:val="24"/>
        </w:rPr>
        <w:t>) by</w:t>
      </w:r>
      <w:r w:rsidRPr="00ED2FAB">
        <w:rPr>
          <w:rFonts w:cs="Calibri"/>
          <w:szCs w:val="24"/>
        </w:rPr>
        <w:t xml:space="preserve"> providing inputs</w:t>
      </w:r>
      <w:r>
        <w:rPr>
          <w:rFonts w:cs="Calibri"/>
          <w:szCs w:val="24"/>
        </w:rPr>
        <w:t xml:space="preserve"> to its themes, in particular the ITU Council contribution, </w:t>
      </w:r>
      <w:r w:rsidRPr="00ED2FAB">
        <w:rPr>
          <w:rFonts w:cs="Calibri"/>
          <w:szCs w:val="24"/>
        </w:rPr>
        <w:t>delivering statements in thematic sessions</w:t>
      </w:r>
      <w:r>
        <w:rPr>
          <w:rFonts w:cs="Calibri"/>
          <w:szCs w:val="24"/>
        </w:rPr>
        <w:t>,</w:t>
      </w:r>
      <w:r w:rsidRPr="00ED2FAB">
        <w:rPr>
          <w:rFonts w:cs="Calibri"/>
          <w:szCs w:val="24"/>
        </w:rPr>
        <w:t xml:space="preserve"> </w:t>
      </w:r>
      <w:r>
        <w:rPr>
          <w:rFonts w:cs="Calibri"/>
          <w:szCs w:val="24"/>
        </w:rPr>
        <w:t xml:space="preserve">and </w:t>
      </w:r>
      <w:r w:rsidRPr="00ED2FAB">
        <w:rPr>
          <w:rFonts w:cs="Calibri"/>
          <w:szCs w:val="24"/>
        </w:rPr>
        <w:t xml:space="preserve">through side events which are available on the </w:t>
      </w:r>
      <w:hyperlink r:id="rId58" w:history="1">
        <w:r w:rsidRPr="00ED2FAB">
          <w:rPr>
            <w:rStyle w:val="Hyperlink"/>
            <w:rFonts w:cs="Calibri"/>
            <w:szCs w:val="24"/>
          </w:rPr>
          <w:t>CWG-WSIS&amp;SDG website</w:t>
        </w:r>
      </w:hyperlink>
      <w:r w:rsidRPr="00ED2FAB">
        <w:rPr>
          <w:rStyle w:val="Hyperlink"/>
          <w:rFonts w:cs="Calibri"/>
          <w:szCs w:val="24"/>
        </w:rPr>
        <w:t xml:space="preserve"> </w:t>
      </w:r>
      <w:r w:rsidRPr="00ED2FAB">
        <w:rPr>
          <w:rFonts w:cs="Calibri"/>
          <w:szCs w:val="24"/>
        </w:rPr>
        <w:t xml:space="preserve">and the </w:t>
      </w:r>
      <w:hyperlink r:id="rId59" w:history="1">
        <w:r w:rsidRPr="00ED2FAB">
          <w:rPr>
            <w:rStyle w:val="Hyperlink"/>
            <w:rFonts w:cs="Calibri"/>
            <w:szCs w:val="24"/>
          </w:rPr>
          <w:t>UN HLPF website</w:t>
        </w:r>
      </w:hyperlink>
      <w:r w:rsidRPr="00ED2FAB">
        <w:rPr>
          <w:rFonts w:cs="Calibri"/>
          <w:szCs w:val="24"/>
        </w:rPr>
        <w:t>.</w:t>
      </w:r>
    </w:p>
    <w:p w14:paraId="28ECEA2C" w14:textId="77777777" w:rsidR="009D0AA1" w:rsidRPr="007978F4"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ind w:left="0" w:firstLine="0"/>
        <w:contextualSpacing w:val="0"/>
        <w:jc w:val="both"/>
        <w:textAlignment w:val="auto"/>
        <w:rPr>
          <w:rFonts w:cs="Calibri"/>
          <w:szCs w:val="24"/>
        </w:rPr>
      </w:pPr>
      <w:r w:rsidRPr="00ED2FAB">
        <w:rPr>
          <w:rFonts w:cs="Calibri"/>
          <w:szCs w:val="24"/>
        </w:rPr>
        <w:t xml:space="preserve">The contributions of the three Sectors to implementing the WSIS outcomes and the 2030 Agenda are outlined in the respective resolutions:  </w:t>
      </w:r>
      <w:hyperlink r:id="rId60" w:history="1">
        <w:r w:rsidRPr="00E815E9">
          <w:rPr>
            <w:rStyle w:val="Hyperlink"/>
            <w:rFonts w:cs="Calibri"/>
            <w:szCs w:val="24"/>
          </w:rPr>
          <w:t xml:space="preserve">ITU-R </w:t>
        </w:r>
        <w:r w:rsidRPr="00E815E9">
          <w:rPr>
            <w:rStyle w:val="Hyperlink"/>
            <w:rFonts w:cs="Calibri"/>
            <w:spacing w:val="-2"/>
            <w:szCs w:val="24"/>
          </w:rPr>
          <w:t>Resolution 61-3</w:t>
        </w:r>
      </w:hyperlink>
      <w:r w:rsidRPr="00ED2FAB">
        <w:rPr>
          <w:rFonts w:cs="Calibri"/>
          <w:spacing w:val="-2"/>
          <w:szCs w:val="24"/>
        </w:rPr>
        <w:t xml:space="preserve"> (Rev. Dubai, 2023), </w:t>
      </w:r>
      <w:hyperlink r:id="rId61" w:history="1">
        <w:r w:rsidRPr="007F6988">
          <w:rPr>
            <w:rStyle w:val="Hyperlink"/>
            <w:rFonts w:cs="Calibri"/>
            <w:spacing w:val="-2"/>
            <w:szCs w:val="24"/>
          </w:rPr>
          <w:t xml:space="preserve">ITU-T </w:t>
        </w:r>
        <w:r w:rsidRPr="007F6988">
          <w:rPr>
            <w:rStyle w:val="Hyperlink"/>
            <w:rFonts w:cs="Calibri"/>
            <w:szCs w:val="24"/>
          </w:rPr>
          <w:t>Resolution 75</w:t>
        </w:r>
      </w:hyperlink>
      <w:r w:rsidRPr="00ED2FAB">
        <w:rPr>
          <w:rFonts w:cs="Calibri"/>
          <w:szCs w:val="24"/>
        </w:rPr>
        <w:t xml:space="preserve"> (Rev. Geneva, 2022), and </w:t>
      </w:r>
      <w:hyperlink r:id="rId62" w:history="1">
        <w:r w:rsidRPr="003577F0">
          <w:rPr>
            <w:rStyle w:val="Hyperlink"/>
            <w:rFonts w:cs="Calibri"/>
            <w:szCs w:val="24"/>
          </w:rPr>
          <w:t>ITU-D Resolution 30</w:t>
        </w:r>
      </w:hyperlink>
      <w:r w:rsidRPr="00ED2FAB">
        <w:rPr>
          <w:rFonts w:cs="Calibri"/>
          <w:szCs w:val="24"/>
        </w:rPr>
        <w:t xml:space="preserve"> (Rev. Kigali, 2022).</w:t>
      </w:r>
    </w:p>
    <w:p w14:paraId="23E07540"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ind w:left="0" w:firstLine="0"/>
        <w:contextualSpacing w:val="0"/>
        <w:jc w:val="both"/>
        <w:textAlignment w:val="auto"/>
        <w:rPr>
          <w:rFonts w:cs="Calibri"/>
          <w:szCs w:val="24"/>
        </w:rPr>
      </w:pPr>
      <w:r w:rsidRPr="00995CB6">
        <w:rPr>
          <w:rFonts w:cs="Calibri"/>
          <w:szCs w:val="24"/>
        </w:rPr>
        <w:t>Building on the success of the 202</w:t>
      </w:r>
      <w:r>
        <w:rPr>
          <w:rFonts w:cs="Calibri"/>
          <w:szCs w:val="24"/>
        </w:rPr>
        <w:t>3</w:t>
      </w:r>
      <w:r w:rsidRPr="00995CB6">
        <w:rPr>
          <w:rFonts w:cs="Calibri"/>
          <w:szCs w:val="24"/>
        </w:rPr>
        <w:t xml:space="preserve"> </w:t>
      </w:r>
      <w:r w:rsidRPr="00C444EA">
        <w:rPr>
          <w:rFonts w:cs="Calibri"/>
        </w:rPr>
        <w:t>SDG Digital</w:t>
      </w:r>
      <w:r w:rsidRPr="00995CB6">
        <w:rPr>
          <w:rFonts w:cs="Calibri"/>
          <w:szCs w:val="24"/>
        </w:rPr>
        <w:t xml:space="preserve">, ITU and </w:t>
      </w:r>
      <w:r>
        <w:rPr>
          <w:rFonts w:cs="Calibri"/>
          <w:szCs w:val="24"/>
        </w:rPr>
        <w:t>UNDP</w:t>
      </w:r>
      <w:r w:rsidRPr="00995CB6">
        <w:rPr>
          <w:rFonts w:cs="Calibri"/>
          <w:szCs w:val="24"/>
        </w:rPr>
        <w:t xml:space="preserve"> delivered an impactful program </w:t>
      </w:r>
      <w:r>
        <w:rPr>
          <w:rFonts w:cs="Calibri"/>
          <w:szCs w:val="24"/>
        </w:rPr>
        <w:t xml:space="preserve">during the </w:t>
      </w:r>
      <w:hyperlink r:id="rId63" w:history="1">
        <w:r w:rsidRPr="00C444EA">
          <w:rPr>
            <w:rStyle w:val="Hyperlink"/>
            <w:rFonts w:cs="Calibri"/>
            <w:szCs w:val="24"/>
          </w:rPr>
          <w:t>SDG Digital 2024</w:t>
        </w:r>
      </w:hyperlink>
      <w:r>
        <w:rPr>
          <w:rFonts w:cs="Calibri"/>
          <w:szCs w:val="24"/>
        </w:rPr>
        <w:t xml:space="preserve"> </w:t>
      </w:r>
      <w:r w:rsidRPr="00995CB6">
        <w:rPr>
          <w:rFonts w:cs="Calibri"/>
          <w:szCs w:val="24"/>
        </w:rPr>
        <w:t>on 20-21 September</w:t>
      </w:r>
      <w:r>
        <w:rPr>
          <w:rFonts w:cs="Calibri"/>
          <w:szCs w:val="24"/>
        </w:rPr>
        <w:t xml:space="preserve"> 2024</w:t>
      </w:r>
      <w:r w:rsidRPr="00995CB6">
        <w:rPr>
          <w:rFonts w:cs="Calibri"/>
          <w:szCs w:val="24"/>
        </w:rPr>
        <w:t xml:space="preserve"> in New York. Organized as part of the enhanced digital support for the 2030 Agenda, the event aligned with this year’s UN General Assembly and the broader framework of </w:t>
      </w:r>
      <w:r w:rsidRPr="00ED2FAB">
        <w:rPr>
          <w:rFonts w:cs="Calibri"/>
        </w:rPr>
        <w:t>the </w:t>
      </w:r>
      <w:hyperlink r:id="rId64" w:tgtFrame="_blank" w:history="1">
        <w:r w:rsidRPr="00ED2FAB">
          <w:rPr>
            <w:rStyle w:val="Hyperlink"/>
            <w:rFonts w:cs="Calibri"/>
          </w:rPr>
          <w:t>Summit of the Future</w:t>
        </w:r>
      </w:hyperlink>
      <w:r w:rsidRPr="00ED2FAB">
        <w:rPr>
          <w:rFonts w:cs="Calibri"/>
        </w:rPr>
        <w:t> and</w:t>
      </w:r>
      <w:r>
        <w:rPr>
          <w:rFonts w:cs="Calibri"/>
        </w:rPr>
        <w:t xml:space="preserve"> </w:t>
      </w:r>
      <w:r w:rsidRPr="00ED2FAB">
        <w:rPr>
          <w:rFonts w:cs="Calibri"/>
        </w:rPr>
        <w:t>its </w:t>
      </w:r>
      <w:hyperlink r:id="rId65" w:tgtFrame="_blank" w:history="1">
        <w:r w:rsidRPr="004B58ED">
          <w:rPr>
            <w:rStyle w:val="Hyperlink"/>
            <w:rFonts w:cs="Calibri"/>
          </w:rPr>
          <w:t>Action Days</w:t>
        </w:r>
        <w:r w:rsidRPr="004B58ED">
          <w:rPr>
            <w:rStyle w:val="Hyperlink"/>
            <w:rFonts w:cs="Calibri"/>
            <w:szCs w:val="24"/>
          </w:rPr>
          <w:t>.</w:t>
        </w:r>
      </w:hyperlink>
      <w:r w:rsidRPr="00995CB6">
        <w:rPr>
          <w:rFonts w:cs="Calibri"/>
          <w:szCs w:val="24"/>
        </w:rPr>
        <w:t xml:space="preserve"> The initiative also featured the second edition of the </w:t>
      </w:r>
      <w:hyperlink r:id="rId66" w:history="1">
        <w:r w:rsidRPr="00ED2FAB">
          <w:rPr>
            <w:rStyle w:val="Hyperlink"/>
            <w:rFonts w:cs="Calibri"/>
            <w:szCs w:val="24"/>
          </w:rPr>
          <w:t>SDG Digital Gamechangers Award</w:t>
        </w:r>
      </w:hyperlink>
      <w:r w:rsidRPr="00995CB6">
        <w:rPr>
          <w:rFonts w:cs="Calibri"/>
          <w:szCs w:val="24"/>
        </w:rPr>
        <w:t>, celebrating innovative contributions to sustainable development through digital solutions.</w:t>
      </w:r>
      <w:r>
        <w:rPr>
          <w:rFonts w:cs="Calibri"/>
          <w:szCs w:val="24"/>
        </w:rPr>
        <w:t xml:space="preserve"> </w:t>
      </w:r>
      <w:bookmarkEnd w:id="12"/>
    </w:p>
    <w:p w14:paraId="74FED4DD"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ind w:left="0" w:firstLine="0"/>
        <w:contextualSpacing w:val="0"/>
        <w:jc w:val="both"/>
        <w:textAlignment w:val="auto"/>
        <w:rPr>
          <w:rFonts w:cs="Calibri"/>
          <w:szCs w:val="24"/>
        </w:rPr>
      </w:pPr>
      <w:hyperlink r:id="rId67" w:history="1">
        <w:r w:rsidRPr="00053019">
          <w:rPr>
            <w:rStyle w:val="Hyperlink"/>
            <w:rFonts w:cs="Calibri"/>
            <w:szCs w:val="24"/>
          </w:rPr>
          <w:t>ITU Partner2Connect (P2C) Digital Coalition</w:t>
        </w:r>
      </w:hyperlink>
      <w:r w:rsidRPr="00ED2FAB">
        <w:rPr>
          <w:rFonts w:cs="Calibri"/>
          <w:szCs w:val="24"/>
        </w:rPr>
        <w:t>, reflecting the ITU's commitment to fostering global digital cooperation and key elements of the Roadmap for ITU's activities to help achieve the 2030 Agenda, emphasizes strong public-private partnerships, spanning the focus areas of access, adoption, value creation, and incentivizing investments.</w:t>
      </w:r>
      <w:r w:rsidRPr="00ED2FAB">
        <w:rPr>
          <w:rFonts w:cs="Calibri"/>
        </w:rPr>
        <w:t xml:space="preserve"> </w:t>
      </w:r>
      <w:r w:rsidRPr="00ED2FAB">
        <w:rPr>
          <w:rFonts w:cs="Calibri"/>
          <w:szCs w:val="24"/>
        </w:rPr>
        <w:t xml:space="preserve">The pledges to Partner2Connect, ITU's platform to advance universal meaningful connectivity, with USD 4.8 billion in investment commitments toward global connectivity were announced during the opening day of the </w:t>
      </w:r>
      <w:r>
        <w:rPr>
          <w:rFonts w:cs="Calibri"/>
          <w:szCs w:val="24"/>
        </w:rPr>
        <w:t>WSIS</w:t>
      </w:r>
      <w:r w:rsidRPr="00ED2FAB">
        <w:rPr>
          <w:rFonts w:cs="Calibri"/>
          <w:szCs w:val="24"/>
        </w:rPr>
        <w:t>+20 Forum High-Level Event</w:t>
      </w:r>
      <w:r>
        <w:rPr>
          <w:rFonts w:cs="Calibri"/>
          <w:szCs w:val="24"/>
        </w:rPr>
        <w:t xml:space="preserve"> 2024</w:t>
      </w:r>
      <w:r w:rsidRPr="00ED2FAB">
        <w:rPr>
          <w:rFonts w:cs="Calibri"/>
          <w:szCs w:val="24"/>
        </w:rPr>
        <w:t>, bringing the total pledges aimed at closing the digital divide to USD 50.96 billion, over half the USD 100 billion goal set for 2026. Among the new commitments announced at the WSIS Forum event are pledges that leverage artificial intelligence to enhance digital access, adoption and inclusion.</w:t>
      </w:r>
    </w:p>
    <w:p w14:paraId="6F392076"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ind w:left="0" w:firstLine="0"/>
        <w:contextualSpacing w:val="0"/>
        <w:jc w:val="both"/>
        <w:textAlignment w:val="auto"/>
        <w:rPr>
          <w:rFonts w:cs="Calibri"/>
          <w:szCs w:val="24"/>
        </w:rPr>
      </w:pPr>
      <w:r w:rsidRPr="00ED2FAB">
        <w:rPr>
          <w:rFonts w:cs="Calibri"/>
          <w:szCs w:val="24"/>
        </w:rPr>
        <w:t xml:space="preserve">In line with the aspiration to have every school connected to the Internet by 2030 and the vast opportunity of connectivity to transform the delivery, access to and quality of education, Giga, a joint initiative by ITU and UNICEF, seeks to catalyse the connection of every school to the Internet. This comprises of providing rich information to facilitate decision making in planning and financing of school connectivity in each country as well as assisting in the financing and contracting of providers.  Since its launch in September 2019, Giga has mapped over 2.1 million schools globally leveraging AI technology. From 8-10 July 2024, the Giga Connectivity Forum in Geneva brought 240 participants from 25 countries with representation from the education and ICT sectors to share insights on school connectivity. For more information, visit </w:t>
      </w:r>
      <w:r>
        <w:t xml:space="preserve">the website </w:t>
      </w:r>
      <w:hyperlink r:id="rId68" w:history="1">
        <w:r w:rsidRPr="00852238">
          <w:rPr>
            <w:rStyle w:val="Hyperlink"/>
          </w:rPr>
          <w:t>here</w:t>
        </w:r>
      </w:hyperlink>
      <w:r>
        <w:t>.</w:t>
      </w:r>
    </w:p>
    <w:p w14:paraId="7D9F4A92"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ind w:left="0" w:firstLine="0"/>
        <w:contextualSpacing w:val="0"/>
        <w:jc w:val="both"/>
        <w:textAlignment w:val="auto"/>
        <w:rPr>
          <w:rFonts w:cs="Calibri"/>
          <w:szCs w:val="24"/>
        </w:rPr>
      </w:pPr>
      <w:r w:rsidRPr="007978F4">
        <w:rPr>
          <w:rFonts w:cs="Calibri"/>
          <w:szCs w:val="24"/>
        </w:rPr>
        <w:t xml:space="preserve">The </w:t>
      </w:r>
      <w:hyperlink r:id="rId69" w:history="1">
        <w:r w:rsidRPr="00ED2FAB">
          <w:rPr>
            <w:rStyle w:val="Hyperlink"/>
            <w:rFonts w:cs="Calibri"/>
            <w:bCs/>
          </w:rPr>
          <w:t>ITU/UNESCO Broadband Commission</w:t>
        </w:r>
      </w:hyperlink>
      <w:r w:rsidRPr="00ED2FAB">
        <w:rPr>
          <w:rFonts w:cs="Calibri"/>
          <w:bCs/>
        </w:rPr>
        <w:t xml:space="preserve"> continues to advocate for global broadband expansion to drive development. With its membership of high-level public and industry leaders, the Commission develops practical policy recommendations to accelerate progress towards achieving the UN 2030 Agenda and its  </w:t>
      </w:r>
      <w:hyperlink r:id="rId70" w:history="1">
        <w:r w:rsidRPr="00ED2FAB">
          <w:rPr>
            <w:rStyle w:val="Hyperlink"/>
            <w:rFonts w:cs="Calibri"/>
            <w:bCs/>
          </w:rPr>
          <w:t>7 Advocacy Targets</w:t>
        </w:r>
      </w:hyperlink>
      <w:r w:rsidRPr="00ED2FAB">
        <w:rPr>
          <w:rFonts w:cs="Calibri"/>
          <w:bCs/>
        </w:rPr>
        <w:t xml:space="preserve">. Published annually in the </w:t>
      </w:r>
      <w:r w:rsidRPr="00ED2FAB">
        <w:rPr>
          <w:rFonts w:cs="Calibri"/>
          <w:bCs/>
        </w:rPr>
        <w:lastRenderedPageBreak/>
        <w:t xml:space="preserve">State of Broadband, these recommendations are critical to realizing universal connectivity. The </w:t>
      </w:r>
      <w:hyperlink r:id="rId71" w:history="1">
        <w:r w:rsidRPr="00234CFF">
          <w:rPr>
            <w:rStyle w:val="Hyperlink"/>
            <w:rFonts w:cs="Calibri"/>
            <w:bCs/>
          </w:rPr>
          <w:t>2024 State of Broadband report, “Leveraging AI for Universal Connectivity,”</w:t>
        </w:r>
      </w:hyperlink>
      <w:r w:rsidRPr="00ED2FAB">
        <w:rPr>
          <w:rFonts w:cs="Calibri"/>
          <w:bCs/>
        </w:rPr>
        <w:t xml:space="preserve"> offers an initial overview of how AI applications are already shaping development across various fields such as e-government, education, digital health, digital finance, and the environment, while also addressing associated risks and implications for the digital divide. As AI and broadband infrastructure evolve, policy responses are still emerging. </w:t>
      </w:r>
      <w:r w:rsidRPr="00ED2FAB">
        <w:rPr>
          <w:rFonts w:cs="Calibri"/>
        </w:rPr>
        <w:t xml:space="preserve"> In 2024, the Working Group on “Data Governance in the Digital Age” was launched and led by UNESCO, ITU, UNDP and AUC. Two annual meetings are hosted with the spring plenary focused on “Harnessing Emerging Technologies for </w:t>
      </w:r>
      <w:r w:rsidRPr="007978F4">
        <w:rPr>
          <w:rFonts w:cs="Calibri"/>
          <w:szCs w:val="24"/>
        </w:rPr>
        <w:t xml:space="preserve">Universal Access and Connectivity.” </w:t>
      </w:r>
    </w:p>
    <w:p w14:paraId="62FCBF0B" w14:textId="77777777" w:rsidR="009D0AA1" w:rsidRPr="00ED2FAB" w:rsidRDefault="009D0AA1" w:rsidP="009D0AA1">
      <w:pPr>
        <w:pStyle w:val="ListParagraph"/>
        <w:numPr>
          <w:ilvl w:val="1"/>
          <w:numId w:val="2"/>
        </w:numPr>
        <w:tabs>
          <w:tab w:val="clear" w:pos="567"/>
          <w:tab w:val="clear" w:pos="1134"/>
          <w:tab w:val="clear" w:pos="1701"/>
          <w:tab w:val="clear" w:pos="2268"/>
          <w:tab w:val="clear" w:pos="2835"/>
        </w:tabs>
        <w:overflowPunct/>
        <w:autoSpaceDE/>
        <w:autoSpaceDN/>
        <w:snapToGrid w:val="0"/>
        <w:ind w:left="0" w:firstLine="0"/>
        <w:contextualSpacing w:val="0"/>
        <w:jc w:val="both"/>
        <w:textAlignment w:val="auto"/>
        <w:rPr>
          <w:rFonts w:cs="Calibri"/>
          <w:szCs w:val="24"/>
        </w:rPr>
      </w:pPr>
      <w:r>
        <w:rPr>
          <w:rFonts w:cs="Calibri"/>
          <w:szCs w:val="24"/>
        </w:rPr>
        <w:t>The</w:t>
      </w:r>
      <w:r w:rsidRPr="00ED2FAB">
        <w:rPr>
          <w:rFonts w:cs="Calibri"/>
          <w:bCs/>
          <w:szCs w:val="24"/>
        </w:rPr>
        <w:t xml:space="preserve"> </w:t>
      </w:r>
      <w:hyperlink r:id="rId72" w:history="1">
        <w:r w:rsidRPr="00ED2FAB">
          <w:rPr>
            <w:rStyle w:val="Hyperlink"/>
            <w:rFonts w:cs="Calibri"/>
            <w:bCs/>
            <w:szCs w:val="24"/>
          </w:rPr>
          <w:t>World Telecommunication and Information Society Day 202</w:t>
        </w:r>
        <w:r>
          <w:rPr>
            <w:rStyle w:val="Hyperlink"/>
            <w:rFonts w:cs="Calibri"/>
            <w:bCs/>
            <w:szCs w:val="24"/>
          </w:rPr>
          <w:t>5</w:t>
        </w:r>
      </w:hyperlink>
      <w:r w:rsidRPr="00ED2FAB">
        <w:rPr>
          <w:rFonts w:cs="Calibri"/>
          <w:bCs/>
          <w:szCs w:val="24"/>
        </w:rPr>
        <w:t>,</w:t>
      </w:r>
      <w:r>
        <w:rPr>
          <w:rFonts w:cs="Calibri"/>
          <w:bCs/>
          <w:szCs w:val="24"/>
        </w:rPr>
        <w:t xml:space="preserve"> will take place</w:t>
      </w:r>
      <w:r w:rsidRPr="00ED2FAB">
        <w:rPr>
          <w:rFonts w:cs="Calibri"/>
          <w:bCs/>
          <w:szCs w:val="24"/>
        </w:rPr>
        <w:t xml:space="preserve"> on 17 May 2025 </w:t>
      </w:r>
      <w:r>
        <w:rPr>
          <w:rFonts w:cs="Calibri"/>
          <w:bCs/>
          <w:szCs w:val="24"/>
        </w:rPr>
        <w:t xml:space="preserve">and </w:t>
      </w:r>
      <w:r w:rsidRPr="00F41560">
        <w:rPr>
          <w:rFonts w:cs="Calibri"/>
          <w:bCs/>
          <w:szCs w:val="24"/>
        </w:rPr>
        <w:t>focus on gender equality in digital transformation. Coinciding with this, the upcoming 30th anniversary of the Beijing Declaration and Platform for Action (Beijing+30) provides a critical opportunity to accelerate the push for gender equality through digital transformation.</w:t>
      </w:r>
      <w:r>
        <w:rPr>
          <w:rFonts w:cs="Calibri"/>
          <w:bCs/>
          <w:szCs w:val="24"/>
        </w:rPr>
        <w:t xml:space="preserve"> It</w:t>
      </w:r>
      <w:r w:rsidRPr="00ED2FAB">
        <w:rPr>
          <w:rFonts w:cs="Calibri"/>
          <w:bCs/>
          <w:szCs w:val="24"/>
        </w:rPr>
        <w:t xml:space="preserve"> will</w:t>
      </w:r>
      <w:r>
        <w:rPr>
          <w:rFonts w:cs="Calibri"/>
          <w:bCs/>
          <w:szCs w:val="24"/>
        </w:rPr>
        <w:t xml:space="preserve"> also</w:t>
      </w:r>
      <w:r w:rsidRPr="00ED2FAB">
        <w:rPr>
          <w:rFonts w:cs="Calibri"/>
          <w:bCs/>
          <w:szCs w:val="24"/>
        </w:rPr>
        <w:t xml:space="preserve"> celebrate ITU’s </w:t>
      </w:r>
      <w:r w:rsidRPr="00ED2FAB">
        <w:rPr>
          <w:rFonts w:cs="Calibri"/>
          <w:bCs/>
        </w:rPr>
        <w:t xml:space="preserve">160 years of being at the forefront of policy, innovation and collaboration in tech. </w:t>
      </w:r>
      <w:r w:rsidRPr="00ED2FAB">
        <w:rPr>
          <w:rFonts w:cs="Calibri"/>
          <w:bCs/>
          <w:szCs w:val="24"/>
        </w:rPr>
        <w:t xml:space="preserve">This anniversary will be an opportunity to collect insights and support to celebrating ITU’s legacy and its future endeavours. </w:t>
      </w:r>
    </w:p>
    <w:p w14:paraId="1539FA84" w14:textId="77777777" w:rsidR="009D0AA1" w:rsidRPr="00ED2FAB" w:rsidRDefault="009D0AA1" w:rsidP="009D0AA1">
      <w:pPr>
        <w:tabs>
          <w:tab w:val="clear" w:pos="567"/>
          <w:tab w:val="clear" w:pos="1134"/>
          <w:tab w:val="clear" w:pos="1701"/>
          <w:tab w:val="clear" w:pos="2268"/>
          <w:tab w:val="clear" w:pos="2835"/>
        </w:tabs>
        <w:overflowPunct/>
        <w:autoSpaceDE/>
        <w:autoSpaceDN/>
        <w:adjustRightInd/>
        <w:spacing w:before="0"/>
        <w:textAlignment w:val="auto"/>
        <w:rPr>
          <w:rFonts w:cs="Calibri"/>
        </w:rPr>
      </w:pPr>
    </w:p>
    <w:p w14:paraId="1D7791C9" w14:textId="63737E71" w:rsidR="00743561" w:rsidRPr="00743561" w:rsidRDefault="00743561" w:rsidP="009D0AA1">
      <w:pPr>
        <w:spacing w:before="720"/>
        <w:jc w:val="center"/>
      </w:pPr>
      <w:r w:rsidRPr="00743561">
        <w:t>______________</w:t>
      </w:r>
    </w:p>
    <w:sectPr w:rsidR="00743561" w:rsidRPr="00743561" w:rsidSect="00AD3606">
      <w:footerReference w:type="default" r:id="rId73"/>
      <w:headerReference w:type="first" r:id="rId74"/>
      <w:footerReference w:type="first" r:id="rId7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DE96A" w14:textId="77777777" w:rsidR="00C9791C" w:rsidRDefault="00C9791C">
      <w:r>
        <w:separator/>
      </w:r>
    </w:p>
  </w:endnote>
  <w:endnote w:type="continuationSeparator" w:id="0">
    <w:p w14:paraId="474BF850" w14:textId="77777777" w:rsidR="00C9791C" w:rsidRDefault="00C9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4F3AD6" w14:paraId="05289BE2" w14:textId="77777777" w:rsidTr="0042469C">
      <w:trPr>
        <w:jc w:val="center"/>
      </w:trPr>
      <w:tc>
        <w:tcPr>
          <w:tcW w:w="1803" w:type="dxa"/>
          <w:vAlign w:val="center"/>
        </w:tcPr>
        <w:p w14:paraId="032ABC3E" w14:textId="77777777" w:rsidR="00EE49E8" w:rsidRDefault="00EE49E8" w:rsidP="00EE49E8">
          <w:pPr>
            <w:pStyle w:val="Header"/>
            <w:jc w:val="left"/>
            <w:rPr>
              <w:noProof/>
            </w:rPr>
          </w:pPr>
        </w:p>
      </w:tc>
      <w:tc>
        <w:tcPr>
          <w:tcW w:w="8261" w:type="dxa"/>
        </w:tcPr>
        <w:p w14:paraId="198457CA" w14:textId="187BDD6D" w:rsidR="00EE49E8" w:rsidRPr="00877BF2" w:rsidRDefault="00EE49E8" w:rsidP="0004543A">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78098F">
            <w:rPr>
              <w:bCs/>
              <w:lang w:val="es-ES"/>
            </w:rPr>
            <w:t>2</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1F0D9C3"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4F3AD6" w14:paraId="688EB0F5" w14:textId="77777777" w:rsidTr="00A52C84">
      <w:trPr>
        <w:jc w:val="center"/>
      </w:trPr>
      <w:tc>
        <w:tcPr>
          <w:tcW w:w="3107" w:type="dxa"/>
          <w:vAlign w:val="center"/>
        </w:tcPr>
        <w:p w14:paraId="10D17478"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4E6DE248" w14:textId="14C58807" w:rsidR="00EE49E8" w:rsidRPr="000F6AB8" w:rsidRDefault="00EE49E8" w:rsidP="0004543A">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78098F">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452787D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6D83" w14:textId="77777777" w:rsidR="00C9791C" w:rsidRDefault="00C9791C">
      <w:r>
        <w:t>____________________</w:t>
      </w:r>
    </w:p>
  </w:footnote>
  <w:footnote w:type="continuationSeparator" w:id="0">
    <w:p w14:paraId="7F6759C3" w14:textId="77777777" w:rsidR="00C9791C" w:rsidRDefault="00C9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3DBF6C3" w14:textId="77777777" w:rsidTr="00F74694">
      <w:trPr>
        <w:trHeight w:val="1304"/>
        <w:jc w:val="center"/>
      </w:trPr>
      <w:tc>
        <w:tcPr>
          <w:tcW w:w="6546" w:type="dxa"/>
        </w:tcPr>
        <w:bookmarkStart w:id="13" w:name="_Hlk133422111"/>
        <w:p w14:paraId="71268107" w14:textId="77777777" w:rsidR="00AD3606" w:rsidRPr="009621F8" w:rsidRDefault="004D1D7E"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115CA2AE" wp14:editId="29D9A45C">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109C65C"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5CA2AE" id="_x0000_t202" coordsize="21600,21600" o:spt="202" path="m,l,21600r21600,l21600,xe">
                    <v:stroke joinstyle="miter"/>
                    <v:path gradientshapeok="t" o:connecttype="rect"/>
                  </v:shapetype>
                  <v:shape id="Text Box 2" o:spid="_x0000_s1026" type="#_x0000_t202" style="position:absolute;margin-left:112.7pt;margin-top:.1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3109C65C"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1D832B46" wp14:editId="4C1FEBB4">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D30D30A" w14:textId="77777777" w:rsidR="00AD3606" w:rsidRDefault="00AD3606" w:rsidP="00AD3606">
          <w:pPr>
            <w:pStyle w:val="Header"/>
            <w:jc w:val="right"/>
            <w:rPr>
              <w:rFonts w:ascii="Arial" w:hAnsi="Arial" w:cs="Arial"/>
              <w:b/>
              <w:bCs/>
              <w:color w:val="009CD6"/>
              <w:szCs w:val="18"/>
            </w:rPr>
          </w:pPr>
        </w:p>
        <w:p w14:paraId="051D1D40" w14:textId="77777777" w:rsidR="00AD3606" w:rsidRDefault="00AD3606" w:rsidP="00AD3606">
          <w:pPr>
            <w:pStyle w:val="Header"/>
            <w:jc w:val="right"/>
            <w:rPr>
              <w:rFonts w:ascii="Arial" w:hAnsi="Arial" w:cs="Arial"/>
              <w:b/>
              <w:bCs/>
              <w:color w:val="009CD6"/>
              <w:szCs w:val="18"/>
            </w:rPr>
          </w:pPr>
        </w:p>
        <w:p w14:paraId="48F7C20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8967DB8"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FA238F8" wp14:editId="0D708778">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046D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695CD4"/>
    <w:multiLevelType w:val="hybridMultilevel"/>
    <w:tmpl w:val="5C246E84"/>
    <w:lvl w:ilvl="0" w:tplc="35B264D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num w:numId="1" w16cid:durableId="1374816267">
    <w:abstractNumId w:val="0"/>
  </w:num>
  <w:num w:numId="2" w16cid:durableId="805271509">
    <w:abstractNumId w:val="2"/>
  </w:num>
  <w:num w:numId="3" w16cid:durableId="1662586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64"/>
    <w:rsid w:val="000041A9"/>
    <w:rsid w:val="00004C8C"/>
    <w:rsid w:val="00005561"/>
    <w:rsid w:val="000120E4"/>
    <w:rsid w:val="000210D4"/>
    <w:rsid w:val="0004543A"/>
    <w:rsid w:val="00063016"/>
    <w:rsid w:val="00066795"/>
    <w:rsid w:val="00076AF6"/>
    <w:rsid w:val="00081C5C"/>
    <w:rsid w:val="00085CF2"/>
    <w:rsid w:val="0009569D"/>
    <w:rsid w:val="000A1525"/>
    <w:rsid w:val="000B1705"/>
    <w:rsid w:val="000D75B2"/>
    <w:rsid w:val="000F6AB8"/>
    <w:rsid w:val="00107EA1"/>
    <w:rsid w:val="001121F5"/>
    <w:rsid w:val="00130599"/>
    <w:rsid w:val="00131E18"/>
    <w:rsid w:val="001400DC"/>
    <w:rsid w:val="00140CE1"/>
    <w:rsid w:val="00147C54"/>
    <w:rsid w:val="0017539C"/>
    <w:rsid w:val="00175AC2"/>
    <w:rsid w:val="0017609F"/>
    <w:rsid w:val="001A7D1D"/>
    <w:rsid w:val="001B51DD"/>
    <w:rsid w:val="001C628E"/>
    <w:rsid w:val="001D52A4"/>
    <w:rsid w:val="001E0F7B"/>
    <w:rsid w:val="001E0FBE"/>
    <w:rsid w:val="001E5FE7"/>
    <w:rsid w:val="002119FD"/>
    <w:rsid w:val="002130E0"/>
    <w:rsid w:val="00227AAB"/>
    <w:rsid w:val="00244F7F"/>
    <w:rsid w:val="0025570E"/>
    <w:rsid w:val="002608B7"/>
    <w:rsid w:val="00264425"/>
    <w:rsid w:val="00265875"/>
    <w:rsid w:val="0027303B"/>
    <w:rsid w:val="0028109B"/>
    <w:rsid w:val="002A1D05"/>
    <w:rsid w:val="002A2188"/>
    <w:rsid w:val="002A4001"/>
    <w:rsid w:val="002B1038"/>
    <w:rsid w:val="002B1F58"/>
    <w:rsid w:val="002C1C7A"/>
    <w:rsid w:val="002C54E2"/>
    <w:rsid w:val="002E0AC3"/>
    <w:rsid w:val="002E21D1"/>
    <w:rsid w:val="002F2D06"/>
    <w:rsid w:val="002F631D"/>
    <w:rsid w:val="0030160F"/>
    <w:rsid w:val="00301864"/>
    <w:rsid w:val="00301AEE"/>
    <w:rsid w:val="003145DF"/>
    <w:rsid w:val="00320223"/>
    <w:rsid w:val="00322D0D"/>
    <w:rsid w:val="00324E37"/>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52F4D"/>
    <w:rsid w:val="004544D9"/>
    <w:rsid w:val="00472BAD"/>
    <w:rsid w:val="00484009"/>
    <w:rsid w:val="00490E72"/>
    <w:rsid w:val="00491157"/>
    <w:rsid w:val="004921C8"/>
    <w:rsid w:val="00495B0B"/>
    <w:rsid w:val="004A1B8B"/>
    <w:rsid w:val="004C7169"/>
    <w:rsid w:val="004D1851"/>
    <w:rsid w:val="004D1D7E"/>
    <w:rsid w:val="004D599D"/>
    <w:rsid w:val="004E2EA5"/>
    <w:rsid w:val="004E3AEB"/>
    <w:rsid w:val="004F3AD6"/>
    <w:rsid w:val="0050223C"/>
    <w:rsid w:val="005140FB"/>
    <w:rsid w:val="005170FD"/>
    <w:rsid w:val="005243FF"/>
    <w:rsid w:val="005311D6"/>
    <w:rsid w:val="00536422"/>
    <w:rsid w:val="00550DF8"/>
    <w:rsid w:val="00564FBC"/>
    <w:rsid w:val="005800BC"/>
    <w:rsid w:val="00582442"/>
    <w:rsid w:val="00593D07"/>
    <w:rsid w:val="005A335D"/>
    <w:rsid w:val="005C13D4"/>
    <w:rsid w:val="005D4490"/>
    <w:rsid w:val="005E2BD5"/>
    <w:rsid w:val="005F3269"/>
    <w:rsid w:val="00615961"/>
    <w:rsid w:val="00623AE3"/>
    <w:rsid w:val="006261F4"/>
    <w:rsid w:val="0064737F"/>
    <w:rsid w:val="006535F1"/>
    <w:rsid w:val="0065557D"/>
    <w:rsid w:val="00660B55"/>
    <w:rsid w:val="00660D50"/>
    <w:rsid w:val="00662984"/>
    <w:rsid w:val="006716BB"/>
    <w:rsid w:val="006973C8"/>
    <w:rsid w:val="006A4862"/>
    <w:rsid w:val="006B1177"/>
    <w:rsid w:val="006B1859"/>
    <w:rsid w:val="006B6680"/>
    <w:rsid w:val="006B6DCC"/>
    <w:rsid w:val="006C5538"/>
    <w:rsid w:val="00702DEF"/>
    <w:rsid w:val="00706861"/>
    <w:rsid w:val="00710688"/>
    <w:rsid w:val="007247CF"/>
    <w:rsid w:val="00726B8C"/>
    <w:rsid w:val="00743561"/>
    <w:rsid w:val="0075051B"/>
    <w:rsid w:val="00775655"/>
    <w:rsid w:val="0078098F"/>
    <w:rsid w:val="007849D5"/>
    <w:rsid w:val="00793188"/>
    <w:rsid w:val="00794D34"/>
    <w:rsid w:val="00806E3C"/>
    <w:rsid w:val="00813E5E"/>
    <w:rsid w:val="00813F44"/>
    <w:rsid w:val="00816C2C"/>
    <w:rsid w:val="0083581B"/>
    <w:rsid w:val="00857EFF"/>
    <w:rsid w:val="00860EED"/>
    <w:rsid w:val="00863874"/>
    <w:rsid w:val="00864AFF"/>
    <w:rsid w:val="00865925"/>
    <w:rsid w:val="00877BF2"/>
    <w:rsid w:val="00891503"/>
    <w:rsid w:val="008A2F06"/>
    <w:rsid w:val="008B4A6A"/>
    <w:rsid w:val="008C7E27"/>
    <w:rsid w:val="008F3822"/>
    <w:rsid w:val="008F7448"/>
    <w:rsid w:val="0090147A"/>
    <w:rsid w:val="0090389B"/>
    <w:rsid w:val="009173EF"/>
    <w:rsid w:val="00932906"/>
    <w:rsid w:val="00961860"/>
    <w:rsid w:val="00961B0B"/>
    <w:rsid w:val="00962D33"/>
    <w:rsid w:val="009B38C3"/>
    <w:rsid w:val="009D0AA1"/>
    <w:rsid w:val="009E17BD"/>
    <w:rsid w:val="009E485A"/>
    <w:rsid w:val="00A04CEC"/>
    <w:rsid w:val="00A27F92"/>
    <w:rsid w:val="00A32257"/>
    <w:rsid w:val="00A36D20"/>
    <w:rsid w:val="00A40A9C"/>
    <w:rsid w:val="00A40D40"/>
    <w:rsid w:val="00A43C03"/>
    <w:rsid w:val="00A46CD0"/>
    <w:rsid w:val="00A514A4"/>
    <w:rsid w:val="00A52C84"/>
    <w:rsid w:val="00A54D9B"/>
    <w:rsid w:val="00A55622"/>
    <w:rsid w:val="00A83502"/>
    <w:rsid w:val="00AD15B3"/>
    <w:rsid w:val="00AD3606"/>
    <w:rsid w:val="00AD4A3D"/>
    <w:rsid w:val="00AF25B0"/>
    <w:rsid w:val="00AF6E49"/>
    <w:rsid w:val="00B04A67"/>
    <w:rsid w:val="00B0583C"/>
    <w:rsid w:val="00B22448"/>
    <w:rsid w:val="00B248BC"/>
    <w:rsid w:val="00B358B2"/>
    <w:rsid w:val="00B40A81"/>
    <w:rsid w:val="00B44910"/>
    <w:rsid w:val="00B72267"/>
    <w:rsid w:val="00B73DD1"/>
    <w:rsid w:val="00B76EB6"/>
    <w:rsid w:val="00B7737B"/>
    <w:rsid w:val="00B824B7"/>
    <w:rsid w:val="00B824C8"/>
    <w:rsid w:val="00B849D3"/>
    <w:rsid w:val="00B84B9D"/>
    <w:rsid w:val="00BA3A51"/>
    <w:rsid w:val="00BC07BC"/>
    <w:rsid w:val="00BC251A"/>
    <w:rsid w:val="00BD032B"/>
    <w:rsid w:val="00BD0614"/>
    <w:rsid w:val="00BD094B"/>
    <w:rsid w:val="00BE2640"/>
    <w:rsid w:val="00C01189"/>
    <w:rsid w:val="00C374DE"/>
    <w:rsid w:val="00C44E27"/>
    <w:rsid w:val="00C47AD4"/>
    <w:rsid w:val="00C52D81"/>
    <w:rsid w:val="00C55198"/>
    <w:rsid w:val="00C725C6"/>
    <w:rsid w:val="00C922C7"/>
    <w:rsid w:val="00C9791C"/>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3E98"/>
    <w:rsid w:val="00D65041"/>
    <w:rsid w:val="00D67039"/>
    <w:rsid w:val="00D77094"/>
    <w:rsid w:val="00D86E6C"/>
    <w:rsid w:val="00DB00D5"/>
    <w:rsid w:val="00DB1936"/>
    <w:rsid w:val="00DB384B"/>
    <w:rsid w:val="00DF0189"/>
    <w:rsid w:val="00E06FD5"/>
    <w:rsid w:val="00E10E80"/>
    <w:rsid w:val="00E124F0"/>
    <w:rsid w:val="00E227F3"/>
    <w:rsid w:val="00E2443B"/>
    <w:rsid w:val="00E4728B"/>
    <w:rsid w:val="00E545C6"/>
    <w:rsid w:val="00E60F04"/>
    <w:rsid w:val="00E63EFF"/>
    <w:rsid w:val="00E65B24"/>
    <w:rsid w:val="00E854E4"/>
    <w:rsid w:val="00E86142"/>
    <w:rsid w:val="00E86DBF"/>
    <w:rsid w:val="00E95A6B"/>
    <w:rsid w:val="00E97279"/>
    <w:rsid w:val="00EB0D6F"/>
    <w:rsid w:val="00EB2232"/>
    <w:rsid w:val="00EC5337"/>
    <w:rsid w:val="00EE49E8"/>
    <w:rsid w:val="00EE74A9"/>
    <w:rsid w:val="00F10B59"/>
    <w:rsid w:val="00F16BAB"/>
    <w:rsid w:val="00F2150A"/>
    <w:rsid w:val="00F231D8"/>
    <w:rsid w:val="00F44C00"/>
    <w:rsid w:val="00F45D2C"/>
    <w:rsid w:val="00F46C5F"/>
    <w:rsid w:val="00F632C0"/>
    <w:rsid w:val="00F74694"/>
    <w:rsid w:val="00F74A15"/>
    <w:rsid w:val="00F8157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C6DE8"/>
  <w15:docId w15:val="{35E9A96F-D185-47C4-9A92-5B23A7E6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paragraph" w:styleId="ListParagraph">
    <w:name w:val="List Paragraph"/>
    <w:basedOn w:val="Normal"/>
    <w:link w:val="ListParagraphChar"/>
    <w:uiPriority w:val="34"/>
    <w:qFormat/>
    <w:rsid w:val="00301864"/>
    <w:pPr>
      <w:ind w:left="720"/>
      <w:contextualSpacing/>
    </w:pPr>
  </w:style>
  <w:style w:type="character" w:customStyle="1" w:styleId="ListParagraphChar">
    <w:name w:val="List Paragraph Char"/>
    <w:basedOn w:val="DefaultParagraphFont"/>
    <w:link w:val="ListParagraph"/>
    <w:uiPriority w:val="34"/>
    <w:locked/>
    <w:rsid w:val="00301864"/>
    <w:rPr>
      <w:rFonts w:ascii="Calibri" w:hAnsi="Calibri"/>
      <w:sz w:val="24"/>
      <w:lang w:val="en-GB" w:eastAsia="en-US"/>
    </w:rPr>
  </w:style>
  <w:style w:type="character" w:customStyle="1" w:styleId="normaltextrun">
    <w:name w:val="normaltextrun"/>
    <w:basedOn w:val="DefaultParagraphFont"/>
    <w:rsid w:val="00301864"/>
  </w:style>
  <w:style w:type="paragraph" w:customStyle="1" w:styleId="Reasons">
    <w:name w:val="Reasons"/>
    <w:basedOn w:val="Normal"/>
    <w:qFormat/>
    <w:rsid w:val="00743561"/>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2-CWGWSIS38-C-0019/en" TargetMode="External"/><Relationship Id="rId21" Type="http://schemas.openxmlformats.org/officeDocument/2006/relationships/hyperlink" Target="https://www.itu.int/pub/T-RES-T.75-2022" TargetMode="External"/><Relationship Id="rId42" Type="http://schemas.openxmlformats.org/officeDocument/2006/relationships/hyperlink" Target="https://www.itu.int/en/itu-wsis/Pages/WSIS-Fund-in-Trust.aspx" TargetMode="External"/><Relationship Id="rId47" Type="http://schemas.openxmlformats.org/officeDocument/2006/relationships/hyperlink" Target="https://www.itu.int/itu-d/meetings/rdf/" TargetMode="External"/><Relationship Id="rId63" Type="http://schemas.openxmlformats.org/officeDocument/2006/relationships/hyperlink" Target="https://www.itu.int/initiatives/sdgdigital2024/" TargetMode="External"/><Relationship Id="rId68" Type="http://schemas.openxmlformats.org/officeDocument/2006/relationships/hyperlink" Target="https://giga.global/" TargetMode="External"/><Relationship Id="rId16" Type="http://schemas.openxmlformats.org/officeDocument/2006/relationships/hyperlink" Target="https://www.itu.int/en/council/cwg-wsis/Documents/Resolution172-PP10.pdf" TargetMode="External"/><Relationship Id="rId11" Type="http://schemas.openxmlformats.org/officeDocument/2006/relationships/hyperlink" Target="http://www.wsis.org/sdg" TargetMode="External"/><Relationship Id="rId24" Type="http://schemas.openxmlformats.org/officeDocument/2006/relationships/hyperlink" Target="https://www.itu.int/md/S24-CL-C-0008/en" TargetMode="External"/><Relationship Id="rId32" Type="http://schemas.openxmlformats.org/officeDocument/2006/relationships/hyperlink" Target="https://www.itu.int/md/S24-CL-C-0141/en" TargetMode="External"/><Relationship Id="rId37" Type="http://schemas.openxmlformats.org/officeDocument/2006/relationships/hyperlink" Target="https://www.itu.int/net4/wsis/stocktaking/" TargetMode="External"/><Relationship Id="rId40" Type="http://schemas.openxmlformats.org/officeDocument/2006/relationships/hyperlink" Target="https://www.itu.int/net4/wsis/forum/2024/Home/WSISTalkX" TargetMode="External"/><Relationship Id="rId45" Type="http://schemas.openxmlformats.org/officeDocument/2006/relationships/hyperlink" Target="https://www.itu.int/net4/wsis/ungis/Content/upload/gdc/UNGIS-CompiledMatrixOfLinkages-WSIS-GDC.pdf" TargetMode="External"/><Relationship Id="rId53" Type="http://schemas.openxmlformats.org/officeDocument/2006/relationships/hyperlink" Target="https://www.itu.int/net4/wsis/forum/2024/Files/outcomes/draft/WSIS20ForumHighLevelEvent2024-ChairsSummary.pdf" TargetMode="External"/><Relationship Id="rId58" Type="http://schemas.openxmlformats.org/officeDocument/2006/relationships/hyperlink" Target="https://www.itu.int/en/council/cwg-wsis/Pages/default.aspx" TargetMode="External"/><Relationship Id="rId66" Type="http://schemas.openxmlformats.org/officeDocument/2006/relationships/hyperlink" Target="https://www.itu.int/initiatives/sdgdigital2024/award/about/"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itu.int/pub/T-RES-T.75-2024" TargetMode="External"/><Relationship Id="rId19" Type="http://schemas.openxmlformats.org/officeDocument/2006/relationships/hyperlink" Target="https://www.itu.int/md/S23-CL-C-0120/en" TargetMode="External"/><Relationship Id="rId14" Type="http://schemas.openxmlformats.org/officeDocument/2006/relationships/hyperlink" Target="https://documents-dds-ny.un.org/doc/UNDOC/GEN/N22/755/00/pdf/N2275500.pdf?OpenElement" TargetMode="External"/><Relationship Id="rId22" Type="http://schemas.openxmlformats.org/officeDocument/2006/relationships/hyperlink" Target="https://www.itu.int/pub/R-RES-R.61-3-2023" TargetMode="External"/><Relationship Id="rId27" Type="http://schemas.openxmlformats.org/officeDocument/2006/relationships/hyperlink" Target="https://www.itu.int/md/S22-CWGWSIS38-C-0014/en" TargetMode="External"/><Relationship Id="rId30" Type="http://schemas.openxmlformats.org/officeDocument/2006/relationships/hyperlink" Target="https://hlpf.un.org/inputs/international-telecommunication-union-0" TargetMode="External"/><Relationship Id="rId35" Type="http://schemas.openxmlformats.org/officeDocument/2006/relationships/hyperlink" Target="https://www.itu.int/en/itu-wsis/Pages/Roadmaps.aspx" TargetMode="External"/><Relationship Id="rId43" Type="http://schemas.openxmlformats.org/officeDocument/2006/relationships/hyperlink" Target="http://www.ungis.org" TargetMode="External"/><Relationship Id="rId48" Type="http://schemas.openxmlformats.org/officeDocument/2006/relationships/hyperlink" Target="https://www.itu.int/md/S23-CL-C-0120/en" TargetMode="External"/><Relationship Id="rId56" Type="http://schemas.openxmlformats.org/officeDocument/2006/relationships/hyperlink" Target="https://www.itu.int/md/S24-CL-C-0141/en" TargetMode="External"/><Relationship Id="rId64" Type="http://schemas.openxmlformats.org/officeDocument/2006/relationships/hyperlink" Target="https://www.un.org/en/summit-of-the-future" TargetMode="External"/><Relationship Id="rId69" Type="http://schemas.openxmlformats.org/officeDocument/2006/relationships/hyperlink" Target="https://www.broadbandcommission.org/"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net4/wsis/forum/2024/en" TargetMode="External"/><Relationship Id="rId72" Type="http://schemas.openxmlformats.org/officeDocument/2006/relationships/hyperlink" Target="https://www.itu.int/wtisd/" TargetMode="External"/><Relationship Id="rId3" Type="http://schemas.openxmlformats.org/officeDocument/2006/relationships/customXml" Target="../customXml/item3.xml"/><Relationship Id="rId12" Type="http://schemas.openxmlformats.org/officeDocument/2006/relationships/hyperlink" Target="https://undocs.org/Home/Mobile?FinalSymbol=A%2FRES%2F70%2F125&amp;Language=E&amp;DeviceType=Desktop&amp;LangRequested=False" TargetMode="External"/><Relationship Id="rId17" Type="http://schemas.openxmlformats.org/officeDocument/2006/relationships/hyperlink" Target="https://www.itu.int/en/council/Documents/basic-texts-2023/RES-140-E.pdf" TargetMode="External"/><Relationship Id="rId25" Type="http://schemas.openxmlformats.org/officeDocument/2006/relationships/hyperlink" Target="https://www.itu.int/md/S22-CWGWSIS38-C-0020/en" TargetMode="External"/><Relationship Id="rId33" Type="http://schemas.openxmlformats.org/officeDocument/2006/relationships/hyperlink" Target="https://www.itu.int/en/itu-wsis/Documents/ITUContribution/2024_ITU_Contribution_to_WSIS-Implementation-DRAFT-20241031.pdf" TargetMode="External"/><Relationship Id="rId38" Type="http://schemas.openxmlformats.org/officeDocument/2006/relationships/hyperlink" Target="http://www.wsis.org/prizes" TargetMode="External"/><Relationship Id="rId46" Type="http://schemas.openxmlformats.org/officeDocument/2006/relationships/hyperlink" Target="https://www.itu.int/en/ITU-D/Statistics/Pages/intlcoop/partnership/default.aspx" TargetMode="External"/><Relationship Id="rId59" Type="http://schemas.openxmlformats.org/officeDocument/2006/relationships/hyperlink" Target="https://hlpf.un.org/" TargetMode="External"/><Relationship Id="rId67" Type="http://schemas.openxmlformats.org/officeDocument/2006/relationships/hyperlink" Target="https://www.itu.int/itu-d/sites/partner2connect/" TargetMode="External"/><Relationship Id="rId20" Type="http://schemas.openxmlformats.org/officeDocument/2006/relationships/hyperlink" Target="https://www.itu.int/dms_pub/itu-d/opb/tdc/D-TDC-WTDC-2022-PDF-E.pdf" TargetMode="External"/><Relationship Id="rId41" Type="http://schemas.openxmlformats.org/officeDocument/2006/relationships/hyperlink" Target="http://www.wsis.org/sdg" TargetMode="External"/><Relationship Id="rId54" Type="http://schemas.openxmlformats.org/officeDocument/2006/relationships/hyperlink" Target="https://www.itu.int/net4/wsis/forum/2024/Home/Outcomes" TargetMode="External"/><Relationship Id="rId62" Type="http://schemas.openxmlformats.org/officeDocument/2006/relationships/hyperlink" Target="https://www.itu.int/dms_pub/itu-d/opb/tdc/D-TDC-WTDC-2022-PDF-E.pdf" TargetMode="External"/><Relationship Id="rId70" Type="http://schemas.openxmlformats.org/officeDocument/2006/relationships/hyperlink" Target="https://www.broadbandcommission.org/advocacy-targets/"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ctad.org/system/files/official-document/ecosoc_res_2022d15_en.pdf" TargetMode="External"/><Relationship Id="rId23" Type="http://schemas.openxmlformats.org/officeDocument/2006/relationships/hyperlink" Target="http://www.itu.int/en/council/cwg-wsis/Pages/default.aspx" TargetMode="External"/><Relationship Id="rId28" Type="http://schemas.openxmlformats.org/officeDocument/2006/relationships/hyperlink" Target="https://www.itu.int/md/S24-CWGWSIS40-C-0016/es" TargetMode="External"/><Relationship Id="rId36" Type="http://schemas.openxmlformats.org/officeDocument/2006/relationships/hyperlink" Target="http://www.wsis.org/forum" TargetMode="External"/><Relationship Id="rId49" Type="http://schemas.openxmlformats.org/officeDocument/2006/relationships/hyperlink" Target="https://www.itu.int/md/S24-CL-C-0141/en" TargetMode="External"/><Relationship Id="rId57" Type="http://schemas.openxmlformats.org/officeDocument/2006/relationships/hyperlink" Target="https://www.itu.int/en/mediacentre/backgrounders/Pages/connect-2030-agenda.aspx" TargetMode="External"/><Relationship Id="rId10" Type="http://schemas.openxmlformats.org/officeDocument/2006/relationships/endnotes" Target="endnotes.xml"/><Relationship Id="rId31" Type="http://schemas.openxmlformats.org/officeDocument/2006/relationships/hyperlink" Target="https://www.itu.int/md/S22-PP-C-0047/en" TargetMode="External"/><Relationship Id="rId44" Type="http://schemas.openxmlformats.org/officeDocument/2006/relationships/hyperlink" Target="https://www.itu.int/net4/wsis/ungis/ThematicMeetings" TargetMode="External"/><Relationship Id="rId52" Type="http://schemas.openxmlformats.org/officeDocument/2006/relationships/hyperlink" Target="http://www.wsis.org/forum" TargetMode="External"/><Relationship Id="rId60" Type="http://schemas.openxmlformats.org/officeDocument/2006/relationships/hyperlink" Target="https://www.itu.int/pub/R-RES-R.61" TargetMode="External"/><Relationship Id="rId65" Type="http://schemas.openxmlformats.org/officeDocument/2006/relationships/hyperlink" Target="https://www.un.org/en/summit-of-the-future/action-days"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ndocs.org/Home/Mobile?FinalSymbol=A%2FRES%2F70%2F1&amp;Language=E&amp;DeviceType=Desktop&amp;LangRequested=False" TargetMode="External"/><Relationship Id="rId18" Type="http://schemas.openxmlformats.org/officeDocument/2006/relationships/hyperlink" Target="https://www.itu.int/md/S24-CL-C-0141/en" TargetMode="External"/><Relationship Id="rId39" Type="http://schemas.openxmlformats.org/officeDocument/2006/relationships/hyperlink" Target="http://www.wsis.org/forum" TargetMode="External"/><Relationship Id="rId34" Type="http://schemas.openxmlformats.org/officeDocument/2006/relationships/hyperlink" Target="https://www.itu.int/en/itu-wsis/Pages/Contribution.aspx" TargetMode="External"/><Relationship Id="rId50" Type="http://schemas.openxmlformats.org/officeDocument/2006/relationships/hyperlink" Target="https://www.itu.int/en/council/Documents/basic-texts-2023/RES-140-E.pdf" TargetMode="External"/><Relationship Id="rId55" Type="http://schemas.openxmlformats.org/officeDocument/2006/relationships/hyperlink" Target="https://www.itu.int/en/council/planning/Pages/default.aspx"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broadbandcommission.org/publication/state-of-broadband-2024/" TargetMode="External"/><Relationship Id="rId2" Type="http://schemas.openxmlformats.org/officeDocument/2006/relationships/customXml" Target="../customXml/item2.xml"/><Relationship Id="rId29" Type="http://schemas.openxmlformats.org/officeDocument/2006/relationships/hyperlink" Target="https://www.itu.int/md/S22-PP-C-004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CWGs\dotx%20files\CWG-WSIS&amp;SDGs\CWG-WSIS&amp;SDGs42-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89BE01E1-3B04-449E-8D7A-0B5A3490E7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2C381-18B6-4DE8-BA0A-BE515EA54188}">
  <ds:schemaRefs>
    <ds:schemaRef ds:uri="http://schemas.microsoft.com/sharepoint/v3/contenttype/forms"/>
  </ds:schemaRefs>
</ds:datastoreItem>
</file>

<file path=customXml/itemProps4.xml><?xml version="1.0" encoding="utf-8"?>
<ds:datastoreItem xmlns:ds="http://schemas.openxmlformats.org/officeDocument/2006/customXml" ds:itemID="{0546F554-D049-4895-ADEC-DEB39FB29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CWG-WSIS&amp;SDGs42-TEMPLATE.dotx</Template>
  <TotalTime>7</TotalTime>
  <Pages>5</Pages>
  <Words>2020</Words>
  <Characters>15997</Characters>
  <Application>Microsoft Office Word</Application>
  <DocSecurity>0</DocSecurity>
  <Lines>133</Lines>
  <Paragraphs>35</Paragraphs>
  <ScaleCrop>false</ScaleCrop>
  <HeadingPairs>
    <vt:vector size="2" baseType="variant">
      <vt:variant>
        <vt:lpstr>Title</vt:lpstr>
      </vt:variant>
      <vt:variant>
        <vt:i4>1</vt:i4>
      </vt:variant>
    </vt:vector>
  </HeadingPairs>
  <TitlesOfParts>
    <vt:vector size="1" baseType="lpstr">
      <vt:lpstr>Comprehensive report detailing the activities, actions, and engagements that the Union is undertaking in the context of the WSIS implementation and 2030 agenda</vt:lpstr>
    </vt:vector>
  </TitlesOfParts>
  <Manager/>
  <Company/>
  <LinksUpToDate>false</LinksUpToDate>
  <CharactersWithSpaces>17982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report detailing the activities, actions, and engagements that the Union is undertaking in the context of the WSIS implementation and 2030 agenda</dc:title>
  <dc:subject>ITU Council Working Group on WSIS &amp; SDGs</dc:subject>
  <dc:creator>LRT</dc:creator>
  <cp:keywords>CWG-WSIS&amp;SDG</cp:keywords>
  <dc:description/>
  <cp:lastModifiedBy>GBS</cp:lastModifiedBy>
  <cp:revision>3</cp:revision>
  <dcterms:created xsi:type="dcterms:W3CDTF">2025-02-09T18:20:00Z</dcterms:created>
  <dcterms:modified xsi:type="dcterms:W3CDTF">2025-02-09T18:53:00Z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207d8fab-d9d8-453a-a619-bf15e8fae6df</vt:lpwstr>
  </property>
  <property fmtid="{D5CDD505-2E9C-101B-9397-08002B2CF9AE}" pid="3" name="ContentTypeId">
    <vt:lpwstr>0x01010096B2CC4DF5F10149B2E37F08EDC3AC3A</vt:lpwstr>
  </property>
</Properties>
</file>