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5720E" w14:paraId="0043AC80" w14:textId="77777777" w:rsidTr="643B8041">
        <w:trPr>
          <w:cantSplit/>
          <w:trHeight w:val="23"/>
        </w:trPr>
        <w:tc>
          <w:tcPr>
            <w:tcW w:w="3969" w:type="dxa"/>
            <w:vMerge w:val="restart"/>
            <w:tcMar>
              <w:left w:w="0" w:type="dxa"/>
            </w:tcMar>
          </w:tcPr>
          <w:p w14:paraId="60A806D3" w14:textId="6316C87D" w:rsidR="00AD3606" w:rsidRPr="0035720E" w:rsidRDefault="00AD3606" w:rsidP="4E8602DC">
            <w:pPr>
              <w:tabs>
                <w:tab w:val="left" w:pos="851"/>
              </w:tabs>
              <w:spacing w:before="0" w:line="240" w:lineRule="atLeast"/>
              <w:rPr>
                <w:b/>
                <w:bCs/>
              </w:rPr>
            </w:pPr>
            <w:bookmarkStart w:id="0" w:name="dmeeting"/>
            <w:bookmarkStart w:id="1" w:name="dnum"/>
            <w:bookmarkStart w:id="2" w:name="_Hlk133421839"/>
            <w:bookmarkStart w:id="3" w:name="_Hlk133421856"/>
            <w:bookmarkStart w:id="4" w:name="_Hlk133422370"/>
            <w:bookmarkStart w:id="5" w:name="_Hlk133586559"/>
          </w:p>
        </w:tc>
        <w:tc>
          <w:tcPr>
            <w:tcW w:w="5245" w:type="dxa"/>
          </w:tcPr>
          <w:p w14:paraId="291AB2A2" w14:textId="2B0CE4B7" w:rsidR="00AD3606" w:rsidRPr="0035720E" w:rsidRDefault="00AD3606" w:rsidP="00472BAD">
            <w:pPr>
              <w:tabs>
                <w:tab w:val="left" w:pos="851"/>
              </w:tabs>
              <w:spacing w:before="0" w:line="240" w:lineRule="atLeast"/>
              <w:jc w:val="right"/>
              <w:rPr>
                <w:b/>
              </w:rPr>
            </w:pPr>
            <w:r w:rsidRPr="00EA25CF">
              <w:rPr>
                <w:b/>
              </w:rPr>
              <w:t>Document C</w:t>
            </w:r>
            <w:r w:rsidR="00A52C84" w:rsidRPr="00EA25CF">
              <w:rPr>
                <w:b/>
              </w:rPr>
              <w:t>WG-</w:t>
            </w:r>
            <w:r w:rsidR="00A34373" w:rsidRPr="00EA25CF">
              <w:rPr>
                <w:b/>
              </w:rPr>
              <w:t>SFP</w:t>
            </w:r>
            <w:r w:rsidR="00A52C84" w:rsidRPr="00EA25CF">
              <w:rPr>
                <w:b/>
              </w:rPr>
              <w:t>-</w:t>
            </w:r>
            <w:r w:rsidR="00EA25CF" w:rsidRPr="00EA25CF">
              <w:rPr>
                <w:b/>
              </w:rPr>
              <w:t>3</w:t>
            </w:r>
            <w:r w:rsidRPr="00EA25CF">
              <w:rPr>
                <w:b/>
              </w:rPr>
              <w:t>/</w:t>
            </w:r>
            <w:r w:rsidR="00EA25CF" w:rsidRPr="009D4C47">
              <w:rPr>
                <w:b/>
              </w:rPr>
              <w:t>17</w:t>
            </w:r>
            <w:r w:rsidR="00D863CB" w:rsidRPr="009D4C47">
              <w:rPr>
                <w:b/>
              </w:rPr>
              <w:t>-E</w:t>
            </w:r>
          </w:p>
        </w:tc>
      </w:tr>
      <w:tr w:rsidR="00AD3606" w:rsidRPr="0035720E" w14:paraId="789B45BA" w14:textId="77777777" w:rsidTr="643B8041">
        <w:trPr>
          <w:cantSplit/>
        </w:trPr>
        <w:tc>
          <w:tcPr>
            <w:tcW w:w="3969" w:type="dxa"/>
            <w:vMerge/>
          </w:tcPr>
          <w:p w14:paraId="3F3D4E17" w14:textId="77777777" w:rsidR="00AD3606" w:rsidRPr="0035720E"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54E8E70E" w:rsidR="00AD3606" w:rsidRPr="0035720E" w:rsidRDefault="00736A70" w:rsidP="00AD3606">
            <w:pPr>
              <w:tabs>
                <w:tab w:val="left" w:pos="851"/>
              </w:tabs>
              <w:spacing w:before="0"/>
              <w:jc w:val="right"/>
              <w:rPr>
                <w:b/>
              </w:rPr>
            </w:pPr>
            <w:r>
              <w:rPr>
                <w:b/>
              </w:rPr>
              <w:t>1</w:t>
            </w:r>
            <w:r w:rsidR="00B542FA">
              <w:rPr>
                <w:b/>
              </w:rPr>
              <w:t>9</w:t>
            </w:r>
            <w:r w:rsidR="006A49FA" w:rsidRPr="0035720E">
              <w:rPr>
                <w:b/>
              </w:rPr>
              <w:t xml:space="preserve"> </w:t>
            </w:r>
            <w:r>
              <w:rPr>
                <w:b/>
              </w:rPr>
              <w:t>Septembe</w:t>
            </w:r>
            <w:r w:rsidR="006A49FA" w:rsidRPr="0035720E">
              <w:rPr>
                <w:b/>
              </w:rPr>
              <w:t xml:space="preserve">r </w:t>
            </w:r>
            <w:r w:rsidR="00AD3606" w:rsidRPr="0035720E">
              <w:rPr>
                <w:b/>
              </w:rPr>
              <w:t>202</w:t>
            </w:r>
            <w:r>
              <w:rPr>
                <w:b/>
              </w:rPr>
              <w:t>5</w:t>
            </w:r>
          </w:p>
        </w:tc>
      </w:tr>
      <w:tr w:rsidR="00AD3606" w:rsidRPr="0035720E" w14:paraId="58A84C4A" w14:textId="77777777" w:rsidTr="643B8041">
        <w:trPr>
          <w:cantSplit/>
          <w:trHeight w:val="23"/>
        </w:trPr>
        <w:tc>
          <w:tcPr>
            <w:tcW w:w="3969" w:type="dxa"/>
            <w:vMerge/>
          </w:tcPr>
          <w:p w14:paraId="77CEDDAA" w14:textId="77777777" w:rsidR="00AD3606" w:rsidRPr="0035720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35720E" w:rsidRDefault="00891503" w:rsidP="00AD3606">
            <w:pPr>
              <w:tabs>
                <w:tab w:val="left" w:pos="851"/>
              </w:tabs>
              <w:spacing w:before="0" w:line="240" w:lineRule="atLeast"/>
              <w:jc w:val="right"/>
              <w:rPr>
                <w:b/>
              </w:rPr>
            </w:pPr>
            <w:r w:rsidRPr="0035720E">
              <w:rPr>
                <w:b/>
              </w:rPr>
              <w:t>English</w:t>
            </w:r>
            <w:r w:rsidR="009B2D4B" w:rsidRPr="0035720E">
              <w:rPr>
                <w:b/>
              </w:rPr>
              <w:t xml:space="preserve"> only</w:t>
            </w:r>
          </w:p>
        </w:tc>
      </w:tr>
      <w:tr w:rsidR="00472BAD" w:rsidRPr="0035720E" w14:paraId="12C5EF5F" w14:textId="77777777" w:rsidTr="643B8041">
        <w:trPr>
          <w:cantSplit/>
          <w:trHeight w:val="23"/>
        </w:trPr>
        <w:tc>
          <w:tcPr>
            <w:tcW w:w="3969" w:type="dxa"/>
          </w:tcPr>
          <w:p w14:paraId="4B839BA2" w14:textId="77777777" w:rsidR="00472BAD" w:rsidRPr="0035720E" w:rsidRDefault="00472BAD" w:rsidP="00AD3606">
            <w:pPr>
              <w:tabs>
                <w:tab w:val="left" w:pos="851"/>
              </w:tabs>
              <w:spacing w:line="240" w:lineRule="atLeast"/>
              <w:rPr>
                <w:b/>
              </w:rPr>
            </w:pPr>
          </w:p>
        </w:tc>
        <w:tc>
          <w:tcPr>
            <w:tcW w:w="5245" w:type="dxa"/>
          </w:tcPr>
          <w:p w14:paraId="12F66D25" w14:textId="77777777" w:rsidR="00472BAD" w:rsidRPr="0035720E" w:rsidRDefault="00472BAD" w:rsidP="00AD3606">
            <w:pPr>
              <w:tabs>
                <w:tab w:val="left" w:pos="851"/>
              </w:tabs>
              <w:spacing w:before="0" w:line="240" w:lineRule="atLeast"/>
              <w:jc w:val="right"/>
              <w:rPr>
                <w:b/>
              </w:rPr>
            </w:pPr>
          </w:p>
        </w:tc>
      </w:tr>
      <w:tr w:rsidR="00AD3606" w:rsidRPr="0035720E" w14:paraId="27000B2A" w14:textId="77777777" w:rsidTr="643B8041">
        <w:trPr>
          <w:cantSplit/>
        </w:trPr>
        <w:tc>
          <w:tcPr>
            <w:tcW w:w="9214" w:type="dxa"/>
            <w:gridSpan w:val="2"/>
            <w:tcMar>
              <w:left w:w="0" w:type="dxa"/>
            </w:tcMar>
          </w:tcPr>
          <w:p w14:paraId="4E7CDB90" w14:textId="7A14038C" w:rsidR="00AD3606" w:rsidRPr="0035720E" w:rsidRDefault="006A49FA" w:rsidP="00676C7D">
            <w:pPr>
              <w:pStyle w:val="Source"/>
              <w:framePr w:hSpace="0" w:wrap="auto" w:vAnchor="margin" w:hAnchor="text" w:xAlign="left" w:yAlign="inline"/>
            </w:pPr>
            <w:bookmarkStart w:id="8" w:name="dsource" w:colFirst="0" w:colLast="0"/>
            <w:bookmarkEnd w:id="7"/>
            <w:r w:rsidRPr="0035720E">
              <w:t>Chair of the Council Working Group for strategic and financial plans</w:t>
            </w:r>
          </w:p>
        </w:tc>
      </w:tr>
      <w:tr w:rsidR="00AD3606" w:rsidRPr="0035720E" w14:paraId="2340750D" w14:textId="77777777" w:rsidTr="643B8041">
        <w:trPr>
          <w:cantSplit/>
        </w:trPr>
        <w:tc>
          <w:tcPr>
            <w:tcW w:w="9214" w:type="dxa"/>
            <w:gridSpan w:val="2"/>
            <w:tcMar>
              <w:left w:w="0" w:type="dxa"/>
            </w:tcMar>
          </w:tcPr>
          <w:p w14:paraId="47B91AA8" w14:textId="46E9B121" w:rsidR="00326AC6" w:rsidRPr="0035720E" w:rsidRDefault="00756649" w:rsidP="00676C7D">
            <w:pPr>
              <w:pStyle w:val="Subtitle1"/>
              <w:framePr w:hSpace="0" w:wrap="auto" w:xAlign="left" w:yAlign="inline"/>
              <w:rPr>
                <w:rFonts w:asciiTheme="minorHAnsi" w:hAnsiTheme="minorHAnsi" w:cstheme="minorBidi"/>
              </w:rPr>
            </w:pPr>
            <w:bookmarkStart w:id="9" w:name="dtitle1"/>
            <w:bookmarkEnd w:id="8"/>
            <w:r w:rsidRPr="0035720E">
              <w:t xml:space="preserve">FINAL REPORT OF THE </w:t>
            </w:r>
            <w:r>
              <w:t>THIRD</w:t>
            </w:r>
            <w:r>
              <w:rPr>
                <w:vertAlign w:val="superscript"/>
              </w:rPr>
              <w:t xml:space="preserve"> </w:t>
            </w:r>
            <w:r w:rsidRPr="0035720E">
              <w:t>MEETING OF THE COUNCIL WORKING GROUP FOR STRATEGIC AND FINANCIAL PLANS 2028</w:t>
            </w:r>
            <w:r>
              <w:t>-</w:t>
            </w:r>
            <w:r w:rsidRPr="0035720E">
              <w:t>2031</w:t>
            </w:r>
          </w:p>
        </w:tc>
      </w:tr>
      <w:tr w:rsidR="00AD3606" w:rsidRPr="0035720E" w14:paraId="1F564D2D" w14:textId="77777777" w:rsidTr="643B8041">
        <w:trPr>
          <w:cantSplit/>
        </w:trPr>
        <w:tc>
          <w:tcPr>
            <w:tcW w:w="9214" w:type="dxa"/>
            <w:gridSpan w:val="2"/>
            <w:tcBorders>
              <w:top w:val="single" w:sz="4" w:space="0" w:color="auto"/>
              <w:bottom w:val="single" w:sz="4" w:space="0" w:color="auto"/>
            </w:tcBorders>
            <w:tcMar>
              <w:left w:w="0" w:type="dxa"/>
            </w:tcMar>
          </w:tcPr>
          <w:p w14:paraId="7AD73B47" w14:textId="3A59D05A" w:rsidR="00AD3606" w:rsidRPr="0035720E" w:rsidRDefault="00F16BAB" w:rsidP="00B70DFF">
            <w:pPr>
              <w:pStyle w:val="Headingb"/>
            </w:pPr>
            <w:r w:rsidRPr="0035720E">
              <w:t>Purpose</w:t>
            </w:r>
          </w:p>
          <w:p w14:paraId="21193382" w14:textId="04BBB5B9" w:rsidR="006A49FA" w:rsidRPr="0035720E" w:rsidRDefault="006A49FA" w:rsidP="006A49FA">
            <w:r w:rsidRPr="0035720E">
              <w:t xml:space="preserve">This report highlights the main outcomes of the Council Working Group for strategic and financial plans 2028-2031 (CWG-SFP) meeting held on </w:t>
            </w:r>
            <w:r w:rsidR="00736A70">
              <w:t>8</w:t>
            </w:r>
            <w:r w:rsidR="00396DBA">
              <w:t>-</w:t>
            </w:r>
            <w:r w:rsidR="00736A70">
              <w:t>9 Septem</w:t>
            </w:r>
            <w:r w:rsidRPr="0035720E">
              <w:t>ber 202</w:t>
            </w:r>
            <w:r w:rsidR="00736A70">
              <w:t>5</w:t>
            </w:r>
            <w:r w:rsidRPr="0035720E">
              <w:t xml:space="preserve"> in line with </w:t>
            </w:r>
            <w:hyperlink r:id="rId11" w:history="1">
              <w:r w:rsidRPr="0035720E">
                <w:rPr>
                  <w:rStyle w:val="Hyperlink"/>
                </w:rPr>
                <w:t>Council Resolution 1428</w:t>
              </w:r>
            </w:hyperlink>
            <w:r w:rsidRPr="0035720E">
              <w:t>.</w:t>
            </w:r>
          </w:p>
          <w:p w14:paraId="5076D5C4" w14:textId="28F00572" w:rsidR="00AD3606" w:rsidRPr="0035720E" w:rsidRDefault="00AD3606" w:rsidP="00B70DFF">
            <w:pPr>
              <w:pStyle w:val="Headingb"/>
              <w:rPr>
                <w:bCs/>
              </w:rPr>
            </w:pPr>
            <w:r w:rsidRPr="0035720E">
              <w:t>Action required</w:t>
            </w:r>
          </w:p>
          <w:p w14:paraId="2D45155B" w14:textId="303732EE" w:rsidR="006A49FA" w:rsidRPr="0035720E" w:rsidRDefault="006A49FA" w:rsidP="006A49FA">
            <w:pPr>
              <w:spacing w:before="160"/>
            </w:pPr>
            <w:r w:rsidRPr="0035720E">
              <w:t>The Council Working Group for strategic and financial plans 2028</w:t>
            </w:r>
            <w:r w:rsidR="00FD50E3">
              <w:t>-</w:t>
            </w:r>
            <w:r w:rsidRPr="0035720E">
              <w:t xml:space="preserve">2031 is invited to </w:t>
            </w:r>
            <w:r w:rsidRPr="0035720E">
              <w:rPr>
                <w:b/>
                <w:bCs/>
              </w:rPr>
              <w:t>consider</w:t>
            </w:r>
            <w:r w:rsidRPr="0035720E">
              <w:t xml:space="preserve"> and </w:t>
            </w:r>
            <w:r w:rsidRPr="0035720E">
              <w:rPr>
                <w:b/>
                <w:bCs/>
              </w:rPr>
              <w:t>approve</w:t>
            </w:r>
            <w:r w:rsidRPr="0035720E">
              <w:t xml:space="preserve"> the report.</w:t>
            </w:r>
          </w:p>
          <w:p w14:paraId="28E9461C" w14:textId="77777777" w:rsidR="00D863CB" w:rsidRPr="0035720E" w:rsidRDefault="00D863CB">
            <w:r w:rsidRPr="0035720E">
              <w:t>_______________</w:t>
            </w:r>
          </w:p>
          <w:p w14:paraId="00DEE14C" w14:textId="77777777" w:rsidR="00AD3606" w:rsidRPr="0035720E" w:rsidRDefault="00AD3606" w:rsidP="00B70DFF">
            <w:pPr>
              <w:pStyle w:val="Headingb"/>
              <w:rPr>
                <w:bCs/>
              </w:rPr>
            </w:pPr>
            <w:r w:rsidRPr="0035720E">
              <w:t>References</w:t>
            </w:r>
          </w:p>
          <w:p w14:paraId="0175CD6C" w14:textId="5E6323EA" w:rsidR="00AD3606" w:rsidRPr="0035720E" w:rsidRDefault="006A49FA" w:rsidP="00E75165">
            <w:pPr>
              <w:spacing w:before="160" w:after="120"/>
              <w:rPr>
                <w:i/>
                <w:iCs/>
                <w:sz w:val="22"/>
                <w:szCs w:val="22"/>
              </w:rPr>
            </w:pPr>
            <w:hyperlink r:id="rId12" w:history="1">
              <w:r w:rsidRPr="0035720E">
                <w:rPr>
                  <w:rStyle w:val="Hyperlink"/>
                  <w:i/>
                  <w:iCs/>
                  <w:sz w:val="22"/>
                  <w:szCs w:val="22"/>
                </w:rPr>
                <w:t>CWG-SFP website</w:t>
              </w:r>
            </w:hyperlink>
            <w:r w:rsidRPr="0035720E">
              <w:rPr>
                <w:i/>
                <w:iCs/>
                <w:sz w:val="22"/>
                <w:szCs w:val="22"/>
              </w:rPr>
              <w:t xml:space="preserve">; </w:t>
            </w:r>
            <w:hyperlink r:id="rId13" w:history="1">
              <w:r w:rsidRPr="0035720E">
                <w:rPr>
                  <w:rStyle w:val="Hyperlink"/>
                  <w:i/>
                  <w:iCs/>
                  <w:sz w:val="22"/>
                  <w:szCs w:val="22"/>
                </w:rPr>
                <w:t>Resolution 1428 (C24)</w:t>
              </w:r>
            </w:hyperlink>
          </w:p>
        </w:tc>
      </w:tr>
    </w:tbl>
    <w:p w14:paraId="4CDB8B60" w14:textId="77777777" w:rsidR="00E227F3" w:rsidRPr="0035720E" w:rsidRDefault="00E227F3" w:rsidP="00046F67">
      <w:pPr>
        <w:tabs>
          <w:tab w:val="clear" w:pos="567"/>
          <w:tab w:val="clear" w:pos="1134"/>
          <w:tab w:val="clear" w:pos="1701"/>
          <w:tab w:val="clear" w:pos="2268"/>
          <w:tab w:val="clear" w:pos="2835"/>
        </w:tabs>
        <w:overflowPunct/>
        <w:autoSpaceDE/>
        <w:autoSpaceDN/>
        <w:adjustRightInd/>
        <w:spacing w:before="0"/>
        <w:textAlignment w:val="auto"/>
        <w:rPr>
          <w:sz w:val="22"/>
          <w:szCs w:val="22"/>
        </w:rPr>
      </w:pPr>
      <w:bookmarkStart w:id="10" w:name="_Hlk133421428"/>
      <w:bookmarkEnd w:id="2"/>
      <w:bookmarkEnd w:id="9"/>
    </w:p>
    <w:p w14:paraId="304A5D14" w14:textId="36444AFD" w:rsidR="00012168" w:rsidRPr="0035720E" w:rsidRDefault="00012168">
      <w:pPr>
        <w:tabs>
          <w:tab w:val="clear" w:pos="567"/>
          <w:tab w:val="clear" w:pos="1134"/>
          <w:tab w:val="clear" w:pos="1701"/>
          <w:tab w:val="clear" w:pos="2268"/>
          <w:tab w:val="clear" w:pos="2835"/>
        </w:tabs>
        <w:overflowPunct/>
        <w:autoSpaceDE/>
        <w:autoSpaceDN/>
        <w:adjustRightInd/>
        <w:spacing w:before="0"/>
        <w:textAlignment w:val="auto"/>
        <w:rPr>
          <w:rFonts w:ascii="Tahoma" w:hAnsi="Tahoma" w:cs="Tahoma"/>
          <w:b/>
          <w:bCs/>
          <w:sz w:val="22"/>
          <w:szCs w:val="22"/>
        </w:rPr>
      </w:pPr>
      <w:bookmarkStart w:id="11" w:name="_Hlk175217732"/>
      <w:bookmarkEnd w:id="3"/>
      <w:bookmarkEnd w:id="4"/>
      <w:bookmarkEnd w:id="5"/>
      <w:bookmarkEnd w:id="10"/>
      <w:r w:rsidRPr="0035720E">
        <w:rPr>
          <w:rFonts w:ascii="Tahoma" w:hAnsi="Tahoma" w:cs="Tahoma"/>
          <w:b/>
          <w:bCs/>
          <w:sz w:val="22"/>
          <w:szCs w:val="22"/>
        </w:rPr>
        <w:br w:type="page"/>
      </w:r>
    </w:p>
    <w:bookmarkEnd w:id="11"/>
    <w:p w14:paraId="3222759D" w14:textId="56F021EE" w:rsidR="006A49FA" w:rsidRPr="0035720E" w:rsidRDefault="006A49FA" w:rsidP="003F70EF">
      <w:pPr>
        <w:pStyle w:val="Headingb"/>
      </w:pPr>
      <w:r w:rsidRPr="0035720E">
        <w:lastRenderedPageBreak/>
        <w:t>Introduction</w:t>
      </w:r>
    </w:p>
    <w:p w14:paraId="744274FF" w14:textId="422F9BE6" w:rsidR="006A49FA" w:rsidRPr="0035720E" w:rsidRDefault="006A49FA" w:rsidP="003F70EF">
      <w:pPr>
        <w:jc w:val="both"/>
      </w:pPr>
      <w:r w:rsidRPr="0035720E">
        <w:t xml:space="preserve">The </w:t>
      </w:r>
      <w:r w:rsidR="00EA25CF">
        <w:t>third</w:t>
      </w:r>
      <w:r w:rsidR="00EA25CF" w:rsidRPr="0035720E">
        <w:t xml:space="preserve"> </w:t>
      </w:r>
      <w:r w:rsidRPr="0035720E">
        <w:t>meeting of the Council Working Group for strategic and financial plans 2028</w:t>
      </w:r>
      <w:r w:rsidR="004003B8">
        <w:t>-</w:t>
      </w:r>
      <w:r w:rsidRPr="0035720E">
        <w:t>2031 (CWG</w:t>
      </w:r>
      <w:r w:rsidR="00D3141C">
        <w:t>-</w:t>
      </w:r>
      <w:r w:rsidRPr="0035720E">
        <w:t xml:space="preserve">SFP) took place on </w:t>
      </w:r>
      <w:r w:rsidR="00B542FA">
        <w:t>8</w:t>
      </w:r>
      <w:r w:rsidR="00B542FA" w:rsidRPr="0035720E">
        <w:t>-</w:t>
      </w:r>
      <w:r w:rsidR="00B542FA">
        <w:t>9 Septem</w:t>
      </w:r>
      <w:r w:rsidR="00B542FA" w:rsidRPr="0035720E">
        <w:t>ber 202</w:t>
      </w:r>
      <w:r w:rsidR="00B542FA">
        <w:t>5.</w:t>
      </w:r>
      <w:r w:rsidR="00D3141C">
        <w:t xml:space="preserve"> </w:t>
      </w:r>
      <w:r w:rsidRPr="00200933">
        <w:t xml:space="preserve">The meeting was chaired by Mr Mansour Alqurashi (Saudi Arabia). </w:t>
      </w:r>
      <w:r w:rsidR="005C1C62">
        <w:t>The v</w:t>
      </w:r>
      <w:r w:rsidRPr="00200933">
        <w:t>ice-</w:t>
      </w:r>
      <w:r w:rsidR="005C1C62">
        <w:t>c</w:t>
      </w:r>
      <w:r w:rsidR="0035720E" w:rsidRPr="00200933">
        <w:t>hairs</w:t>
      </w:r>
      <w:r w:rsidR="005C1C62">
        <w:t xml:space="preserve"> were</w:t>
      </w:r>
      <w:r w:rsidRPr="00200933">
        <w:t xml:space="preserve"> Mr </w:t>
      </w:r>
      <w:proofErr w:type="spellStart"/>
      <w:r w:rsidR="00C312BD" w:rsidRPr="00200933">
        <w:t>Mu</w:t>
      </w:r>
      <w:r w:rsidR="0035720E" w:rsidRPr="00200933">
        <w:t>lembwa</w:t>
      </w:r>
      <w:proofErr w:type="spellEnd"/>
      <w:r w:rsidR="0035720E" w:rsidRPr="0035720E">
        <w:t xml:space="preserve"> </w:t>
      </w:r>
      <w:r w:rsidRPr="0035720E">
        <w:t>Denis Munaku (Tanzania); Mr</w:t>
      </w:r>
      <w:r w:rsidR="003F70EF">
        <w:t> </w:t>
      </w:r>
      <w:r w:rsidRPr="0035720E">
        <w:t xml:space="preserve">Kenji Kuramochi (Paraguay); Ms Maitha Al Jamri (United Arab Emirates); Mr Yi Lun (China); Mr </w:t>
      </w:r>
      <w:proofErr w:type="spellStart"/>
      <w:r w:rsidRPr="0035720E">
        <w:t>Bakhtjan</w:t>
      </w:r>
      <w:proofErr w:type="spellEnd"/>
      <w:r w:rsidRPr="0035720E">
        <w:t xml:space="preserve"> Smanov (Uzbekistan), and Mr Rafał Bartoszewski (Poland).</w:t>
      </w:r>
    </w:p>
    <w:p w14:paraId="348F4376" w14:textId="27BAB3E0" w:rsidR="006A49FA" w:rsidRPr="0035720E" w:rsidRDefault="006A49FA" w:rsidP="003F70EF">
      <w:pPr>
        <w:pStyle w:val="Headingb"/>
      </w:pPr>
      <w:r w:rsidRPr="0035720E">
        <w:t xml:space="preserve">Opening </w:t>
      </w:r>
      <w:r w:rsidR="0035720E" w:rsidRPr="0035720E">
        <w:t>remarks and adoption of the agenda</w:t>
      </w:r>
    </w:p>
    <w:p w14:paraId="771BE433" w14:textId="2438D7BD" w:rsidR="006A49FA" w:rsidRPr="0035720E" w:rsidRDefault="006A49FA" w:rsidP="001973BC">
      <w:pPr>
        <w:jc w:val="both"/>
      </w:pPr>
      <w:r w:rsidRPr="0035720E">
        <w:t xml:space="preserve">The Chair welcomed participants </w:t>
      </w:r>
      <w:r w:rsidR="007F70A3">
        <w:t>to</w:t>
      </w:r>
      <w:r w:rsidRPr="0035720E">
        <w:t xml:space="preserve"> this </w:t>
      </w:r>
      <w:r w:rsidR="005C1C62">
        <w:t xml:space="preserve">third </w:t>
      </w:r>
      <w:r w:rsidR="007F70A3">
        <w:t xml:space="preserve">meeting of the </w:t>
      </w:r>
      <w:r w:rsidR="004F6CB6">
        <w:t>C</w:t>
      </w:r>
      <w:r w:rsidR="007F70A3">
        <w:t xml:space="preserve">ouncil </w:t>
      </w:r>
      <w:r w:rsidR="004F6CB6">
        <w:t>W</w:t>
      </w:r>
      <w:r w:rsidRPr="0035720E">
        <w:t xml:space="preserve">orking </w:t>
      </w:r>
      <w:r w:rsidR="004F6CB6">
        <w:t>G</w:t>
      </w:r>
      <w:r w:rsidRPr="0035720E">
        <w:t>roup in preparing the new draft strategic and financial plans for the 2028</w:t>
      </w:r>
      <w:r w:rsidR="004F6CB6">
        <w:t>-</w:t>
      </w:r>
      <w:r w:rsidRPr="0035720E">
        <w:t>2031 period. The Secretary</w:t>
      </w:r>
      <w:r w:rsidR="004F6CB6">
        <w:t>-</w:t>
      </w:r>
      <w:r w:rsidRPr="0035720E">
        <w:t>General, Ms Doreen Bogdan</w:t>
      </w:r>
      <w:r w:rsidR="00084C36">
        <w:t>-</w:t>
      </w:r>
      <w:r w:rsidRPr="0035720E">
        <w:t>Martin also delivered opening remarks</w:t>
      </w:r>
      <w:r w:rsidR="007F70A3">
        <w:t xml:space="preserve"> e</w:t>
      </w:r>
      <w:r w:rsidR="007F70A3" w:rsidRPr="007F70A3">
        <w:t>mphasizing the importance of shaping strategies for a rapidly evolving digital future, highlighting results</w:t>
      </w:r>
      <w:r w:rsidR="00084C36">
        <w:t>-</w:t>
      </w:r>
      <w:r w:rsidR="007F70A3" w:rsidRPr="007F70A3">
        <w:t>based and data</w:t>
      </w:r>
      <w:r w:rsidR="00084C36">
        <w:t>-</w:t>
      </w:r>
      <w:r w:rsidR="007F70A3" w:rsidRPr="007F70A3">
        <w:t>driven approaches, and inviting members to reimagine ITU as a transformative force that ensures digital technologies benefit all humanity.</w:t>
      </w:r>
    </w:p>
    <w:p w14:paraId="386BA494" w14:textId="12497E18" w:rsidR="006A49FA" w:rsidRPr="0035720E" w:rsidRDefault="006A49FA" w:rsidP="001973BC">
      <w:pPr>
        <w:jc w:val="both"/>
      </w:pPr>
      <w:r w:rsidRPr="0035720E">
        <w:t>The agenda</w:t>
      </w:r>
      <w:r w:rsidR="00EA25CF">
        <w:t>,</w:t>
      </w:r>
      <w:r w:rsidR="00780F68" w:rsidRPr="00396DBA">
        <w:t xml:space="preserve"> contained in </w:t>
      </w:r>
      <w:r w:rsidR="00A01B82" w:rsidRPr="00396DBA">
        <w:t xml:space="preserve">Document </w:t>
      </w:r>
      <w:hyperlink r:id="rId14" w:history="1">
        <w:r w:rsidR="00780F68" w:rsidRPr="00593776">
          <w:rPr>
            <w:rStyle w:val="Hyperlink"/>
          </w:rPr>
          <w:t>CWG-SFP</w:t>
        </w:r>
        <w:r w:rsidR="00AB10C9" w:rsidRPr="00593776">
          <w:rPr>
            <w:rStyle w:val="Hyperlink"/>
          </w:rPr>
          <w:t>-</w:t>
        </w:r>
        <w:r w:rsidR="00780F68" w:rsidRPr="00593776">
          <w:rPr>
            <w:rStyle w:val="Hyperlink"/>
          </w:rPr>
          <w:t>3/1</w:t>
        </w:r>
        <w:r w:rsidR="00A01B82">
          <w:rPr>
            <w:rStyle w:val="Hyperlink"/>
          </w:rPr>
          <w:t>(</w:t>
        </w:r>
        <w:proofErr w:type="spellStart"/>
        <w:r w:rsidR="00A01B82">
          <w:rPr>
            <w:rStyle w:val="Hyperlink"/>
          </w:rPr>
          <w:t>Rev.2</w:t>
        </w:r>
        <w:proofErr w:type="spellEnd"/>
        <w:r w:rsidR="00A01B82">
          <w:rPr>
            <w:rStyle w:val="Hyperlink"/>
          </w:rPr>
          <w:t>)</w:t>
        </w:r>
      </w:hyperlink>
      <w:r w:rsidR="00AB10C9">
        <w:t xml:space="preserve"> and</w:t>
      </w:r>
      <w:r w:rsidRPr="0035720E">
        <w:t xml:space="preserve"> reflecting the distribution of the documents was adopted</w:t>
      </w:r>
      <w:r w:rsidR="00B31839">
        <w:t xml:space="preserve"> a</w:t>
      </w:r>
      <w:r w:rsidR="00B31839" w:rsidRPr="00B31839">
        <w:t xml:space="preserve">fter </w:t>
      </w:r>
      <w:r w:rsidR="005A7373">
        <w:t>clarification</w:t>
      </w:r>
      <w:r w:rsidR="005A7373" w:rsidRPr="00B31839">
        <w:t xml:space="preserve"> </w:t>
      </w:r>
      <w:r w:rsidR="00B31839" w:rsidRPr="00B31839">
        <w:t xml:space="preserve">that the ITU World Café 2025 summary would be treated solely as an information </w:t>
      </w:r>
      <w:r w:rsidR="00B31839">
        <w:t>document</w:t>
      </w:r>
      <w:r w:rsidR="00B31839" w:rsidRPr="00B31839">
        <w:t xml:space="preserve"> from the Secretary</w:t>
      </w:r>
      <w:r w:rsidR="005A7373">
        <w:t>-</w:t>
      </w:r>
      <w:r w:rsidR="00B31839" w:rsidRPr="00B31839">
        <w:t>General, briefly presented with no discussion</w:t>
      </w:r>
      <w:r w:rsidR="00B31839">
        <w:t>.</w:t>
      </w:r>
    </w:p>
    <w:p w14:paraId="253A0869" w14:textId="4EE1A5EC" w:rsidR="00B31839" w:rsidRDefault="00B31839" w:rsidP="003F70EF">
      <w:pPr>
        <w:pStyle w:val="Headingb"/>
      </w:pPr>
      <w:r w:rsidRPr="00B31839">
        <w:t xml:space="preserve">Report of the </w:t>
      </w:r>
      <w:r w:rsidR="005A7373">
        <w:t>second</w:t>
      </w:r>
      <w:r w:rsidR="005A7373" w:rsidRPr="00B31839">
        <w:t xml:space="preserve"> </w:t>
      </w:r>
      <w:r w:rsidR="005A7373">
        <w:t>m</w:t>
      </w:r>
      <w:r w:rsidR="005A7373" w:rsidRPr="00B31839">
        <w:t xml:space="preserve">eeting </w:t>
      </w:r>
      <w:r w:rsidRPr="00B31839">
        <w:t>of the CWG-SFP</w:t>
      </w:r>
    </w:p>
    <w:p w14:paraId="5EF41B4F" w14:textId="304E8FDF" w:rsidR="003455A8" w:rsidRPr="00A01B82" w:rsidRDefault="00B31839" w:rsidP="00B31839">
      <w:pPr>
        <w:jc w:val="both"/>
        <w:rPr>
          <w:spacing w:val="-3"/>
        </w:rPr>
      </w:pPr>
      <w:r w:rsidRPr="00A01B82">
        <w:rPr>
          <w:spacing w:val="-3"/>
        </w:rPr>
        <w:t xml:space="preserve">The Chair introduced the </w:t>
      </w:r>
      <w:r w:rsidR="00A01B82" w:rsidRPr="00A01B82">
        <w:rPr>
          <w:spacing w:val="-3"/>
        </w:rPr>
        <w:t xml:space="preserve">Report </w:t>
      </w:r>
      <w:r w:rsidRPr="00A01B82">
        <w:rPr>
          <w:spacing w:val="-3"/>
        </w:rPr>
        <w:t>of the previous meeting</w:t>
      </w:r>
      <w:r w:rsidR="00402155" w:rsidRPr="00A01B82">
        <w:rPr>
          <w:spacing w:val="-3"/>
        </w:rPr>
        <w:t xml:space="preserve"> contained in </w:t>
      </w:r>
      <w:r w:rsidR="00A01B82" w:rsidRPr="00A01B82">
        <w:rPr>
          <w:spacing w:val="-3"/>
        </w:rPr>
        <w:t xml:space="preserve">Document </w:t>
      </w:r>
      <w:hyperlink r:id="rId15" w:tgtFrame="_blank" w:history="1">
        <w:r w:rsidR="00632B6E" w:rsidRPr="00A01B82">
          <w:rPr>
            <w:rStyle w:val="Hyperlink"/>
            <w:spacing w:val="-3"/>
          </w:rPr>
          <w:t>CWG-SFP-2/13</w:t>
        </w:r>
      </w:hyperlink>
      <w:r w:rsidR="00402155" w:rsidRPr="00A01B82">
        <w:rPr>
          <w:spacing w:val="-3"/>
        </w:rPr>
        <w:t>. T</w:t>
      </w:r>
      <w:r w:rsidR="00EA25CF" w:rsidRPr="00A01B82">
        <w:rPr>
          <w:spacing w:val="-3"/>
        </w:rPr>
        <w:t xml:space="preserve">he </w:t>
      </w:r>
      <w:r w:rsidR="00A01B82" w:rsidRPr="00A01B82">
        <w:rPr>
          <w:spacing w:val="-3"/>
        </w:rPr>
        <w:t xml:space="preserve">Report </w:t>
      </w:r>
      <w:r w:rsidR="00745C75" w:rsidRPr="00A01B82">
        <w:rPr>
          <w:spacing w:val="-3"/>
        </w:rPr>
        <w:t>was</w:t>
      </w:r>
      <w:r w:rsidRPr="00A01B82">
        <w:rPr>
          <w:spacing w:val="-3"/>
        </w:rPr>
        <w:t xml:space="preserve"> approved.</w:t>
      </w:r>
    </w:p>
    <w:p w14:paraId="48771263" w14:textId="716D0789" w:rsidR="006A49FA" w:rsidRPr="003455A8" w:rsidRDefault="00736A70" w:rsidP="003F70EF">
      <w:pPr>
        <w:pStyle w:val="Headingb"/>
      </w:pPr>
      <w:r w:rsidRPr="003455A8">
        <w:t>Harmonization of plenipotentiary conferences outcomes</w:t>
      </w:r>
    </w:p>
    <w:p w14:paraId="624FC823" w14:textId="2BC01713" w:rsidR="00C02FC8" w:rsidRPr="00C02FC8" w:rsidRDefault="00030535" w:rsidP="003F70EF">
      <w:pPr>
        <w:jc w:val="both"/>
      </w:pPr>
      <w:r w:rsidRPr="00C02FC8">
        <w:t>T</w:t>
      </w:r>
      <w:r w:rsidR="006A49FA" w:rsidRPr="00C02FC8">
        <w:t>he Secretariat presented</w:t>
      </w:r>
      <w:r w:rsidRPr="00C02FC8">
        <w:t xml:space="preserve"> </w:t>
      </w:r>
      <w:r w:rsidR="00A01B82">
        <w:t>Document</w:t>
      </w:r>
      <w:r w:rsidR="00A01B82" w:rsidRPr="00C02FC8">
        <w:t xml:space="preserve"> </w:t>
      </w:r>
      <w:hyperlink r:id="rId16" w:tgtFrame="_blank" w:history="1">
        <w:r w:rsidRPr="00C02FC8">
          <w:rPr>
            <w:rStyle w:val="Hyperlink"/>
          </w:rPr>
          <w:t>CWG-SFP-3/2</w:t>
        </w:r>
      </w:hyperlink>
      <w:r w:rsidR="006A49FA" w:rsidRPr="00C02FC8">
        <w:t xml:space="preserve"> </w:t>
      </w:r>
      <w:r w:rsidRPr="00C02FC8">
        <w:t xml:space="preserve">on harmonization of the </w:t>
      </w:r>
      <w:r w:rsidR="003C6E24">
        <w:t xml:space="preserve">outcomes of </w:t>
      </w:r>
      <w:r w:rsidRPr="00C02FC8">
        <w:t>plenipotentiary conference</w:t>
      </w:r>
      <w:r w:rsidR="003C6E24">
        <w:t xml:space="preserve"> resolutions and decisions</w:t>
      </w:r>
      <w:r w:rsidRPr="00C02FC8">
        <w:t xml:space="preserve">, </w:t>
      </w:r>
      <w:r w:rsidR="00C02FC8" w:rsidRPr="00C02FC8">
        <w:t xml:space="preserve">which includes: </w:t>
      </w:r>
    </w:p>
    <w:p w14:paraId="5D58FCDD" w14:textId="7D3E704E" w:rsidR="00C02FC8" w:rsidRPr="00C02FC8" w:rsidRDefault="009B657E" w:rsidP="009B657E">
      <w:pPr>
        <w:pStyle w:val="enumlev1"/>
        <w:jc w:val="both"/>
      </w:pPr>
      <w:r>
        <w:rPr>
          <w:rFonts w:cs="Calibri"/>
        </w:rPr>
        <w:t>–</w:t>
      </w:r>
      <w:r w:rsidR="003F70EF" w:rsidRPr="00C02FC8">
        <w:rPr>
          <w:rFonts w:cs="Calibri"/>
        </w:rPr>
        <w:tab/>
      </w:r>
      <w:r w:rsidR="00A27B85">
        <w:t>n</w:t>
      </w:r>
      <w:r w:rsidR="00C02FC8" w:rsidRPr="00C02FC8">
        <w:t xml:space="preserve">on-binding </w:t>
      </w:r>
      <w:bookmarkStart w:id="12" w:name="_Hlk209446508"/>
      <w:r w:rsidR="00402155" w:rsidRPr="003F70EF">
        <w:rPr>
          <w:i/>
          <w:iCs/>
          <w:color w:val="000000"/>
          <w:szCs w:val="24"/>
        </w:rPr>
        <w:t>Guidelines to harmonize the outcomes of PP</w:t>
      </w:r>
      <w:r w:rsidR="00A27B85" w:rsidRPr="003F70EF">
        <w:rPr>
          <w:i/>
          <w:iCs/>
          <w:color w:val="000000"/>
          <w:szCs w:val="24"/>
        </w:rPr>
        <w:t xml:space="preserve"> </w:t>
      </w:r>
      <w:r w:rsidR="00402155" w:rsidRPr="003F70EF">
        <w:rPr>
          <w:i/>
          <w:iCs/>
          <w:color w:val="000000"/>
          <w:szCs w:val="24"/>
        </w:rPr>
        <w:t xml:space="preserve">resolutions and </w:t>
      </w:r>
      <w:bookmarkEnd w:id="12"/>
      <w:r>
        <w:rPr>
          <w:i/>
          <w:iCs/>
          <w:color w:val="000000"/>
          <w:szCs w:val="24"/>
        </w:rPr>
        <w:t>decisions</w:t>
      </w:r>
      <w:r w:rsidR="00030535" w:rsidRPr="00C02FC8">
        <w:t xml:space="preserve"> already shared with </w:t>
      </w:r>
      <w:r w:rsidR="00EF6C6F">
        <w:t xml:space="preserve">the </w:t>
      </w:r>
      <w:r w:rsidR="00030535" w:rsidRPr="00C02FC8">
        <w:t>Council</w:t>
      </w:r>
      <w:r w:rsidR="00EA25CF">
        <w:t xml:space="preserve"> in June 2025 </w:t>
      </w:r>
      <w:r w:rsidR="00030535" w:rsidRPr="00C02FC8">
        <w:t>(</w:t>
      </w:r>
      <w:r w:rsidR="006A4799">
        <w:t xml:space="preserve">Doc. </w:t>
      </w:r>
      <w:hyperlink r:id="rId17" w:history="1">
        <w:proofErr w:type="spellStart"/>
        <w:r w:rsidR="00030535" w:rsidRPr="00402155">
          <w:rPr>
            <w:rStyle w:val="Hyperlink"/>
          </w:rPr>
          <w:t>C25</w:t>
        </w:r>
        <w:proofErr w:type="spellEnd"/>
        <w:r w:rsidR="00030535" w:rsidRPr="00402155">
          <w:rPr>
            <w:rStyle w:val="Hyperlink"/>
          </w:rPr>
          <w:t>/29</w:t>
        </w:r>
      </w:hyperlink>
      <w:r w:rsidR="00030535" w:rsidRPr="00C02FC8">
        <w:t>)</w:t>
      </w:r>
      <w:r w:rsidR="00EF6C6F">
        <w:t>;</w:t>
      </w:r>
    </w:p>
    <w:p w14:paraId="2F00C208" w14:textId="581C1598" w:rsidR="00C02FC8" w:rsidRPr="00C02FC8" w:rsidRDefault="009B657E" w:rsidP="009B657E">
      <w:pPr>
        <w:pStyle w:val="enumlev1"/>
        <w:jc w:val="both"/>
      </w:pPr>
      <w:r>
        <w:rPr>
          <w:rFonts w:cs="Calibri"/>
        </w:rPr>
        <w:t>–</w:t>
      </w:r>
      <w:r w:rsidR="003F70EF" w:rsidRPr="00C02FC8">
        <w:rPr>
          <w:rFonts w:cs="Calibri"/>
        </w:rPr>
        <w:tab/>
      </w:r>
      <w:r w:rsidR="00C805BA">
        <w:t>t</w:t>
      </w:r>
      <w:r w:rsidR="00030535" w:rsidRPr="00C02FC8">
        <w:t xml:space="preserve">he ITU Style Guide, and </w:t>
      </w:r>
      <w:r w:rsidR="008A1504">
        <w:t xml:space="preserve">the </w:t>
      </w:r>
      <w:r w:rsidR="00030535" w:rsidRPr="00C02FC8">
        <w:t>mapping of resolutions across ITU conferences</w:t>
      </w:r>
      <w:r w:rsidR="00C805BA">
        <w:t>;</w:t>
      </w:r>
    </w:p>
    <w:p w14:paraId="2C0CC2FA" w14:textId="2D2C238B" w:rsidR="00C02FC8" w:rsidRPr="00C02FC8" w:rsidRDefault="009B657E" w:rsidP="009B657E">
      <w:pPr>
        <w:pStyle w:val="enumlev1"/>
        <w:jc w:val="both"/>
      </w:pPr>
      <w:r>
        <w:rPr>
          <w:rFonts w:cs="Calibri"/>
        </w:rPr>
        <w:t>–</w:t>
      </w:r>
      <w:r w:rsidR="003F70EF" w:rsidRPr="00C02FC8">
        <w:rPr>
          <w:rFonts w:cs="Calibri"/>
        </w:rPr>
        <w:tab/>
      </w:r>
      <w:r w:rsidR="00C805BA">
        <w:t>a</w:t>
      </w:r>
      <w:r w:rsidR="00030535" w:rsidRPr="00C02FC8">
        <w:t xml:space="preserve"> web platform </w:t>
      </w:r>
      <w:r w:rsidR="00C02FC8" w:rsidRPr="00C02FC8">
        <w:t xml:space="preserve">that </w:t>
      </w:r>
      <w:r w:rsidR="00030535" w:rsidRPr="00C02FC8">
        <w:t xml:space="preserve">consolidates </w:t>
      </w:r>
      <w:r>
        <w:t xml:space="preserve">the </w:t>
      </w:r>
      <w:r w:rsidR="00030535" w:rsidRPr="00C02FC8">
        <w:t>implementation of PP resolutions</w:t>
      </w:r>
      <w:r w:rsidR="008A1504">
        <w:t xml:space="preserve"> since </w:t>
      </w:r>
      <w:r w:rsidR="00C805BA">
        <w:t xml:space="preserve">the </w:t>
      </w:r>
      <w:r w:rsidR="00C75E68">
        <w:t>ITU Plenipotentiary Conference 2022 (PP</w:t>
      </w:r>
      <w:r w:rsidR="00037B2A">
        <w:t>-</w:t>
      </w:r>
      <w:r w:rsidR="00C75E68">
        <w:t>22)</w:t>
      </w:r>
      <w:r w:rsidR="00C805BA">
        <w:t>;</w:t>
      </w:r>
    </w:p>
    <w:p w14:paraId="776CB56D" w14:textId="7F98ECEE" w:rsidR="00030535" w:rsidRPr="00C02FC8" w:rsidRDefault="009B657E" w:rsidP="009B657E">
      <w:pPr>
        <w:pStyle w:val="enumlev1"/>
        <w:jc w:val="both"/>
      </w:pPr>
      <w:r>
        <w:rPr>
          <w:rFonts w:cs="Calibri"/>
        </w:rPr>
        <w:t>–</w:t>
      </w:r>
      <w:r w:rsidR="003F70EF" w:rsidRPr="00C02FC8">
        <w:rPr>
          <w:rFonts w:cs="Calibri"/>
        </w:rPr>
        <w:tab/>
      </w:r>
      <w:r w:rsidR="00037B2A">
        <w:t>a</w:t>
      </w:r>
      <w:r w:rsidR="00030535" w:rsidRPr="00C02FC8">
        <w:t>n AI-based semantic mapping tool being developed to browse, search and visualize resolution actions, track overlaps, and link tasks to resources.</w:t>
      </w:r>
    </w:p>
    <w:p w14:paraId="680096FE" w14:textId="5B39D3F7" w:rsidR="00C02FC8" w:rsidRDefault="00C02FC8" w:rsidP="003F70EF">
      <w:pPr>
        <w:jc w:val="both"/>
      </w:pPr>
      <w:r w:rsidRPr="00C02FC8">
        <w:t>These tools are intended to improve coherence and assist Member States in preparing contributions for PP</w:t>
      </w:r>
      <w:r w:rsidR="00DB6305">
        <w:t>-</w:t>
      </w:r>
      <w:r w:rsidRPr="00C02FC8">
        <w:t xml:space="preserve">26, with the new tool expected to be available for testing by the January </w:t>
      </w:r>
      <w:r w:rsidR="00C75E68">
        <w:t>meeting</w:t>
      </w:r>
      <w:r w:rsidRPr="00C02FC8">
        <w:t>.</w:t>
      </w:r>
    </w:p>
    <w:p w14:paraId="44394683" w14:textId="3A438F94" w:rsidR="00C75E68" w:rsidRPr="006A4799" w:rsidRDefault="00DB6305" w:rsidP="003F70EF">
      <w:pPr>
        <w:jc w:val="both"/>
        <w:rPr>
          <w:spacing w:val="-2"/>
        </w:rPr>
      </w:pPr>
      <w:r w:rsidRPr="006A4799">
        <w:rPr>
          <w:spacing w:val="-2"/>
        </w:rPr>
        <w:t>C</w:t>
      </w:r>
      <w:r w:rsidR="00632B6E" w:rsidRPr="006A4799">
        <w:rPr>
          <w:spacing w:val="-2"/>
        </w:rPr>
        <w:t xml:space="preserve">ontributions </w:t>
      </w:r>
      <w:r w:rsidRPr="006A4799">
        <w:rPr>
          <w:spacing w:val="-2"/>
        </w:rPr>
        <w:t xml:space="preserve">were </w:t>
      </w:r>
      <w:r w:rsidR="00632B6E" w:rsidRPr="006A4799">
        <w:rPr>
          <w:spacing w:val="-2"/>
        </w:rPr>
        <w:t>received from the Russian Federation (</w:t>
      </w:r>
      <w:r w:rsidR="00C75E68" w:rsidRPr="006A4799">
        <w:rPr>
          <w:spacing w:val="-2"/>
        </w:rPr>
        <w:t>see</w:t>
      </w:r>
      <w:r w:rsidR="006A4799" w:rsidRPr="006A4799">
        <w:rPr>
          <w:spacing w:val="-2"/>
        </w:rPr>
        <w:t xml:space="preserve"> Docs</w:t>
      </w:r>
      <w:r w:rsidR="00C75E68" w:rsidRPr="006A4799">
        <w:rPr>
          <w:spacing w:val="-2"/>
        </w:rPr>
        <w:t xml:space="preserve"> </w:t>
      </w:r>
      <w:hyperlink r:id="rId18" w:tgtFrame="_blank" w:history="1">
        <w:proofErr w:type="spellStart"/>
        <w:r w:rsidR="00632B6E" w:rsidRPr="006A4799">
          <w:rPr>
            <w:rStyle w:val="Hyperlink"/>
            <w:spacing w:val="-2"/>
          </w:rPr>
          <w:t>C25</w:t>
        </w:r>
        <w:proofErr w:type="spellEnd"/>
        <w:r w:rsidR="00632B6E" w:rsidRPr="006A4799">
          <w:rPr>
            <w:rStyle w:val="Hyperlink"/>
            <w:spacing w:val="-2"/>
          </w:rPr>
          <w:t>/79</w:t>
        </w:r>
      </w:hyperlink>
      <w:r w:rsidR="004279CD" w:rsidRPr="006A4799">
        <w:rPr>
          <w:spacing w:val="-2"/>
        </w:rPr>
        <w:t xml:space="preserve"> and </w:t>
      </w:r>
      <w:hyperlink r:id="rId19" w:tgtFrame="_blank" w:history="1">
        <w:r w:rsidR="004279CD" w:rsidRPr="006A4799">
          <w:rPr>
            <w:rStyle w:val="Hyperlink"/>
            <w:spacing w:val="-2"/>
          </w:rPr>
          <w:t>CWG-SFP-3/12</w:t>
        </w:r>
      </w:hyperlink>
      <w:r w:rsidR="00632B6E" w:rsidRPr="006A4799">
        <w:rPr>
          <w:spacing w:val="-2"/>
        </w:rPr>
        <w:t>)</w:t>
      </w:r>
      <w:r w:rsidR="00C75E68" w:rsidRPr="006A4799">
        <w:rPr>
          <w:spacing w:val="-2"/>
        </w:rPr>
        <w:t xml:space="preserve"> on streamlining resolutions;</w:t>
      </w:r>
      <w:r w:rsidR="00632B6E" w:rsidRPr="006A4799">
        <w:rPr>
          <w:spacing w:val="-2"/>
        </w:rPr>
        <w:t xml:space="preserve"> </w:t>
      </w:r>
      <w:r w:rsidR="00C75E68" w:rsidRPr="006A4799">
        <w:rPr>
          <w:spacing w:val="-2"/>
        </w:rPr>
        <w:t>a m</w:t>
      </w:r>
      <w:r w:rsidR="00632B6E" w:rsidRPr="006A4799">
        <w:rPr>
          <w:spacing w:val="-2"/>
        </w:rPr>
        <w:t>ulti</w:t>
      </w:r>
      <w:r w:rsidR="005A3F44" w:rsidRPr="006A4799">
        <w:rPr>
          <w:spacing w:val="-2"/>
        </w:rPr>
        <w:t>-</w:t>
      </w:r>
      <w:r w:rsidR="00632B6E" w:rsidRPr="006A4799">
        <w:rPr>
          <w:spacing w:val="-2"/>
        </w:rPr>
        <w:t>country contribution from Saudi Arabia</w:t>
      </w:r>
      <w:r w:rsidR="0081638C" w:rsidRPr="006A4799">
        <w:rPr>
          <w:spacing w:val="-2"/>
        </w:rPr>
        <w:t xml:space="preserve">, Kuwait, Morocco, Qatar, South Africa and Tunisia </w:t>
      </w:r>
      <w:r w:rsidR="00632B6E" w:rsidRPr="006A4799">
        <w:rPr>
          <w:spacing w:val="-2"/>
        </w:rPr>
        <w:t>(</w:t>
      </w:r>
      <w:r w:rsidR="006A4799">
        <w:rPr>
          <w:spacing w:val="-2"/>
        </w:rPr>
        <w:t xml:space="preserve">Doc. </w:t>
      </w:r>
      <w:hyperlink r:id="rId20" w:tgtFrame="_blank" w:history="1">
        <w:proofErr w:type="spellStart"/>
        <w:r w:rsidR="0081638C" w:rsidRPr="006A4799">
          <w:rPr>
            <w:rStyle w:val="Hyperlink"/>
            <w:spacing w:val="-2"/>
          </w:rPr>
          <w:t>C25</w:t>
        </w:r>
        <w:proofErr w:type="spellEnd"/>
        <w:r w:rsidR="0081638C" w:rsidRPr="006A4799">
          <w:rPr>
            <w:rStyle w:val="Hyperlink"/>
            <w:spacing w:val="-2"/>
          </w:rPr>
          <w:t>/91</w:t>
        </w:r>
      </w:hyperlink>
      <w:r w:rsidR="00632B6E" w:rsidRPr="006A4799">
        <w:rPr>
          <w:spacing w:val="-2"/>
        </w:rPr>
        <w:t>)</w:t>
      </w:r>
      <w:r w:rsidR="00C75E68" w:rsidRPr="006A4799">
        <w:rPr>
          <w:spacing w:val="-2"/>
        </w:rPr>
        <w:t xml:space="preserve"> on the Guidelines</w:t>
      </w:r>
      <w:r w:rsidR="00632B6E" w:rsidRPr="006A4799">
        <w:rPr>
          <w:spacing w:val="-2"/>
        </w:rPr>
        <w:t xml:space="preserve">, </w:t>
      </w:r>
      <w:r w:rsidR="00BE6861" w:rsidRPr="006A4799">
        <w:rPr>
          <w:spacing w:val="-2"/>
        </w:rPr>
        <w:t xml:space="preserve">and a </w:t>
      </w:r>
      <w:r w:rsidR="0081638C" w:rsidRPr="006A4799">
        <w:rPr>
          <w:spacing w:val="-2"/>
        </w:rPr>
        <w:t>multi</w:t>
      </w:r>
      <w:r w:rsidR="00BE6861" w:rsidRPr="006A4799">
        <w:rPr>
          <w:spacing w:val="-2"/>
        </w:rPr>
        <w:t>-</w:t>
      </w:r>
      <w:r w:rsidR="0081638C" w:rsidRPr="006A4799">
        <w:rPr>
          <w:spacing w:val="-2"/>
        </w:rPr>
        <w:t>country request to the Secretariat to provide detailed information</w:t>
      </w:r>
      <w:r w:rsidR="0081638C" w:rsidRPr="006A4799">
        <w:rPr>
          <w:i/>
          <w:iCs/>
          <w:spacing w:val="-2"/>
        </w:rPr>
        <w:t xml:space="preserve"> </w:t>
      </w:r>
      <w:r w:rsidR="0081638C" w:rsidRPr="006A4799">
        <w:rPr>
          <w:spacing w:val="-2"/>
        </w:rPr>
        <w:t>on resources for the activities of the General Secretariat and the three sectors related to implementing resolutions on similar topics</w:t>
      </w:r>
      <w:r w:rsidR="00D579AC" w:rsidRPr="006A4799">
        <w:rPr>
          <w:spacing w:val="-2"/>
        </w:rPr>
        <w:t>, from</w:t>
      </w:r>
      <w:r w:rsidR="0081638C" w:rsidRPr="006A4799">
        <w:rPr>
          <w:spacing w:val="-2"/>
        </w:rPr>
        <w:t xml:space="preserve"> Australia, Bulgaria, Canada, </w:t>
      </w:r>
      <w:r w:rsidR="003F7BC3" w:rsidRPr="006A4799">
        <w:rPr>
          <w:spacing w:val="-2"/>
        </w:rPr>
        <w:t xml:space="preserve">the </w:t>
      </w:r>
      <w:r w:rsidR="0081638C" w:rsidRPr="006A4799">
        <w:rPr>
          <w:spacing w:val="-2"/>
        </w:rPr>
        <w:t xml:space="preserve">Czech Republic, Denmark, France, Greece and Romania </w:t>
      </w:r>
      <w:r w:rsidR="00632B6E" w:rsidRPr="006A4799">
        <w:rPr>
          <w:spacing w:val="-2"/>
        </w:rPr>
        <w:t>(</w:t>
      </w:r>
      <w:r w:rsidR="00C75E68" w:rsidRPr="006A4799">
        <w:rPr>
          <w:spacing w:val="-2"/>
        </w:rPr>
        <w:t xml:space="preserve">see </w:t>
      </w:r>
      <w:r w:rsidR="006A4799">
        <w:rPr>
          <w:spacing w:val="-2"/>
        </w:rPr>
        <w:t xml:space="preserve">Doc. </w:t>
      </w:r>
      <w:hyperlink r:id="rId21" w:tgtFrame="_blank" w:history="1">
        <w:r w:rsidR="0081638C" w:rsidRPr="006A4799">
          <w:rPr>
            <w:rStyle w:val="Hyperlink"/>
            <w:spacing w:val="-2"/>
          </w:rPr>
          <w:t>CWG-SFP-3/9</w:t>
        </w:r>
      </w:hyperlink>
      <w:r w:rsidR="004279CD" w:rsidRPr="006A4799">
        <w:rPr>
          <w:spacing w:val="-2"/>
        </w:rPr>
        <w:t>)</w:t>
      </w:r>
      <w:r w:rsidR="00632B6E" w:rsidRPr="006A4799">
        <w:rPr>
          <w:spacing w:val="-2"/>
        </w:rPr>
        <w:t xml:space="preserve">. </w:t>
      </w:r>
    </w:p>
    <w:p w14:paraId="6B92F3EE" w14:textId="0D6A34B0" w:rsidR="00402155" w:rsidRDefault="00030535" w:rsidP="003F70EF">
      <w:pPr>
        <w:jc w:val="both"/>
      </w:pPr>
      <w:r w:rsidRPr="00030535">
        <w:lastRenderedPageBreak/>
        <w:t xml:space="preserve">The </w:t>
      </w:r>
      <w:r>
        <w:t xml:space="preserve">members </w:t>
      </w:r>
      <w:r w:rsidRPr="00030535">
        <w:t>endorsed continuing a voluntary, member</w:t>
      </w:r>
      <w:r w:rsidR="003F7BC3">
        <w:t>-</w:t>
      </w:r>
      <w:r w:rsidRPr="00030535">
        <w:t xml:space="preserve">driven streamlining approach; </w:t>
      </w:r>
      <w:r>
        <w:t>t</w:t>
      </w:r>
      <w:r w:rsidRPr="00030535">
        <w:t xml:space="preserve">he Chair tasked Brazil to coordinate </w:t>
      </w:r>
      <w:r w:rsidR="00FD17A3">
        <w:t xml:space="preserve">informal </w:t>
      </w:r>
      <w:r w:rsidR="00C75E68">
        <w:t xml:space="preserve">consultations </w:t>
      </w:r>
      <w:r w:rsidR="00C75E68" w:rsidRPr="00C75E68">
        <w:t>(no line</w:t>
      </w:r>
      <w:r w:rsidR="00E015B1">
        <w:t>-</w:t>
      </w:r>
      <w:r w:rsidR="00C75E68" w:rsidRPr="00C75E68">
        <w:t>by</w:t>
      </w:r>
      <w:r w:rsidR="00927263">
        <w:t>-</w:t>
      </w:r>
      <w:r w:rsidR="00C75E68" w:rsidRPr="00C75E68">
        <w:t xml:space="preserve">line reopening) </w:t>
      </w:r>
      <w:r w:rsidR="00C75E68">
        <w:t xml:space="preserve">on the </w:t>
      </w:r>
      <w:r w:rsidR="00402155" w:rsidRPr="00396DBA">
        <w:rPr>
          <w:color w:val="000000"/>
          <w:szCs w:val="24"/>
        </w:rPr>
        <w:t>Guidelines to harmonize the outcomes of PP</w:t>
      </w:r>
      <w:r w:rsidR="00927263" w:rsidRPr="00396DBA">
        <w:rPr>
          <w:color w:val="000000"/>
          <w:szCs w:val="24"/>
        </w:rPr>
        <w:t xml:space="preserve"> </w:t>
      </w:r>
      <w:r w:rsidR="00402155" w:rsidRPr="00396DBA">
        <w:rPr>
          <w:color w:val="000000"/>
          <w:szCs w:val="24"/>
        </w:rPr>
        <w:t>resolutions and decision</w:t>
      </w:r>
      <w:r w:rsidR="00C75E68">
        <w:t xml:space="preserve"> </w:t>
      </w:r>
      <w:r w:rsidRPr="00030535">
        <w:t>to make explicit that the</w:t>
      </w:r>
      <w:r w:rsidR="00C75E68">
        <w:t xml:space="preserve">y </w:t>
      </w:r>
      <w:r w:rsidRPr="00030535">
        <w:t>are voluntary</w:t>
      </w:r>
      <w:r w:rsidR="005069FE">
        <w:t xml:space="preserve"> and </w:t>
      </w:r>
      <w:r w:rsidRPr="00030535">
        <w:t>non</w:t>
      </w:r>
      <w:r w:rsidR="005069FE">
        <w:t>-</w:t>
      </w:r>
      <w:r w:rsidRPr="00030535">
        <w:t>binding</w:t>
      </w:r>
      <w:r w:rsidR="00FD17A3">
        <w:t>.</w:t>
      </w:r>
    </w:p>
    <w:p w14:paraId="76FA455D" w14:textId="467AEF45" w:rsidR="00030535" w:rsidRPr="00030535" w:rsidRDefault="00402155" w:rsidP="003F70EF">
      <w:pPr>
        <w:jc w:val="both"/>
      </w:pPr>
      <w:r>
        <w:t>The meeting agreed</w:t>
      </w:r>
      <w:r w:rsidR="00FD17A3">
        <w:t xml:space="preserve"> to instruct </w:t>
      </w:r>
      <w:r w:rsidR="00030535" w:rsidRPr="00030535">
        <w:t xml:space="preserve">the Secretariat to </w:t>
      </w:r>
      <w:r w:rsidR="00C75E68">
        <w:t>consider</w:t>
      </w:r>
      <w:r w:rsidR="00C75E68" w:rsidRPr="00030535">
        <w:t xml:space="preserve"> </w:t>
      </w:r>
      <w:r w:rsidR="00030535" w:rsidRPr="00030535">
        <w:t xml:space="preserve">the </w:t>
      </w:r>
      <w:r w:rsidR="00C75E68">
        <w:t>contributions received</w:t>
      </w:r>
      <w:r w:rsidR="00030535" w:rsidRPr="00030535">
        <w:t xml:space="preserve"> </w:t>
      </w:r>
      <w:r w:rsidR="003F5B2A">
        <w:t>in</w:t>
      </w:r>
      <w:r w:rsidR="003F5B2A" w:rsidRPr="00030535">
        <w:t xml:space="preserve"> </w:t>
      </w:r>
      <w:r w:rsidR="00030535" w:rsidRPr="00030535">
        <w:t>its</w:t>
      </w:r>
      <w:r w:rsidR="00756649">
        <w:t> </w:t>
      </w:r>
      <w:r w:rsidR="00030535" w:rsidRPr="00030535">
        <w:t>ongoing work</w:t>
      </w:r>
      <w:r w:rsidR="003F5B2A">
        <w:t>,</w:t>
      </w:r>
      <w:r w:rsidR="00030535" w:rsidRPr="00030535">
        <w:t xml:space="preserve"> i.e., continue the mapping/AI and operational</w:t>
      </w:r>
      <w:r w:rsidR="003F5B2A">
        <w:t>-</w:t>
      </w:r>
      <w:r w:rsidR="00030535" w:rsidRPr="00030535">
        <w:t xml:space="preserve">planning visibility, and </w:t>
      </w:r>
      <w:r w:rsidR="003F5B2A">
        <w:t xml:space="preserve">to </w:t>
      </w:r>
      <w:r w:rsidR="00030535" w:rsidRPr="00030535">
        <w:t>reflect cross</w:t>
      </w:r>
      <w:r w:rsidR="003F5B2A">
        <w:t>-</w:t>
      </w:r>
      <w:r w:rsidR="00030535" w:rsidRPr="00030535">
        <w:t>sector activities, resources</w:t>
      </w:r>
      <w:r w:rsidR="0062087A">
        <w:t xml:space="preserve"> and </w:t>
      </w:r>
      <w:r w:rsidR="00030535" w:rsidRPr="00030535">
        <w:t xml:space="preserve">overlaps, </w:t>
      </w:r>
      <w:r w:rsidR="0062087A">
        <w:t xml:space="preserve">in </w:t>
      </w:r>
      <w:r w:rsidR="00C75E68">
        <w:t xml:space="preserve">the documents to be presented to the fourth meeting </w:t>
      </w:r>
      <w:r w:rsidR="00030535" w:rsidRPr="00030535">
        <w:t xml:space="preserve">and </w:t>
      </w:r>
      <w:r w:rsidR="00C75E68">
        <w:t xml:space="preserve">to be used for </w:t>
      </w:r>
      <w:r w:rsidR="00030535" w:rsidRPr="00030535">
        <w:t>subsequent PP</w:t>
      </w:r>
      <w:r w:rsidR="0062087A">
        <w:t>-</w:t>
      </w:r>
      <w:r w:rsidR="00030535" w:rsidRPr="00030535">
        <w:t>26 prep</w:t>
      </w:r>
      <w:r w:rsidR="00C75E68">
        <w:t>arations</w:t>
      </w:r>
      <w:r w:rsidR="00FD17A3">
        <w:t>; and to submit the outcome of the informal consultation (see</w:t>
      </w:r>
      <w:r w:rsidR="00756649">
        <w:t xml:space="preserve"> Doc.</w:t>
      </w:r>
      <w:r w:rsidR="00FD17A3">
        <w:t xml:space="preserve"> </w:t>
      </w:r>
      <w:hyperlink r:id="rId22" w:history="1">
        <w:r w:rsidR="00756649">
          <w:rPr>
            <w:rStyle w:val="Hyperlink"/>
          </w:rPr>
          <w:t>CWG-SFP-3/DT/1(</w:t>
        </w:r>
        <w:proofErr w:type="spellStart"/>
        <w:r w:rsidR="00756649">
          <w:rPr>
            <w:rStyle w:val="Hyperlink"/>
          </w:rPr>
          <w:t>Rev.1</w:t>
        </w:r>
        <w:proofErr w:type="spellEnd"/>
        <w:r w:rsidR="00756649">
          <w:rPr>
            <w:rStyle w:val="Hyperlink"/>
          </w:rPr>
          <w:t>)</w:t>
        </w:r>
      </w:hyperlink>
      <w:r w:rsidR="00FD17A3">
        <w:t xml:space="preserve">) to </w:t>
      </w:r>
      <w:r w:rsidR="007D235D">
        <w:t xml:space="preserve">the </w:t>
      </w:r>
      <w:r w:rsidR="00FD17A3">
        <w:t xml:space="preserve">Council 2026 for consideration. </w:t>
      </w:r>
    </w:p>
    <w:p w14:paraId="1C10C550" w14:textId="7284F50B" w:rsidR="006A49FA" w:rsidRPr="0035720E" w:rsidRDefault="00736A70" w:rsidP="009B657E">
      <w:pPr>
        <w:pStyle w:val="Headingb"/>
      </w:pPr>
      <w:bookmarkStart w:id="13" w:name="_Hlk209111830"/>
      <w:r>
        <w:t xml:space="preserve">Updates </w:t>
      </w:r>
      <w:r w:rsidR="00294068">
        <w:t>to</w:t>
      </w:r>
      <w:r>
        <w:t xml:space="preserve"> Resolution 71 (Rev. Bucharest, 2022) – </w:t>
      </w:r>
      <w:r w:rsidR="002B2975">
        <w:t>annexes</w:t>
      </w:r>
      <w:bookmarkEnd w:id="13"/>
    </w:p>
    <w:p w14:paraId="230B810B" w14:textId="1E2D067B" w:rsidR="0055609E" w:rsidRDefault="006A49FA" w:rsidP="007E13B6">
      <w:pPr>
        <w:jc w:val="both"/>
      </w:pPr>
      <w:r w:rsidRPr="0035720E">
        <w:t xml:space="preserve">The Secretariat </w:t>
      </w:r>
      <w:r w:rsidR="0055609E">
        <w:t xml:space="preserve">presented the situational analysis for the ITU strategic and financial plans </w:t>
      </w:r>
      <w:r w:rsidR="00CE7E95">
        <w:t>2028-2031</w:t>
      </w:r>
      <w:r w:rsidR="0055609E">
        <w:t xml:space="preserve"> (</w:t>
      </w:r>
      <w:r w:rsidR="00756649">
        <w:t xml:space="preserve">Doc. </w:t>
      </w:r>
      <w:hyperlink r:id="rId23" w:tgtFrame="_blank" w:history="1">
        <w:r w:rsidR="0055609E" w:rsidRPr="0055609E">
          <w:rPr>
            <w:rStyle w:val="Hyperlink"/>
          </w:rPr>
          <w:t>CWG-SFP-3/3</w:t>
        </w:r>
      </w:hyperlink>
      <w:r w:rsidR="0055609E">
        <w:t>)</w:t>
      </w:r>
      <w:r w:rsidR="00294068">
        <w:t>.</w:t>
      </w:r>
      <w:r w:rsidR="00391AB0">
        <w:t xml:space="preserve"> </w:t>
      </w:r>
      <w:r w:rsidRPr="0035720E">
        <w:t>Contributions received from China (</w:t>
      </w:r>
      <w:r w:rsidR="00756649">
        <w:t xml:space="preserve">Doc. </w:t>
      </w:r>
      <w:hyperlink r:id="rId24" w:tgtFrame="_blank" w:history="1">
        <w:r w:rsidR="0055609E" w:rsidRPr="0055609E">
          <w:rPr>
            <w:rStyle w:val="Hyperlink"/>
          </w:rPr>
          <w:t>CWG-SFP-3/11</w:t>
        </w:r>
      </w:hyperlink>
      <w:r w:rsidRPr="0035720E">
        <w:t>)</w:t>
      </w:r>
      <w:r w:rsidR="0055609E">
        <w:t xml:space="preserve"> and the</w:t>
      </w:r>
      <w:r w:rsidRPr="0035720E">
        <w:t xml:space="preserve"> </w:t>
      </w:r>
      <w:r w:rsidR="0055609E">
        <w:t xml:space="preserve">Russian Federation </w:t>
      </w:r>
      <w:r w:rsidRPr="0035720E">
        <w:t>(</w:t>
      </w:r>
      <w:r w:rsidR="00756649">
        <w:t xml:space="preserve">Doc. </w:t>
      </w:r>
      <w:hyperlink r:id="rId25" w:tgtFrame="_blank" w:history="1">
        <w:r w:rsidR="0055609E" w:rsidRPr="0055609E">
          <w:rPr>
            <w:rStyle w:val="Hyperlink"/>
          </w:rPr>
          <w:t>CWG-SFP-3/15</w:t>
        </w:r>
      </w:hyperlink>
      <w:r w:rsidRPr="0035720E">
        <w:t>) were presented.</w:t>
      </w:r>
      <w:r w:rsidR="006A3CBD">
        <w:t xml:space="preserve"> </w:t>
      </w:r>
      <w:r w:rsidR="00CE7E95">
        <w:t>T</w:t>
      </w:r>
      <w:r w:rsidR="00CE7E95" w:rsidRPr="00CE7E95">
        <w:t xml:space="preserve">he Chair </w:t>
      </w:r>
      <w:r w:rsidR="00294068">
        <w:t>invited CWG</w:t>
      </w:r>
      <w:r w:rsidR="00391AB0">
        <w:t>-</w:t>
      </w:r>
      <w:r w:rsidR="00294068">
        <w:t xml:space="preserve">SFP members to present concrete contributions to the situational analysis and tasked the CWG </w:t>
      </w:r>
      <w:r w:rsidR="00B56D71">
        <w:t>vice-chairs</w:t>
      </w:r>
      <w:r w:rsidR="00294068">
        <w:t xml:space="preserve"> to share the draft text with their respective regions and to send proposals, if any, to the </w:t>
      </w:r>
      <w:r w:rsidR="00B56D71">
        <w:t xml:space="preserve">Secretariat </w:t>
      </w:r>
      <w:r w:rsidR="00294068">
        <w:t xml:space="preserve">by </w:t>
      </w:r>
      <w:r w:rsidR="00B56D71">
        <w:t xml:space="preserve">10 </w:t>
      </w:r>
      <w:r w:rsidR="00294068">
        <w:t xml:space="preserve">October 2025. The </w:t>
      </w:r>
      <w:r w:rsidR="00CE7E95" w:rsidRPr="00CE7E95">
        <w:t xml:space="preserve">Secretariat </w:t>
      </w:r>
      <w:r w:rsidR="00294068">
        <w:t xml:space="preserve">was instructed to prepare </w:t>
      </w:r>
      <w:r w:rsidR="00CE7E95" w:rsidRPr="00CE7E95">
        <w:t xml:space="preserve">an updated draft </w:t>
      </w:r>
      <w:r w:rsidR="00294068">
        <w:t xml:space="preserve">text </w:t>
      </w:r>
      <w:r w:rsidR="00CE7E95" w:rsidRPr="00CE7E95">
        <w:t xml:space="preserve">for </w:t>
      </w:r>
      <w:r w:rsidR="004B326E">
        <w:t xml:space="preserve">the </w:t>
      </w:r>
      <w:r w:rsidR="00CE7E95" w:rsidRPr="00CE7E95">
        <w:t>January</w:t>
      </w:r>
      <w:r w:rsidR="00294068">
        <w:t xml:space="preserve"> meeting</w:t>
      </w:r>
      <w:r w:rsidR="00CE7E95" w:rsidRPr="00CE7E95">
        <w:t>.</w:t>
      </w:r>
    </w:p>
    <w:p w14:paraId="217D7C0C" w14:textId="405E6537" w:rsidR="0055609E" w:rsidRDefault="0055609E" w:rsidP="007E13B6">
      <w:pPr>
        <w:jc w:val="both"/>
      </w:pPr>
      <w:r>
        <w:t>Additionally, the Secretariat presented the ITU strategic and financial plans glossary of terms (</w:t>
      </w:r>
      <w:r w:rsidR="00294068">
        <w:t xml:space="preserve">see </w:t>
      </w:r>
      <w:r w:rsidR="00756649">
        <w:t xml:space="preserve">Doc. </w:t>
      </w:r>
      <w:hyperlink r:id="rId26" w:tgtFrame="_blank" w:history="1">
        <w:r w:rsidRPr="0055609E">
          <w:rPr>
            <w:rStyle w:val="Hyperlink"/>
          </w:rPr>
          <w:t>CWG-SFP-3/4</w:t>
        </w:r>
      </w:hyperlink>
      <w:r>
        <w:t>)</w:t>
      </w:r>
      <w:r w:rsidR="00294068">
        <w:t>, currently contained as Annex 3 to Resolution 71 (Rev. Bucharest, 2022).</w:t>
      </w:r>
    </w:p>
    <w:p w14:paraId="2D90C06C" w14:textId="67BAEC7F" w:rsidR="00294068" w:rsidRPr="0093782C" w:rsidRDefault="00294068" w:rsidP="007E13B6">
      <w:pPr>
        <w:jc w:val="both"/>
        <w:rPr>
          <w:spacing w:val="-2"/>
        </w:rPr>
      </w:pPr>
      <w:r w:rsidRPr="0093782C">
        <w:rPr>
          <w:spacing w:val="-2"/>
        </w:rPr>
        <w:t>A c</w:t>
      </w:r>
      <w:r w:rsidR="0055609E" w:rsidRPr="0093782C">
        <w:rPr>
          <w:spacing w:val="-2"/>
        </w:rPr>
        <w:t>ontribution from the Russian Federation (</w:t>
      </w:r>
      <w:r w:rsidR="00756649" w:rsidRPr="0093782C">
        <w:rPr>
          <w:spacing w:val="-2"/>
        </w:rPr>
        <w:t xml:space="preserve">Doc. </w:t>
      </w:r>
      <w:hyperlink r:id="rId27" w:tgtFrame="_blank" w:history="1">
        <w:r w:rsidR="0055609E" w:rsidRPr="0093782C">
          <w:rPr>
            <w:rStyle w:val="Hyperlink"/>
            <w:spacing w:val="-2"/>
          </w:rPr>
          <w:t>CWG-SFP-3/14</w:t>
        </w:r>
      </w:hyperlink>
      <w:r w:rsidR="0055609E" w:rsidRPr="0093782C">
        <w:rPr>
          <w:spacing w:val="-2"/>
        </w:rPr>
        <w:t xml:space="preserve">) </w:t>
      </w:r>
      <w:r w:rsidRPr="0093782C">
        <w:rPr>
          <w:spacing w:val="-2"/>
        </w:rPr>
        <w:t xml:space="preserve">was </w:t>
      </w:r>
      <w:r w:rsidR="0055609E" w:rsidRPr="0093782C">
        <w:rPr>
          <w:spacing w:val="-2"/>
        </w:rPr>
        <w:t xml:space="preserve">presented. </w:t>
      </w:r>
      <w:r w:rsidR="00CE7E95" w:rsidRPr="0093782C">
        <w:rPr>
          <w:spacing w:val="-2"/>
        </w:rPr>
        <w:t xml:space="preserve">The </w:t>
      </w:r>
      <w:r w:rsidR="00F8321D" w:rsidRPr="0093782C">
        <w:rPr>
          <w:spacing w:val="-2"/>
        </w:rPr>
        <w:t xml:space="preserve">Secretariat proposed </w:t>
      </w:r>
      <w:r w:rsidR="00CB072C" w:rsidRPr="0093782C">
        <w:rPr>
          <w:spacing w:val="-2"/>
        </w:rPr>
        <w:t>aligning</w:t>
      </w:r>
      <w:r w:rsidR="00F8321D" w:rsidRPr="0093782C">
        <w:rPr>
          <w:spacing w:val="-2"/>
        </w:rPr>
        <w:t xml:space="preserve"> </w:t>
      </w:r>
      <w:r w:rsidRPr="0093782C">
        <w:rPr>
          <w:spacing w:val="-2"/>
        </w:rPr>
        <w:t xml:space="preserve">the </w:t>
      </w:r>
      <w:r w:rsidR="00F8321D" w:rsidRPr="0093782C">
        <w:rPr>
          <w:spacing w:val="-2"/>
        </w:rPr>
        <w:t xml:space="preserve">glossary </w:t>
      </w:r>
      <w:r w:rsidRPr="0093782C">
        <w:rPr>
          <w:spacing w:val="-2"/>
        </w:rPr>
        <w:t>of terms with the UN Results</w:t>
      </w:r>
      <w:r w:rsidR="00CB072C" w:rsidRPr="0093782C">
        <w:rPr>
          <w:spacing w:val="-2"/>
        </w:rPr>
        <w:t>-</w:t>
      </w:r>
      <w:r w:rsidRPr="0093782C">
        <w:rPr>
          <w:spacing w:val="-2"/>
        </w:rPr>
        <w:t>Based Management (</w:t>
      </w:r>
      <w:proofErr w:type="spellStart"/>
      <w:r w:rsidRPr="0093782C">
        <w:rPr>
          <w:spacing w:val="-2"/>
        </w:rPr>
        <w:t>RBM</w:t>
      </w:r>
      <w:proofErr w:type="spellEnd"/>
      <w:r w:rsidRPr="0093782C">
        <w:rPr>
          <w:spacing w:val="-2"/>
        </w:rPr>
        <w:t>) Handbook, to enhance application of the RBM approach in the development of the 2028</w:t>
      </w:r>
      <w:r w:rsidR="00E03B74" w:rsidRPr="0093782C">
        <w:rPr>
          <w:spacing w:val="-2"/>
        </w:rPr>
        <w:t>-</w:t>
      </w:r>
      <w:r w:rsidRPr="0093782C">
        <w:rPr>
          <w:spacing w:val="-2"/>
        </w:rPr>
        <w:t>2031 plans</w:t>
      </w:r>
      <w:r w:rsidR="007509B5" w:rsidRPr="0093782C">
        <w:rPr>
          <w:spacing w:val="-2"/>
        </w:rPr>
        <w:t>, a</w:t>
      </w:r>
      <w:r w:rsidRPr="0093782C">
        <w:rPr>
          <w:spacing w:val="-2"/>
        </w:rPr>
        <w:t xml:space="preserve">dding some terms such as </w:t>
      </w:r>
      <w:r w:rsidR="00F8321D" w:rsidRPr="0093782C">
        <w:rPr>
          <w:spacing w:val="-2"/>
        </w:rPr>
        <w:t>baseline</w:t>
      </w:r>
      <w:r w:rsidRPr="0093782C">
        <w:rPr>
          <w:spacing w:val="-2"/>
        </w:rPr>
        <w:t xml:space="preserve">, </w:t>
      </w:r>
      <w:r w:rsidR="00F8321D" w:rsidRPr="0093782C">
        <w:rPr>
          <w:spacing w:val="-2"/>
        </w:rPr>
        <w:t>benchmark</w:t>
      </w:r>
      <w:r w:rsidRPr="0093782C">
        <w:rPr>
          <w:spacing w:val="-2"/>
        </w:rPr>
        <w:t xml:space="preserve">, </w:t>
      </w:r>
      <w:r w:rsidR="007509B5" w:rsidRPr="0093782C">
        <w:rPr>
          <w:spacing w:val="-2"/>
        </w:rPr>
        <w:t xml:space="preserve">and </w:t>
      </w:r>
      <w:r w:rsidR="00F8321D" w:rsidRPr="0093782C">
        <w:rPr>
          <w:spacing w:val="-2"/>
        </w:rPr>
        <w:t>impact</w:t>
      </w:r>
      <w:r w:rsidRPr="0093782C">
        <w:rPr>
          <w:spacing w:val="-2"/>
        </w:rPr>
        <w:t xml:space="preserve">, </w:t>
      </w:r>
      <w:r w:rsidR="00F8321D" w:rsidRPr="0093782C">
        <w:rPr>
          <w:spacing w:val="-2"/>
        </w:rPr>
        <w:t xml:space="preserve">and </w:t>
      </w:r>
      <w:r w:rsidRPr="0093782C">
        <w:rPr>
          <w:spacing w:val="-2"/>
        </w:rPr>
        <w:t>aligning others</w:t>
      </w:r>
      <w:r w:rsidR="00766FA1" w:rsidRPr="0093782C">
        <w:rPr>
          <w:spacing w:val="-2"/>
        </w:rPr>
        <w:t>.</w:t>
      </w:r>
      <w:r w:rsidRPr="0093782C">
        <w:rPr>
          <w:spacing w:val="-2"/>
        </w:rPr>
        <w:t xml:space="preserve"> </w:t>
      </w:r>
    </w:p>
    <w:p w14:paraId="78FB5FDB" w14:textId="43D876B9" w:rsidR="00F8321D" w:rsidRPr="0035720E" w:rsidRDefault="00294068" w:rsidP="007E13B6">
      <w:pPr>
        <w:jc w:val="both"/>
      </w:pPr>
      <w:r>
        <w:t>A</w:t>
      </w:r>
      <w:r w:rsidR="00F8321D" w:rsidRPr="00F8321D">
        <w:t xml:space="preserve">fter discussion, the </w:t>
      </w:r>
      <w:r w:rsidR="00611E42">
        <w:t xml:space="preserve">meeting </w:t>
      </w:r>
      <w:r w:rsidR="00F8321D" w:rsidRPr="00F8321D">
        <w:t>concluded</w:t>
      </w:r>
      <w:r w:rsidR="00CE7E95" w:rsidRPr="00CE7E95">
        <w:t xml:space="preserve"> that</w:t>
      </w:r>
      <w:r w:rsidR="00F8321D" w:rsidRPr="00F8321D">
        <w:t xml:space="preserve"> </w:t>
      </w:r>
      <w:r w:rsidR="00B21C01">
        <w:t xml:space="preserve">the </w:t>
      </w:r>
      <w:r w:rsidR="00611E42">
        <w:t xml:space="preserve">proposals received from the Russian Federation could be </w:t>
      </w:r>
      <w:r w:rsidR="007D4EF0">
        <w:t>considered,</w:t>
      </w:r>
      <w:r w:rsidR="00B21C01">
        <w:t xml:space="preserve"> </w:t>
      </w:r>
      <w:r w:rsidR="00611E42">
        <w:t xml:space="preserve">and </w:t>
      </w:r>
      <w:r w:rsidR="00B21C01">
        <w:t xml:space="preserve">that </w:t>
      </w:r>
      <w:r w:rsidR="00F8321D" w:rsidRPr="00F8321D">
        <w:t xml:space="preserve">the glossary </w:t>
      </w:r>
      <w:r w:rsidR="00611E42">
        <w:t xml:space="preserve">of terms </w:t>
      </w:r>
      <w:r w:rsidR="00CE7E95" w:rsidRPr="00CE7E95">
        <w:t xml:space="preserve">will be treated </w:t>
      </w:r>
      <w:r w:rsidR="00F8321D" w:rsidRPr="00F8321D">
        <w:t>as a living document</w:t>
      </w:r>
      <w:r w:rsidR="00A90DA0">
        <w:t xml:space="preserve"> and</w:t>
      </w:r>
      <w:r w:rsidR="00F8321D" w:rsidRPr="00F8321D">
        <w:t xml:space="preserve"> </w:t>
      </w:r>
      <w:r w:rsidR="00B21C01">
        <w:t xml:space="preserve">not finalized </w:t>
      </w:r>
      <w:r w:rsidR="00611E42">
        <w:t xml:space="preserve">until the draft new </w:t>
      </w:r>
      <w:r w:rsidR="00A90DA0">
        <w:t>s</w:t>
      </w:r>
      <w:r w:rsidR="00A90DA0" w:rsidRPr="00F8321D">
        <w:t xml:space="preserve">trategic </w:t>
      </w:r>
      <w:r w:rsidR="00A90DA0">
        <w:t>p</w:t>
      </w:r>
      <w:r w:rsidR="00F8321D" w:rsidRPr="00F8321D">
        <w:t>lan</w:t>
      </w:r>
      <w:r w:rsidR="00611E42">
        <w:t xml:space="preserve"> </w:t>
      </w:r>
      <w:r w:rsidR="00A90DA0">
        <w:t>is</w:t>
      </w:r>
      <w:r w:rsidR="00611E42">
        <w:t xml:space="preserve"> agreed</w:t>
      </w:r>
      <w:r w:rsidR="00F8321D" w:rsidRPr="00F8321D">
        <w:t>.</w:t>
      </w:r>
    </w:p>
    <w:p w14:paraId="5FEEE0EA" w14:textId="624F6BF3" w:rsidR="00F84C49" w:rsidRDefault="00736A70" w:rsidP="009B657E">
      <w:pPr>
        <w:pStyle w:val="Headingb"/>
      </w:pPr>
      <w:r>
        <w:t xml:space="preserve">Summary of </w:t>
      </w:r>
      <w:r w:rsidR="00611E42">
        <w:t xml:space="preserve">the </w:t>
      </w:r>
      <w:r>
        <w:t>ITU World Café 2025</w:t>
      </w:r>
    </w:p>
    <w:p w14:paraId="08E95996" w14:textId="75EA0ABA" w:rsidR="00415370" w:rsidRDefault="00415370" w:rsidP="001973BC">
      <w:pPr>
        <w:jc w:val="both"/>
      </w:pPr>
      <w:r w:rsidRPr="00415370">
        <w:t xml:space="preserve">The Chair recalled that the World Café was conceived as an informal exchange </w:t>
      </w:r>
      <w:r w:rsidR="00611E42">
        <w:t xml:space="preserve">during Council 2025 </w:t>
      </w:r>
      <w:r w:rsidRPr="00415370">
        <w:t xml:space="preserve">and stressed that it would not </w:t>
      </w:r>
      <w:r w:rsidR="00611E42">
        <w:t xml:space="preserve">be considered a </w:t>
      </w:r>
      <w:r w:rsidRPr="00415370">
        <w:t>formal</w:t>
      </w:r>
      <w:r w:rsidR="00611E42">
        <w:t xml:space="preserve"> contribution to the </w:t>
      </w:r>
      <w:r w:rsidRPr="00415370">
        <w:t>group</w:t>
      </w:r>
      <w:r w:rsidR="00611E42">
        <w:t xml:space="preserve"> but as a</w:t>
      </w:r>
      <w:r w:rsidR="004319EE">
        <w:t>n information</w:t>
      </w:r>
      <w:r w:rsidR="00611E42">
        <w:t xml:space="preserve"> note from the Secretary</w:t>
      </w:r>
      <w:r w:rsidR="004319EE">
        <w:t>-</w:t>
      </w:r>
      <w:r w:rsidR="00611E42">
        <w:t>General</w:t>
      </w:r>
      <w:r w:rsidRPr="00415370">
        <w:t xml:space="preserve">. He reiterated that the Secretariat had been asked only to provide a short presentation, with no recommendations or decisions expected. </w:t>
      </w:r>
    </w:p>
    <w:p w14:paraId="0DC08569" w14:textId="090FA7F2" w:rsidR="00415370" w:rsidRDefault="00415370" w:rsidP="001973BC">
      <w:pPr>
        <w:jc w:val="both"/>
      </w:pPr>
      <w:r w:rsidRPr="00415370">
        <w:t xml:space="preserve">The Secretariat </w:t>
      </w:r>
      <w:r>
        <w:t>presented the Summary of the ITU World Café 2025 (</w:t>
      </w:r>
      <w:r w:rsidR="00E03B74">
        <w:t xml:space="preserve">Doc. </w:t>
      </w:r>
      <w:hyperlink r:id="rId28" w:tgtFrame="_blank" w:history="1">
        <w:r w:rsidRPr="00415370">
          <w:rPr>
            <w:rStyle w:val="Hyperlink"/>
          </w:rPr>
          <w:t>CWG-SFP-3/5</w:t>
        </w:r>
      </w:hyperlink>
      <w:r>
        <w:t xml:space="preserve">), in which </w:t>
      </w:r>
      <w:r w:rsidRPr="00415370">
        <w:t>31 participants engaged in brainstorming discussions on ITU’s vision for 2031, delivering impact and adapting to change. Key points raised included maintaining ITU’s neutrality</w:t>
      </w:r>
      <w:r w:rsidR="00081711">
        <w:t>;</w:t>
      </w:r>
      <w:r w:rsidRPr="00415370">
        <w:t xml:space="preserve"> focusing on universal connectivity and sustainable digital transformation</w:t>
      </w:r>
      <w:r w:rsidR="008F38A1">
        <w:t>;</w:t>
      </w:r>
      <w:r w:rsidRPr="00415370">
        <w:t xml:space="preserve"> improving agility to keep pace with technological change</w:t>
      </w:r>
      <w:r w:rsidR="008F38A1">
        <w:t>;</w:t>
      </w:r>
      <w:r w:rsidRPr="00415370">
        <w:t xml:space="preserve"> strengthening partnerships</w:t>
      </w:r>
      <w:r w:rsidR="008F38A1">
        <w:t>;</w:t>
      </w:r>
      <w:r w:rsidRPr="00415370">
        <w:t xml:space="preserve"> enhancing transparency</w:t>
      </w:r>
      <w:r w:rsidR="008F38A1">
        <w:t>;</w:t>
      </w:r>
      <w:r w:rsidRPr="00415370">
        <w:t xml:space="preserve"> and modernizing governance and internal efficiency. </w:t>
      </w:r>
    </w:p>
    <w:p w14:paraId="5CDEBC9F" w14:textId="24295749" w:rsidR="00415370" w:rsidRDefault="00415370" w:rsidP="001973BC">
      <w:pPr>
        <w:jc w:val="both"/>
      </w:pPr>
      <w:r w:rsidRPr="00415370">
        <w:t>While acknowledging that some of these ideas provided useful food for thought, the Chair underlined that the Summary of the World Café 2025 will be treated only as an information document with no recommendations or follow</w:t>
      </w:r>
      <w:r w:rsidR="002E151F">
        <w:t>-</w:t>
      </w:r>
      <w:r w:rsidRPr="00415370">
        <w:t>up actions, in line with the requests of several members.</w:t>
      </w:r>
    </w:p>
    <w:p w14:paraId="10A3D4CE" w14:textId="175426A5" w:rsidR="006A49FA" w:rsidRPr="0035720E" w:rsidRDefault="006A49FA" w:rsidP="009B657E">
      <w:pPr>
        <w:pStyle w:val="Headingb"/>
      </w:pPr>
      <w:r w:rsidRPr="0035720E">
        <w:lastRenderedPageBreak/>
        <w:t xml:space="preserve">Strategic </w:t>
      </w:r>
      <w:r w:rsidR="002E151F">
        <w:t>and</w:t>
      </w:r>
      <w:r w:rsidR="00736A70">
        <w:t xml:space="preserve"> financial plans 2028</w:t>
      </w:r>
      <w:r w:rsidR="002E151F">
        <w:t>-</w:t>
      </w:r>
      <w:r w:rsidR="00736A70">
        <w:t>2031</w:t>
      </w:r>
    </w:p>
    <w:p w14:paraId="1F3D4A4F" w14:textId="125B3786" w:rsidR="00642ACB" w:rsidRDefault="006A3CBD" w:rsidP="007E13B6">
      <w:pPr>
        <w:jc w:val="both"/>
      </w:pPr>
      <w:r w:rsidRPr="0035720E">
        <w:t xml:space="preserve">The Secretariat </w:t>
      </w:r>
      <w:r>
        <w:t xml:space="preserve">presented </w:t>
      </w:r>
      <w:r w:rsidRPr="006A3CBD">
        <w:t>updates on the Mission and Vision of the Union</w:t>
      </w:r>
      <w:r>
        <w:t xml:space="preserve"> (</w:t>
      </w:r>
      <w:r w:rsidR="000D7650">
        <w:t xml:space="preserve">see </w:t>
      </w:r>
      <w:hyperlink r:id="rId29" w:tgtFrame="_blank" w:history="1">
        <w:r w:rsidR="00D95CF0">
          <w:rPr>
            <w:rStyle w:val="Hyperlink"/>
          </w:rPr>
          <w:t>p</w:t>
        </w:r>
        <w:r w:rsidRPr="006A3CBD">
          <w:rPr>
            <w:rStyle w:val="Hyperlink"/>
          </w:rPr>
          <w:t>resentation</w:t>
        </w:r>
      </w:hyperlink>
      <w:r>
        <w:t>)</w:t>
      </w:r>
      <w:r w:rsidR="00642ACB">
        <w:t xml:space="preserve">, </w:t>
      </w:r>
      <w:r w:rsidR="000D7650">
        <w:t>including a proposal from the CWG-SFP Chair. A</w:t>
      </w:r>
      <w:r w:rsidR="00642ACB">
        <w:t xml:space="preserve">fter </w:t>
      </w:r>
      <w:r w:rsidR="000D7650">
        <w:t>discussion</w:t>
      </w:r>
      <w:r w:rsidR="00642ACB">
        <w:t>, t</w:t>
      </w:r>
      <w:r w:rsidR="00642ACB" w:rsidRPr="006A3CBD">
        <w:t xml:space="preserve">he Chair concluded that no decision would be taken at this stage and </w:t>
      </w:r>
      <w:r w:rsidR="00D95CF0">
        <w:t xml:space="preserve">that </w:t>
      </w:r>
      <w:r w:rsidR="00642ACB" w:rsidRPr="006A3CBD">
        <w:t>further consultations will continue</w:t>
      </w:r>
      <w:r w:rsidR="00642ACB">
        <w:t xml:space="preserve">. </w:t>
      </w:r>
    </w:p>
    <w:p w14:paraId="63AA6E47" w14:textId="23EC1EDE" w:rsidR="00642ACB" w:rsidRDefault="00642ACB" w:rsidP="007E13B6">
      <w:pPr>
        <w:jc w:val="both"/>
      </w:pPr>
      <w:r>
        <w:t>The Secretariat</w:t>
      </w:r>
      <w:r w:rsidR="006A3CBD">
        <w:t xml:space="preserve"> </w:t>
      </w:r>
      <w:r w:rsidR="006A3CBD" w:rsidRPr="006A3CBD">
        <w:t xml:space="preserve">also introduced the </w:t>
      </w:r>
      <w:r w:rsidR="00A66E09">
        <w:t>t</w:t>
      </w:r>
      <w:r w:rsidR="006A3CBD" w:rsidRPr="006A3CBD">
        <w:t xml:space="preserve">argets and ITU </w:t>
      </w:r>
      <w:proofErr w:type="spellStart"/>
      <w:r w:rsidR="006A3CBD" w:rsidRPr="006A3CBD">
        <w:t>DataHub</w:t>
      </w:r>
      <w:proofErr w:type="spellEnd"/>
      <w:r w:rsidR="006A3CBD">
        <w:t xml:space="preserve"> (</w:t>
      </w:r>
      <w:r w:rsidR="000D7650">
        <w:t xml:space="preserve">see </w:t>
      </w:r>
      <w:hyperlink r:id="rId30" w:tgtFrame="_blank" w:history="1">
        <w:r w:rsidR="00A66E09">
          <w:rPr>
            <w:rStyle w:val="Hyperlink"/>
          </w:rPr>
          <w:t>p</w:t>
        </w:r>
        <w:r w:rsidR="006A3CBD" w:rsidRPr="006A3CBD">
          <w:rPr>
            <w:rStyle w:val="Hyperlink"/>
          </w:rPr>
          <w:t>resentation</w:t>
        </w:r>
      </w:hyperlink>
      <w:r w:rsidR="006A3CBD">
        <w:t>)</w:t>
      </w:r>
      <w:r>
        <w:t xml:space="preserve">. </w:t>
      </w:r>
      <w:r w:rsidRPr="006A3CBD">
        <w:t xml:space="preserve">The Chair recognized broad support and concluded that the </w:t>
      </w:r>
      <w:proofErr w:type="spellStart"/>
      <w:r w:rsidRPr="006A3CBD">
        <w:t>DataHub</w:t>
      </w:r>
      <w:proofErr w:type="spellEnd"/>
      <w:r w:rsidRPr="006A3CBD">
        <w:t xml:space="preserve"> will remain the central tool for evidence</w:t>
      </w:r>
      <w:r w:rsidR="00A66E09">
        <w:t>-</w:t>
      </w:r>
      <w:r w:rsidRPr="006A3CBD">
        <w:t xml:space="preserve">based </w:t>
      </w:r>
      <w:r w:rsidR="000D7650">
        <w:t xml:space="preserve">defined </w:t>
      </w:r>
      <w:r w:rsidR="00A66E09">
        <w:t>t</w:t>
      </w:r>
      <w:r w:rsidR="000D7650">
        <w:t>argets and target indicator</w:t>
      </w:r>
      <w:r w:rsidR="00286DF5">
        <w:t>s</w:t>
      </w:r>
      <w:r w:rsidR="000D7650">
        <w:t xml:space="preserve">, as well as for </w:t>
      </w:r>
      <w:r w:rsidRPr="006A3CBD">
        <w:t>tracking</w:t>
      </w:r>
      <w:r w:rsidR="000D7650">
        <w:t xml:space="preserve"> implementation</w:t>
      </w:r>
      <w:r w:rsidRPr="006A3CBD">
        <w:t>, with future refinements to improve reliability and usability for members.</w:t>
      </w:r>
    </w:p>
    <w:p w14:paraId="1A5B4DD3" w14:textId="701FFF8E" w:rsidR="00642ACB" w:rsidRPr="006A3CBD" w:rsidRDefault="00642ACB" w:rsidP="007E13B6">
      <w:pPr>
        <w:jc w:val="both"/>
      </w:pPr>
      <w:r w:rsidRPr="006A3CBD">
        <w:t>On linking ITU’s strategic, financial and operational plans</w:t>
      </w:r>
      <w:r>
        <w:t xml:space="preserve"> </w:t>
      </w:r>
      <w:r w:rsidR="000D7650">
        <w:t xml:space="preserve">the </w:t>
      </w:r>
      <w:r w:rsidR="00211BCD">
        <w:t>S</w:t>
      </w:r>
      <w:r w:rsidR="000D7650">
        <w:t xml:space="preserve">ecretariat </w:t>
      </w:r>
      <w:r w:rsidR="00211BCD">
        <w:t xml:space="preserve">presented </w:t>
      </w:r>
      <w:r w:rsidR="00E03B74">
        <w:t>Document </w:t>
      </w:r>
      <w:hyperlink r:id="rId31" w:tgtFrame="_blank" w:history="1">
        <w:r w:rsidRPr="00642ACB">
          <w:rPr>
            <w:rStyle w:val="Hyperlink"/>
          </w:rPr>
          <w:t>CWG-SFP-3/6</w:t>
        </w:r>
      </w:hyperlink>
      <w:r w:rsidRPr="006A3CBD">
        <w:t xml:space="preserve">, </w:t>
      </w:r>
      <w:r w:rsidR="000D7650">
        <w:t xml:space="preserve">which highlighted the Results-Based Management approach </w:t>
      </w:r>
      <w:r w:rsidR="000F0082">
        <w:t xml:space="preserve">and </w:t>
      </w:r>
      <w:r w:rsidRPr="006A3CBD">
        <w:t>outlined the cascading approach to strengthen alignment across planning levels. A multi</w:t>
      </w:r>
      <w:r w:rsidR="000F0082">
        <w:t>-</w:t>
      </w:r>
      <w:r w:rsidRPr="006A3CBD">
        <w:t>country contribution on a comprehensive cascading strategy was then presented</w:t>
      </w:r>
      <w:r w:rsidRPr="0035720E">
        <w:t xml:space="preserve"> (</w:t>
      </w:r>
      <w:r w:rsidR="000D7650">
        <w:t xml:space="preserve">see </w:t>
      </w:r>
      <w:r w:rsidR="00E03B74">
        <w:t>Doc. </w:t>
      </w:r>
      <w:hyperlink r:id="rId32" w:tgtFrame="_blank" w:history="1">
        <w:r w:rsidRPr="00642ACB">
          <w:rPr>
            <w:rStyle w:val="Hyperlink"/>
          </w:rPr>
          <w:t>CWG-SFP-3/10</w:t>
        </w:r>
      </w:hyperlink>
      <w:r w:rsidRPr="0035720E">
        <w:t>)</w:t>
      </w:r>
      <w:r>
        <w:t xml:space="preserve">. </w:t>
      </w:r>
      <w:r w:rsidRPr="006A3CBD">
        <w:t xml:space="preserve">The Chair confirmed that cascading </w:t>
      </w:r>
      <w:r w:rsidR="000D7650">
        <w:t xml:space="preserve">as proposed </w:t>
      </w:r>
      <w:r w:rsidRPr="006A3CBD">
        <w:t>will guide future work, with refinements to ensure coherence between the Strategic Plan, financial resources and Bureau</w:t>
      </w:r>
      <w:r w:rsidR="000F0082">
        <w:t>-</w:t>
      </w:r>
      <w:r w:rsidRPr="006A3CBD">
        <w:t>level operational outputs</w:t>
      </w:r>
      <w:r>
        <w:t xml:space="preserve">, </w:t>
      </w:r>
      <w:r w:rsidR="00E27C5B">
        <w:t>and tasked</w:t>
      </w:r>
      <w:r w:rsidR="00E27C5B" w:rsidRPr="006A3CBD">
        <w:t xml:space="preserve"> </w:t>
      </w:r>
      <w:r w:rsidRPr="006A3CBD">
        <w:t xml:space="preserve">the Secretariat to </w:t>
      </w:r>
      <w:r w:rsidR="000D7650">
        <w:t xml:space="preserve">consider </w:t>
      </w:r>
      <w:r>
        <w:t>the multi</w:t>
      </w:r>
      <w:r w:rsidR="00E27C5B">
        <w:t>-</w:t>
      </w:r>
      <w:r>
        <w:t>country contribution</w:t>
      </w:r>
      <w:r w:rsidRPr="006A3CBD">
        <w:t xml:space="preserve"> </w:t>
      </w:r>
      <w:r w:rsidR="000D7650">
        <w:t xml:space="preserve">when preparing the </w:t>
      </w:r>
      <w:r w:rsidRPr="006A3CBD">
        <w:t>draft</w:t>
      </w:r>
      <w:r w:rsidR="000D7650">
        <w:t xml:space="preserve"> text</w:t>
      </w:r>
      <w:r w:rsidRPr="006A3CBD">
        <w:t>.</w:t>
      </w:r>
    </w:p>
    <w:p w14:paraId="10A667A2" w14:textId="11D46CFF" w:rsidR="006A3CBD" w:rsidRPr="00E03B74" w:rsidRDefault="006A3CBD" w:rsidP="007E13B6">
      <w:pPr>
        <w:jc w:val="both"/>
        <w:rPr>
          <w:spacing w:val="-2"/>
        </w:rPr>
      </w:pPr>
      <w:r w:rsidRPr="00E03B74">
        <w:rPr>
          <w:spacing w:val="-2"/>
        </w:rPr>
        <w:t xml:space="preserve">The Secretariat presented an initial draft of </w:t>
      </w:r>
      <w:r w:rsidR="00DA094A" w:rsidRPr="00E03B74">
        <w:rPr>
          <w:spacing w:val="-2"/>
        </w:rPr>
        <w:t xml:space="preserve">impact and outcome </w:t>
      </w:r>
      <w:r w:rsidRPr="00E03B74">
        <w:rPr>
          <w:spacing w:val="-2"/>
        </w:rPr>
        <w:t xml:space="preserve">indicators </w:t>
      </w:r>
      <w:r w:rsidR="00642ACB" w:rsidRPr="00E03B74">
        <w:rPr>
          <w:spacing w:val="-2"/>
        </w:rPr>
        <w:t>(</w:t>
      </w:r>
      <w:r w:rsidR="00E03B74" w:rsidRPr="00E03B74">
        <w:rPr>
          <w:spacing w:val="-2"/>
        </w:rPr>
        <w:t xml:space="preserve">Doc. </w:t>
      </w:r>
      <w:hyperlink r:id="rId33" w:tgtFrame="_blank" w:history="1">
        <w:r w:rsidR="00642ACB" w:rsidRPr="00E03B74">
          <w:rPr>
            <w:rStyle w:val="Hyperlink"/>
            <w:spacing w:val="-2"/>
          </w:rPr>
          <w:t>CWG-SFP-3/7</w:t>
        </w:r>
      </w:hyperlink>
      <w:r w:rsidR="00642ACB" w:rsidRPr="00E03B74">
        <w:rPr>
          <w:spacing w:val="-2"/>
        </w:rPr>
        <w:t xml:space="preserve">) </w:t>
      </w:r>
      <w:r w:rsidRPr="00E03B74">
        <w:rPr>
          <w:spacing w:val="-2"/>
        </w:rPr>
        <w:t>for the Strategic Plan 2028</w:t>
      </w:r>
      <w:r w:rsidR="00E03B74">
        <w:rPr>
          <w:spacing w:val="-2"/>
        </w:rPr>
        <w:t>-</w:t>
      </w:r>
      <w:r w:rsidRPr="00E03B74">
        <w:rPr>
          <w:spacing w:val="-2"/>
        </w:rPr>
        <w:t>2031.</w:t>
      </w:r>
      <w:r w:rsidR="00642ACB" w:rsidRPr="00E03B74">
        <w:rPr>
          <w:spacing w:val="-2"/>
        </w:rPr>
        <w:t xml:space="preserve"> A contribution from the Russian Federation (</w:t>
      </w:r>
      <w:r w:rsidR="00E03B74" w:rsidRPr="00E03B74">
        <w:rPr>
          <w:spacing w:val="-2"/>
        </w:rPr>
        <w:t>Doc.</w:t>
      </w:r>
      <w:r w:rsidR="00440B8D">
        <w:rPr>
          <w:spacing w:val="-2"/>
        </w:rPr>
        <w:t> </w:t>
      </w:r>
      <w:hyperlink r:id="rId34" w:tgtFrame="_blank" w:history="1">
        <w:r w:rsidR="00642ACB" w:rsidRPr="00E03B74">
          <w:rPr>
            <w:rStyle w:val="Hyperlink"/>
            <w:spacing w:val="-2"/>
          </w:rPr>
          <w:t>CWG</w:t>
        </w:r>
        <w:r w:rsidR="00440B8D">
          <w:rPr>
            <w:rStyle w:val="Hyperlink"/>
            <w:spacing w:val="-2"/>
          </w:rPr>
          <w:noBreakHyphen/>
        </w:r>
        <w:r w:rsidR="00642ACB" w:rsidRPr="00E03B74">
          <w:rPr>
            <w:rStyle w:val="Hyperlink"/>
            <w:spacing w:val="-2"/>
          </w:rPr>
          <w:t>SFP</w:t>
        </w:r>
        <w:r w:rsidR="00440B8D">
          <w:rPr>
            <w:rStyle w:val="Hyperlink"/>
            <w:spacing w:val="-2"/>
          </w:rPr>
          <w:noBreakHyphen/>
        </w:r>
        <w:r w:rsidR="00642ACB" w:rsidRPr="00E03B74">
          <w:rPr>
            <w:rStyle w:val="Hyperlink"/>
            <w:spacing w:val="-2"/>
          </w:rPr>
          <w:t>3/13</w:t>
        </w:r>
      </w:hyperlink>
      <w:r w:rsidR="00685AE6" w:rsidRPr="00E03B74">
        <w:rPr>
          <w:spacing w:val="-2"/>
        </w:rPr>
        <w:t xml:space="preserve">) </w:t>
      </w:r>
      <w:r w:rsidR="00642ACB" w:rsidRPr="00E03B74">
        <w:rPr>
          <w:spacing w:val="-2"/>
        </w:rPr>
        <w:t>followed. After discussion</w:t>
      </w:r>
      <w:r w:rsidR="00E03B74" w:rsidRPr="00E03B74">
        <w:rPr>
          <w:spacing w:val="-2"/>
        </w:rPr>
        <w:t>,</w:t>
      </w:r>
      <w:r w:rsidRPr="00E03B74">
        <w:rPr>
          <w:spacing w:val="-2"/>
        </w:rPr>
        <w:t xml:space="preserve"> </w:t>
      </w:r>
      <w:r w:rsidR="00642ACB" w:rsidRPr="00E03B74">
        <w:rPr>
          <w:spacing w:val="-2"/>
        </w:rPr>
        <w:t>t</w:t>
      </w:r>
      <w:r w:rsidRPr="00E03B74">
        <w:rPr>
          <w:spacing w:val="-2"/>
        </w:rPr>
        <w:t xml:space="preserve">he Chair noted broad agreement that further refinement was needed and concluded that the Secretariat will return with a revised, tiered set of indicators, in consultation with </w:t>
      </w:r>
      <w:r w:rsidR="000D7650" w:rsidRPr="00E03B74">
        <w:rPr>
          <w:spacing w:val="-2"/>
        </w:rPr>
        <w:t xml:space="preserve">the </w:t>
      </w:r>
      <w:r w:rsidR="00685AE6" w:rsidRPr="00E03B74">
        <w:rPr>
          <w:spacing w:val="-2"/>
        </w:rPr>
        <w:t xml:space="preserve">sector </w:t>
      </w:r>
      <w:r w:rsidRPr="00E03B74">
        <w:rPr>
          <w:spacing w:val="-2"/>
        </w:rPr>
        <w:t xml:space="preserve">advisory groups and </w:t>
      </w:r>
      <w:r w:rsidR="000D7650" w:rsidRPr="00E03B74">
        <w:rPr>
          <w:spacing w:val="-2"/>
        </w:rPr>
        <w:t>Member S</w:t>
      </w:r>
      <w:r w:rsidRPr="00E03B74">
        <w:rPr>
          <w:spacing w:val="-2"/>
        </w:rPr>
        <w:t>tates</w:t>
      </w:r>
      <w:r w:rsidR="00E03B74" w:rsidRPr="00E03B74">
        <w:rPr>
          <w:spacing w:val="-2"/>
        </w:rPr>
        <w:t>,</w:t>
      </w:r>
      <w:r w:rsidRPr="00E03B74">
        <w:rPr>
          <w:spacing w:val="-2"/>
        </w:rPr>
        <w:t xml:space="preserve"> to ensure they remain within ITU’s mandate and capacity.</w:t>
      </w:r>
    </w:p>
    <w:p w14:paraId="61C7B45F" w14:textId="7EB61005" w:rsidR="000D7650" w:rsidRDefault="000D7650" w:rsidP="003C646C">
      <w:pPr>
        <w:jc w:val="both"/>
      </w:pPr>
      <w:r>
        <w:t xml:space="preserve">A </w:t>
      </w:r>
      <w:r w:rsidR="000F16B6">
        <w:t>l</w:t>
      </w:r>
      <w:r w:rsidRPr="006A3CBD">
        <w:t xml:space="preserve">iaison </w:t>
      </w:r>
      <w:r w:rsidR="000F16B6">
        <w:t>s</w:t>
      </w:r>
      <w:r w:rsidRPr="006A3CBD">
        <w:t xml:space="preserve">tatement </w:t>
      </w:r>
      <w:r>
        <w:t xml:space="preserve">containing </w:t>
      </w:r>
      <w:r w:rsidRPr="006A3CBD">
        <w:t xml:space="preserve">TSAG’s third submission </w:t>
      </w:r>
      <w:r>
        <w:t>(</w:t>
      </w:r>
      <w:r w:rsidR="00E03B74">
        <w:t xml:space="preserve">Doc. </w:t>
      </w:r>
      <w:hyperlink r:id="rId35" w:tgtFrame="_blank" w:history="1">
        <w:r w:rsidRPr="00642ACB">
          <w:rPr>
            <w:rStyle w:val="Hyperlink"/>
          </w:rPr>
          <w:t>CWG-SFP-3/16</w:t>
        </w:r>
      </w:hyperlink>
      <w:r>
        <w:t xml:space="preserve">) was presented. The Chair clarified that </w:t>
      </w:r>
      <w:r w:rsidR="000F16B6">
        <w:t>t</w:t>
      </w:r>
      <w:r>
        <w:t xml:space="preserve">hematic </w:t>
      </w:r>
      <w:r w:rsidR="000F16B6">
        <w:t>p</w:t>
      </w:r>
      <w:r>
        <w:t xml:space="preserve">riorities were not a matter </w:t>
      </w:r>
      <w:r w:rsidR="005F5EC8">
        <w:t xml:space="preserve">or </w:t>
      </w:r>
      <w:r>
        <w:t xml:space="preserve">discussion </w:t>
      </w:r>
      <w:r w:rsidR="005F5EC8">
        <w:t xml:space="preserve">at </w:t>
      </w:r>
      <w:r>
        <w:t xml:space="preserve">this </w:t>
      </w:r>
      <w:r w:rsidR="00613D54">
        <w:t>meeting</w:t>
      </w:r>
      <w:r w:rsidR="005F5EC8">
        <w:t>,</w:t>
      </w:r>
      <w:r w:rsidR="00613D54">
        <w:t xml:space="preserve"> though</w:t>
      </w:r>
      <w:r>
        <w:t xml:space="preserve"> </w:t>
      </w:r>
      <w:r w:rsidR="005F5EC8">
        <w:t xml:space="preserve">he </w:t>
      </w:r>
      <w:r>
        <w:t xml:space="preserve">instructed the Secretariat to consider TSAG’s proposal </w:t>
      </w:r>
      <w:r w:rsidR="009D034A">
        <w:t>when drafting the strategic plan for the January meeting</w:t>
      </w:r>
      <w:r w:rsidR="00E03B74">
        <w:t>.</w:t>
      </w:r>
    </w:p>
    <w:p w14:paraId="29B3C4BF" w14:textId="365289FA" w:rsidR="006A49FA" w:rsidRPr="0035720E" w:rsidRDefault="00736A70" w:rsidP="009B657E">
      <w:pPr>
        <w:pStyle w:val="Headingb"/>
      </w:pPr>
      <w:r>
        <w:t>Date of the next meeting</w:t>
      </w:r>
    </w:p>
    <w:p w14:paraId="37020A76" w14:textId="72A2FA46" w:rsidR="0041712D" w:rsidRPr="0035720E" w:rsidRDefault="0041712D" w:rsidP="003C646C">
      <w:pPr>
        <w:jc w:val="both"/>
      </w:pPr>
      <w:r w:rsidRPr="0041712D">
        <w:t>The next CWG</w:t>
      </w:r>
      <w:r w:rsidR="009D034A">
        <w:t xml:space="preserve"> cluster </w:t>
      </w:r>
      <w:r w:rsidRPr="0041712D">
        <w:t>will be held on 12</w:t>
      </w:r>
      <w:r w:rsidR="00440B8D">
        <w:t>-</w:t>
      </w:r>
      <w:r w:rsidR="009D034A">
        <w:t>23</w:t>
      </w:r>
      <w:r w:rsidR="009D034A" w:rsidRPr="0041712D">
        <w:t xml:space="preserve"> </w:t>
      </w:r>
      <w:r w:rsidRPr="0041712D">
        <w:t>January 2026</w:t>
      </w:r>
      <w:r w:rsidR="005A3CB6">
        <w:t>;</w:t>
      </w:r>
      <w:r w:rsidR="009D034A">
        <w:t xml:space="preserve"> exact dates for the CWG-SFP </w:t>
      </w:r>
      <w:r w:rsidR="00394033">
        <w:t xml:space="preserve">are </w:t>
      </w:r>
      <w:r w:rsidR="009D034A">
        <w:t>to be confirmed</w:t>
      </w:r>
      <w:r w:rsidR="00394033">
        <w:t>.</w:t>
      </w:r>
      <w:r w:rsidRPr="0041712D">
        <w:t xml:space="preserve"> Members stressed avoiding overlaps with other key meetings and suggested scheduling towards the end of the cluster. The Chair acknowledged these concerns and confirmed that the Secretariat will take them into account when finalizing the dates.</w:t>
      </w:r>
    </w:p>
    <w:p w14:paraId="4DDC1F3E" w14:textId="7E2E6E62" w:rsidR="006A49FA" w:rsidRPr="0035720E" w:rsidRDefault="00736A70" w:rsidP="009B657E">
      <w:pPr>
        <w:pStyle w:val="Headingb"/>
      </w:pPr>
      <w:r>
        <w:t>Any other business</w:t>
      </w:r>
    </w:p>
    <w:p w14:paraId="47803A18" w14:textId="0987DBEC" w:rsidR="009D034A" w:rsidRDefault="0041712D" w:rsidP="00736A70">
      <w:pPr>
        <w:jc w:val="both"/>
      </w:pPr>
      <w:r w:rsidRPr="0041712D">
        <w:t xml:space="preserve">Under </w:t>
      </w:r>
      <w:r w:rsidR="003B207D">
        <w:t>a</w:t>
      </w:r>
      <w:r w:rsidR="003B207D" w:rsidRPr="0041712D">
        <w:t>ny other business</w:t>
      </w:r>
      <w:r w:rsidRPr="0041712D">
        <w:t xml:space="preserve">, the </w:t>
      </w:r>
      <w:r w:rsidR="009D034A">
        <w:t xml:space="preserve">Telecommunication Development Advisory Group (TDAG) </w:t>
      </w:r>
      <w:r w:rsidRPr="0041712D">
        <w:t>presented a liaison statement on the creation of the CWG</w:t>
      </w:r>
      <w:r w:rsidR="00917049">
        <w:t>-</w:t>
      </w:r>
      <w:r w:rsidRPr="0041712D">
        <w:t>SFP 2028</w:t>
      </w:r>
      <w:r w:rsidR="00917049">
        <w:t>-</w:t>
      </w:r>
      <w:r w:rsidRPr="0041712D">
        <w:t>2031</w:t>
      </w:r>
      <w:r>
        <w:t xml:space="preserve"> (</w:t>
      </w:r>
      <w:r w:rsidR="00440B8D">
        <w:t xml:space="preserve">Doc. </w:t>
      </w:r>
      <w:hyperlink r:id="rId36" w:tgtFrame="_blank" w:history="1">
        <w:r w:rsidRPr="0041712D">
          <w:rPr>
            <w:rStyle w:val="Hyperlink"/>
          </w:rPr>
          <w:t>CWG-SFP-3/8</w:t>
        </w:r>
      </w:hyperlink>
      <w:r>
        <w:t>)</w:t>
      </w:r>
      <w:r w:rsidRPr="0041712D">
        <w:t>, noting work on ITU</w:t>
      </w:r>
      <w:r w:rsidR="00917049">
        <w:t>-</w:t>
      </w:r>
      <w:r w:rsidRPr="0041712D">
        <w:t xml:space="preserve">D priorities and the draft operational plan ahead of </w:t>
      </w:r>
      <w:r w:rsidR="009D034A">
        <w:t>the World Telecommunication Development Conference (</w:t>
      </w:r>
      <w:r w:rsidRPr="0041712D">
        <w:t>WTDC</w:t>
      </w:r>
      <w:r w:rsidR="00917049">
        <w:t>-</w:t>
      </w:r>
      <w:r w:rsidRPr="0041712D">
        <w:t>25</w:t>
      </w:r>
      <w:r w:rsidR="009D034A">
        <w:t>)</w:t>
      </w:r>
      <w:r w:rsidRPr="0041712D">
        <w:t>. The Chair welcomed the update</w:t>
      </w:r>
      <w:r w:rsidR="00BD1251">
        <w:t xml:space="preserve"> and</w:t>
      </w:r>
      <w:r w:rsidR="00BD1251" w:rsidRPr="0041712D">
        <w:t xml:space="preserve"> </w:t>
      </w:r>
      <w:r w:rsidRPr="0041712D">
        <w:t xml:space="preserve">confirmed the </w:t>
      </w:r>
      <w:r w:rsidR="009D034A">
        <w:t>CWG</w:t>
      </w:r>
      <w:r w:rsidR="00BD1251">
        <w:t>-</w:t>
      </w:r>
      <w:r w:rsidR="009D034A">
        <w:t xml:space="preserve">SFP </w:t>
      </w:r>
      <w:r w:rsidRPr="0041712D">
        <w:t>will consider WTDC outputs at its next session</w:t>
      </w:r>
      <w:r w:rsidR="009D034A">
        <w:t>.</w:t>
      </w:r>
    </w:p>
    <w:p w14:paraId="64DC9796" w14:textId="6C884089" w:rsidR="009D034A" w:rsidRDefault="009D034A" w:rsidP="00736A70">
      <w:pPr>
        <w:jc w:val="both"/>
      </w:pPr>
      <w:r>
        <w:t xml:space="preserve">The meeting agreed </w:t>
      </w:r>
      <w:r w:rsidR="00BD1251">
        <w:t>to send</w:t>
      </w:r>
      <w:r>
        <w:t xml:space="preserve"> a </w:t>
      </w:r>
      <w:r w:rsidR="00BD1251">
        <w:t>l</w:t>
      </w:r>
      <w:r>
        <w:t xml:space="preserve">iaison </w:t>
      </w:r>
      <w:r w:rsidR="00BD1251">
        <w:t>s</w:t>
      </w:r>
      <w:r>
        <w:t xml:space="preserve">tatement to the </w:t>
      </w:r>
      <w:r w:rsidR="006B3334">
        <w:t xml:space="preserve">sector </w:t>
      </w:r>
      <w:r>
        <w:t xml:space="preserve">advisory groups (see </w:t>
      </w:r>
      <w:hyperlink w:anchor="Annex" w:history="1">
        <w:r w:rsidR="006B3334" w:rsidRPr="003B207D">
          <w:rPr>
            <w:rStyle w:val="Hyperlink"/>
          </w:rPr>
          <w:t>a</w:t>
        </w:r>
        <w:r w:rsidRPr="003B207D">
          <w:rPr>
            <w:rStyle w:val="Hyperlink"/>
          </w:rPr>
          <w:t>nnex</w:t>
        </w:r>
      </w:hyperlink>
      <w:r>
        <w:t xml:space="preserve">) informing </w:t>
      </w:r>
      <w:r w:rsidR="006B3334">
        <w:t>them of</w:t>
      </w:r>
      <w:r>
        <w:t xml:space="preserve"> the third meeting outcomes and inviting them to send their input to the fourth meeting.</w:t>
      </w:r>
    </w:p>
    <w:p w14:paraId="094224C8" w14:textId="42FFE66A" w:rsidR="0041712D" w:rsidRDefault="009D034A" w:rsidP="00736A70">
      <w:pPr>
        <w:jc w:val="both"/>
      </w:pPr>
      <w:r>
        <w:t>T</w:t>
      </w:r>
      <w:r w:rsidRPr="009D034A">
        <w:t>he meeting was adjourned</w:t>
      </w:r>
      <w:r w:rsidR="0041712D" w:rsidRPr="0041712D">
        <w:t>.</w:t>
      </w:r>
    </w:p>
    <w:p w14:paraId="7BB5A437" w14:textId="5B473A05" w:rsidR="009D034A" w:rsidRDefault="009D034A" w:rsidP="009B657E">
      <w:pPr>
        <w:pStyle w:val="AnnexNo"/>
      </w:pPr>
      <w:bookmarkStart w:id="14" w:name="Annex"/>
      <w:bookmarkEnd w:id="14"/>
      <w:r>
        <w:lastRenderedPageBreak/>
        <w:t>ANNEX</w:t>
      </w:r>
    </w:p>
    <w:p w14:paraId="60CEDEAD" w14:textId="0119719C" w:rsidR="009D034A" w:rsidRPr="00F11733" w:rsidRDefault="009B657E" w:rsidP="009B657E">
      <w:pPr>
        <w:pStyle w:val="Annextitle"/>
      </w:pPr>
      <w:r>
        <w:t>Liaison statement</w:t>
      </w:r>
    </w:p>
    <w:tbl>
      <w:tblPr>
        <w:tblW w:w="9214" w:type="dxa"/>
        <w:jc w:val="center"/>
        <w:tblLayout w:type="fixed"/>
        <w:tblCellMar>
          <w:left w:w="57" w:type="dxa"/>
          <w:right w:w="57" w:type="dxa"/>
        </w:tblCellMar>
        <w:tblLook w:val="0000" w:firstRow="0" w:lastRow="0" w:firstColumn="0" w:lastColumn="0" w:noHBand="0" w:noVBand="0"/>
      </w:tblPr>
      <w:tblGrid>
        <w:gridCol w:w="992"/>
        <w:gridCol w:w="8222"/>
      </w:tblGrid>
      <w:tr w:rsidR="009D034A" w:rsidRPr="00F11733" w14:paraId="31AE4ADB" w14:textId="77777777" w:rsidTr="00FD17A3">
        <w:trPr>
          <w:cantSplit/>
          <w:jc w:val="center"/>
        </w:trPr>
        <w:tc>
          <w:tcPr>
            <w:tcW w:w="992" w:type="dxa"/>
          </w:tcPr>
          <w:p w14:paraId="18D3A386" w14:textId="77777777" w:rsidR="009D034A" w:rsidRPr="00F11733" w:rsidRDefault="009D034A" w:rsidP="003B26AD">
            <w:pPr>
              <w:rPr>
                <w:rFonts w:ascii="Times New Roman" w:hAnsi="Times New Roman"/>
                <w:b/>
                <w:bCs/>
                <w:szCs w:val="24"/>
              </w:rPr>
            </w:pPr>
            <w:r w:rsidRPr="00F11733">
              <w:rPr>
                <w:rFonts w:ascii="Times New Roman" w:hAnsi="Times New Roman"/>
                <w:b/>
                <w:bCs/>
                <w:szCs w:val="24"/>
              </w:rPr>
              <w:t>Source:</w:t>
            </w:r>
          </w:p>
        </w:tc>
        <w:sdt>
          <w:sdtPr>
            <w:rPr>
              <w:rFonts w:ascii="Times New Roman" w:hAnsi="Times New Roman"/>
              <w:szCs w:val="24"/>
            </w:rPr>
            <w:alias w:val="DocumentSource"/>
            <w:tag w:val="DocumentSource"/>
            <w:id w:val="-1547363769"/>
            <w:placeholder>
              <w:docPart w:val="0D78F9B9C68F490595469863D6F34AE3"/>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tc>
              <w:tcPr>
                <w:tcW w:w="8222" w:type="dxa"/>
              </w:tcPr>
              <w:p w14:paraId="0A351689" w14:textId="77777777" w:rsidR="009D034A" w:rsidRPr="00F11733" w:rsidRDefault="009D034A" w:rsidP="003B26AD">
                <w:pPr>
                  <w:rPr>
                    <w:rFonts w:ascii="Times New Roman" w:hAnsi="Times New Roman"/>
                    <w:szCs w:val="24"/>
                  </w:rPr>
                </w:pPr>
                <w:r>
                  <w:rPr>
                    <w:rFonts w:ascii="Times New Roman" w:hAnsi="Times New Roman"/>
                    <w:szCs w:val="24"/>
                  </w:rPr>
                  <w:t>CWG-SFP</w:t>
                </w:r>
              </w:p>
            </w:tc>
          </w:sdtContent>
        </w:sdt>
      </w:tr>
      <w:tr w:rsidR="009D034A" w:rsidRPr="00F11733" w14:paraId="1548317C" w14:textId="77777777" w:rsidTr="00FD17A3">
        <w:trPr>
          <w:cantSplit/>
          <w:jc w:val="center"/>
        </w:trPr>
        <w:tc>
          <w:tcPr>
            <w:tcW w:w="992" w:type="dxa"/>
          </w:tcPr>
          <w:p w14:paraId="067A792C" w14:textId="77777777" w:rsidR="009D034A" w:rsidRPr="00F11733" w:rsidRDefault="009D034A" w:rsidP="003B26AD">
            <w:pPr>
              <w:rPr>
                <w:rFonts w:ascii="Times New Roman" w:hAnsi="Times New Roman"/>
                <w:szCs w:val="24"/>
              </w:rPr>
            </w:pPr>
            <w:r w:rsidRPr="00F11733">
              <w:rPr>
                <w:rFonts w:ascii="Times New Roman" w:hAnsi="Times New Roman"/>
                <w:b/>
                <w:bCs/>
                <w:szCs w:val="24"/>
              </w:rPr>
              <w:t>Title:</w:t>
            </w:r>
          </w:p>
        </w:tc>
        <w:tc>
          <w:tcPr>
            <w:tcW w:w="8222" w:type="dxa"/>
          </w:tcPr>
          <w:p w14:paraId="238736A6" w14:textId="1B24B11A" w:rsidR="009D034A" w:rsidRPr="00F11733" w:rsidRDefault="0091712F" w:rsidP="003B26AD">
            <w:pPr>
              <w:rPr>
                <w:rFonts w:ascii="Times New Roman" w:hAnsi="Times New Roman"/>
                <w:szCs w:val="24"/>
              </w:rPr>
            </w:pPr>
            <w:sdt>
              <w:sdtPr>
                <w:rPr>
                  <w:rFonts w:ascii="Times New Roman" w:hAnsi="Times New Roman"/>
                  <w:szCs w:val="24"/>
                </w:rPr>
                <w:alias w:val="Title"/>
                <w:tag w:val="Title"/>
                <w:id w:val="1877968201"/>
                <w:placeholder>
                  <w:docPart w:val="320A71C5388F40E3B1BC9B584FCB4F26"/>
                </w:placeholder>
                <w:dataBinding w:prefixMappings="xmlns:ns0='http://purl.org/dc/elements/1.1/' xmlns:ns1='http://schemas.openxmlformats.org/package/2006/metadata/core-properties' " w:xpath="/ns1:coreProperties[1]/ns0:title[1]" w:storeItemID="{6C3C8BC8-F283-45AE-878A-BAB7291924A1}"/>
                <w:text/>
              </w:sdtPr>
              <w:sdtEndPr/>
              <w:sdtContent>
                <w:r w:rsidR="0042220F">
                  <w:rPr>
                    <w:rFonts w:ascii="Times New Roman" w:hAnsi="Times New Roman"/>
                    <w:szCs w:val="24"/>
                  </w:rPr>
                  <w:t>Final Report of the third meeting of the Council Working Group for strategic and financial plans 2028-2031</w:t>
                </w:r>
              </w:sdtContent>
            </w:sdt>
          </w:p>
        </w:tc>
      </w:tr>
      <w:tr w:rsidR="009D034A" w:rsidRPr="00F11733" w14:paraId="022133B3" w14:textId="77777777" w:rsidTr="00FD17A3">
        <w:trPr>
          <w:cantSplit/>
          <w:jc w:val="center"/>
        </w:trPr>
        <w:tc>
          <w:tcPr>
            <w:tcW w:w="992" w:type="dxa"/>
          </w:tcPr>
          <w:p w14:paraId="0D9F17D9" w14:textId="54F06FAA" w:rsidR="009D034A" w:rsidRPr="00F11733" w:rsidRDefault="009D034A" w:rsidP="003B26AD">
            <w:pPr>
              <w:rPr>
                <w:rFonts w:ascii="Times New Roman" w:hAnsi="Times New Roman"/>
                <w:b/>
                <w:bCs/>
                <w:szCs w:val="24"/>
              </w:rPr>
            </w:pPr>
            <w:r w:rsidRPr="00F11733">
              <w:rPr>
                <w:rFonts w:ascii="Times New Roman" w:hAnsi="Times New Roman"/>
                <w:b/>
                <w:bCs/>
                <w:szCs w:val="24"/>
              </w:rPr>
              <w:t>Purpose</w:t>
            </w:r>
          </w:p>
        </w:tc>
        <w:tc>
          <w:tcPr>
            <w:tcW w:w="8222" w:type="dxa"/>
          </w:tcPr>
          <w:p w14:paraId="2B62A358" w14:textId="77777777" w:rsidR="009D034A" w:rsidRPr="00F11733" w:rsidRDefault="009D034A" w:rsidP="003B26AD">
            <w:pPr>
              <w:rPr>
                <w:rFonts w:ascii="Times New Roman" w:hAnsi="Times New Roman"/>
                <w:szCs w:val="24"/>
              </w:rPr>
            </w:pPr>
            <w:r>
              <w:rPr>
                <w:rFonts w:ascii="Times New Roman" w:hAnsi="Times New Roman"/>
                <w:szCs w:val="24"/>
              </w:rPr>
              <w:t>Action</w:t>
            </w:r>
          </w:p>
        </w:tc>
      </w:tr>
    </w:tbl>
    <w:p w14:paraId="4EC90D81" w14:textId="230B1198" w:rsidR="009D034A" w:rsidRPr="00103335" w:rsidRDefault="009D034A" w:rsidP="009D034A">
      <w:pPr>
        <w:pBdr>
          <w:top w:val="single" w:sz="4" w:space="1" w:color="auto"/>
        </w:pBdr>
        <w:rPr>
          <w:rFonts w:ascii="Times New Roman" w:hAnsi="Times New Roman"/>
          <w:szCs w:val="24"/>
        </w:rPr>
      </w:pPr>
      <w:r w:rsidRPr="003D7525">
        <w:rPr>
          <w:rFonts w:ascii="Times New Roman" w:hAnsi="Times New Roman"/>
          <w:b/>
          <w:bCs/>
          <w:szCs w:val="24"/>
        </w:rPr>
        <w:t xml:space="preserve">For </w:t>
      </w:r>
      <w:r>
        <w:rPr>
          <w:rFonts w:ascii="Times New Roman" w:hAnsi="Times New Roman"/>
          <w:b/>
          <w:bCs/>
          <w:szCs w:val="24"/>
        </w:rPr>
        <w:t>action to:</w:t>
      </w:r>
      <w:r>
        <w:rPr>
          <w:rFonts w:ascii="Times New Roman" w:hAnsi="Times New Roman"/>
          <w:b/>
          <w:bCs/>
          <w:szCs w:val="24"/>
        </w:rPr>
        <w:tab/>
      </w:r>
      <w:r>
        <w:rPr>
          <w:rFonts w:ascii="Times New Roman" w:hAnsi="Times New Roman"/>
          <w:b/>
          <w:bCs/>
          <w:szCs w:val="24"/>
        </w:rPr>
        <w:tab/>
      </w:r>
      <w:r w:rsidRPr="008350DF">
        <w:rPr>
          <w:rFonts w:ascii="Times New Roman" w:hAnsi="Times New Roman"/>
          <w:szCs w:val="24"/>
        </w:rPr>
        <w:t>CWG-FHR, RAG, TSAG, TDAG</w:t>
      </w:r>
    </w:p>
    <w:p w14:paraId="1217DF8A" w14:textId="72DD4747" w:rsidR="009D034A" w:rsidRDefault="009D034A" w:rsidP="009D034A">
      <w:pPr>
        <w:rPr>
          <w:rFonts w:ascii="Times New Roman" w:hAnsi="Times New Roman"/>
          <w:b/>
          <w:bCs/>
          <w:szCs w:val="24"/>
        </w:rPr>
      </w:pPr>
      <w:r>
        <w:rPr>
          <w:rFonts w:ascii="Times New Roman" w:hAnsi="Times New Roman"/>
          <w:b/>
          <w:bCs/>
          <w:szCs w:val="24"/>
        </w:rPr>
        <w:t xml:space="preserve">For comment to: </w:t>
      </w:r>
      <w:r>
        <w:rPr>
          <w:rFonts w:ascii="Times New Roman" w:hAnsi="Times New Roman"/>
          <w:b/>
          <w:bCs/>
          <w:szCs w:val="24"/>
        </w:rPr>
        <w:tab/>
      </w:r>
      <w:r w:rsidR="004B68A0">
        <w:rPr>
          <w:rFonts w:ascii="Times New Roman" w:hAnsi="Times New Roman"/>
          <w:szCs w:val="24"/>
        </w:rPr>
        <w:t>–</w:t>
      </w:r>
    </w:p>
    <w:p w14:paraId="38E77B2A" w14:textId="322A22CC" w:rsidR="009D034A" w:rsidRDefault="009D034A" w:rsidP="009D034A">
      <w:pPr>
        <w:rPr>
          <w:rFonts w:ascii="Times New Roman" w:hAnsi="Times New Roman"/>
          <w:b/>
          <w:bCs/>
          <w:szCs w:val="24"/>
        </w:rPr>
      </w:pPr>
      <w:r>
        <w:rPr>
          <w:rFonts w:ascii="Times New Roman" w:hAnsi="Times New Roman"/>
          <w:b/>
          <w:bCs/>
          <w:szCs w:val="24"/>
        </w:rPr>
        <w:t xml:space="preserve">For information to: </w:t>
      </w:r>
      <w:r>
        <w:rPr>
          <w:rFonts w:ascii="Times New Roman" w:hAnsi="Times New Roman"/>
          <w:b/>
          <w:bCs/>
          <w:szCs w:val="24"/>
        </w:rPr>
        <w:tab/>
      </w:r>
      <w:r w:rsidR="004B68A0">
        <w:rPr>
          <w:rFonts w:ascii="Times New Roman" w:hAnsi="Times New Roman"/>
          <w:b/>
          <w:bCs/>
          <w:szCs w:val="24"/>
        </w:rPr>
        <w:t>–</w:t>
      </w:r>
    </w:p>
    <w:p w14:paraId="236CBF6B" w14:textId="37E01B9A" w:rsidR="009D034A" w:rsidRPr="00103335" w:rsidRDefault="009D034A" w:rsidP="009D034A">
      <w:pPr>
        <w:rPr>
          <w:rFonts w:ascii="Times New Roman" w:hAnsi="Times New Roman"/>
          <w:szCs w:val="24"/>
        </w:rPr>
      </w:pPr>
      <w:r>
        <w:rPr>
          <w:rFonts w:ascii="Times New Roman" w:hAnsi="Times New Roman"/>
          <w:b/>
          <w:bCs/>
          <w:szCs w:val="24"/>
        </w:rPr>
        <w:t xml:space="preserve">Approval: </w:t>
      </w:r>
      <w:r>
        <w:rPr>
          <w:rFonts w:ascii="Times New Roman" w:hAnsi="Times New Roman"/>
          <w:b/>
          <w:bCs/>
          <w:szCs w:val="24"/>
        </w:rPr>
        <w:tab/>
      </w:r>
      <w:r>
        <w:rPr>
          <w:rFonts w:ascii="Times New Roman" w:hAnsi="Times New Roman"/>
          <w:b/>
          <w:bCs/>
          <w:szCs w:val="24"/>
        </w:rPr>
        <w:tab/>
      </w:r>
      <w:r w:rsidR="009B657E">
        <w:rPr>
          <w:rFonts w:ascii="Times New Roman" w:hAnsi="Times New Roman"/>
          <w:b/>
          <w:bCs/>
          <w:szCs w:val="24"/>
        </w:rPr>
        <w:tab/>
      </w:r>
      <w:r w:rsidRPr="00CA6CBF">
        <w:rPr>
          <w:rFonts w:ascii="Times New Roman" w:hAnsi="Times New Roman"/>
          <w:szCs w:val="24"/>
        </w:rPr>
        <w:t xml:space="preserve">CWG-SFP </w:t>
      </w:r>
      <w:r>
        <w:rPr>
          <w:rFonts w:ascii="Times New Roman" w:hAnsi="Times New Roman"/>
          <w:szCs w:val="24"/>
        </w:rPr>
        <w:t>3</w:t>
      </w:r>
      <w:r w:rsidRPr="00E2030C">
        <w:rPr>
          <w:rFonts w:ascii="Times New Roman" w:hAnsi="Times New Roman"/>
          <w:szCs w:val="24"/>
          <w:vertAlign w:val="superscript"/>
        </w:rPr>
        <w:t>rd</w:t>
      </w:r>
      <w:r>
        <w:rPr>
          <w:rFonts w:ascii="Times New Roman" w:hAnsi="Times New Roman"/>
          <w:szCs w:val="24"/>
        </w:rPr>
        <w:t xml:space="preserve"> Meeting (</w:t>
      </w:r>
      <w:r w:rsidRPr="005414E4">
        <w:rPr>
          <w:rFonts w:ascii="Times New Roman" w:hAnsi="Times New Roman"/>
          <w:szCs w:val="24"/>
        </w:rPr>
        <w:t>8-10 September 2025</w:t>
      </w:r>
      <w:r>
        <w:rPr>
          <w:rFonts w:ascii="Times New Roman" w:hAnsi="Times New Roman"/>
          <w:szCs w:val="24"/>
        </w:rPr>
        <w:t>)</w:t>
      </w:r>
    </w:p>
    <w:p w14:paraId="569A5FAE" w14:textId="1585C940" w:rsidR="009D034A" w:rsidRPr="004B68A0" w:rsidRDefault="009D034A" w:rsidP="004B68A0">
      <w:pPr>
        <w:spacing w:after="120"/>
        <w:rPr>
          <w:rFonts w:ascii="Times New Roman" w:hAnsi="Times New Roman"/>
        </w:rPr>
      </w:pPr>
      <w:r w:rsidRPr="369C600E">
        <w:rPr>
          <w:rFonts w:ascii="Times New Roman" w:hAnsi="Times New Roman"/>
          <w:b/>
        </w:rPr>
        <w:t>Deadline:</w:t>
      </w:r>
      <w:r>
        <w:tab/>
      </w:r>
      <w:r>
        <w:tab/>
      </w:r>
      <w:r>
        <w:tab/>
      </w:r>
      <w:r w:rsidRPr="00AF7BEB">
        <w:rPr>
          <w:rFonts w:ascii="Times New Roman" w:hAnsi="Times New Roman"/>
        </w:rPr>
        <w:t>1 December 2025</w:t>
      </w:r>
    </w:p>
    <w:tbl>
      <w:tblPr>
        <w:tblW w:w="5000" w:type="pct"/>
        <w:tblCellMar>
          <w:left w:w="57" w:type="dxa"/>
          <w:right w:w="57" w:type="dxa"/>
        </w:tblCellMar>
        <w:tblLook w:val="0000" w:firstRow="0" w:lastRow="0" w:firstColumn="0" w:lastColumn="0" w:noHBand="0" w:noVBand="0"/>
      </w:tblPr>
      <w:tblGrid>
        <w:gridCol w:w="1501"/>
        <w:gridCol w:w="493"/>
        <w:gridCol w:w="3494"/>
        <w:gridCol w:w="3583"/>
      </w:tblGrid>
      <w:tr w:rsidR="009D034A" w:rsidRPr="00FD17A3" w14:paraId="36AF00E9" w14:textId="77777777" w:rsidTr="009B657E">
        <w:trPr>
          <w:cantSplit/>
          <w:trHeight w:val="204"/>
        </w:trPr>
        <w:tc>
          <w:tcPr>
            <w:tcW w:w="1099" w:type="pct"/>
            <w:gridSpan w:val="2"/>
            <w:tcBorders>
              <w:top w:val="single" w:sz="8" w:space="0" w:color="auto"/>
              <w:bottom w:val="single" w:sz="4" w:space="0" w:color="auto"/>
            </w:tcBorders>
          </w:tcPr>
          <w:p w14:paraId="7B55701F" w14:textId="77777777" w:rsidR="009D034A" w:rsidRPr="00F73C65" w:rsidRDefault="009D034A" w:rsidP="00A01B82">
            <w:pPr>
              <w:spacing w:before="80" w:after="80"/>
              <w:rPr>
                <w:rFonts w:ascii="Times New Roman" w:hAnsi="Times New Roman"/>
                <w:b/>
                <w:bCs/>
                <w:szCs w:val="24"/>
              </w:rPr>
            </w:pPr>
            <w:r w:rsidRPr="00F73C65">
              <w:rPr>
                <w:rFonts w:ascii="Times New Roman" w:hAnsi="Times New Roman"/>
                <w:b/>
                <w:bCs/>
                <w:szCs w:val="24"/>
              </w:rPr>
              <w:t>Contact:</w:t>
            </w:r>
          </w:p>
        </w:tc>
        <w:tc>
          <w:tcPr>
            <w:tcW w:w="1926" w:type="pct"/>
            <w:tcBorders>
              <w:top w:val="single" w:sz="8" w:space="0" w:color="auto"/>
              <w:bottom w:val="single" w:sz="4" w:space="0" w:color="auto"/>
            </w:tcBorders>
          </w:tcPr>
          <w:p w14:paraId="7868C3ED" w14:textId="41997194" w:rsidR="009D034A" w:rsidRPr="009B657E" w:rsidRDefault="009D034A" w:rsidP="00A01B82">
            <w:pPr>
              <w:spacing w:before="80" w:after="80"/>
              <w:rPr>
                <w:rFonts w:ascii="Times New Roman" w:hAnsi="Times New Roman"/>
                <w:szCs w:val="24"/>
                <w:lang w:val="en-AU"/>
              </w:rPr>
            </w:pPr>
            <w:r w:rsidRPr="008540AE">
              <w:rPr>
                <w:rFonts w:ascii="Times New Roman" w:hAnsi="Times New Roman"/>
                <w:szCs w:val="24"/>
                <w:lang w:val="fr-FR"/>
              </w:rPr>
              <w:t xml:space="preserve">Mansour </w:t>
            </w:r>
            <w:proofErr w:type="spellStart"/>
            <w:r w:rsidRPr="008540AE">
              <w:rPr>
                <w:rFonts w:ascii="Times New Roman" w:hAnsi="Times New Roman"/>
                <w:szCs w:val="24"/>
                <w:lang w:val="fr-FR"/>
              </w:rPr>
              <w:t>A</w:t>
            </w:r>
            <w:r>
              <w:rPr>
                <w:rFonts w:ascii="Times New Roman" w:hAnsi="Times New Roman"/>
                <w:szCs w:val="24"/>
                <w:lang w:val="fr-FR"/>
              </w:rPr>
              <w:t>l</w:t>
            </w:r>
            <w:r w:rsidRPr="008540AE">
              <w:rPr>
                <w:rFonts w:ascii="Times New Roman" w:hAnsi="Times New Roman"/>
                <w:szCs w:val="24"/>
                <w:lang w:val="fr-FR"/>
              </w:rPr>
              <w:t>-Qurashi</w:t>
            </w:r>
            <w:proofErr w:type="spellEnd"/>
            <w:r w:rsidRPr="008540AE">
              <w:rPr>
                <w:rFonts w:ascii="Times New Roman" w:hAnsi="Times New Roman"/>
                <w:b/>
                <w:bCs/>
                <w:szCs w:val="24"/>
                <w:lang w:val="fr-FR"/>
              </w:rPr>
              <w:br/>
            </w:r>
            <w:proofErr w:type="spellStart"/>
            <w:r w:rsidRPr="008540AE">
              <w:rPr>
                <w:rFonts w:ascii="Times New Roman" w:hAnsi="Times New Roman"/>
                <w:szCs w:val="24"/>
                <w:lang w:val="fr-FR"/>
              </w:rPr>
              <w:t>CWG</w:t>
            </w:r>
            <w:proofErr w:type="spellEnd"/>
            <w:r w:rsidRPr="008540AE">
              <w:rPr>
                <w:rFonts w:ascii="Times New Roman" w:hAnsi="Times New Roman"/>
                <w:szCs w:val="24"/>
                <w:lang w:val="fr-FR"/>
              </w:rPr>
              <w:t>-SFP Chair</w:t>
            </w:r>
            <w:r w:rsidR="00A01B82">
              <w:rPr>
                <w:rFonts w:ascii="Times New Roman" w:hAnsi="Times New Roman"/>
                <w:szCs w:val="24"/>
                <w:lang w:val="fr-FR"/>
              </w:rPr>
              <w:br/>
            </w:r>
            <w:r>
              <w:rPr>
                <w:rFonts w:ascii="Times New Roman" w:hAnsi="Times New Roman"/>
                <w:szCs w:val="24"/>
                <w:lang w:val="en-AU"/>
              </w:rPr>
              <w:t>(Saudi Arabia)</w:t>
            </w:r>
          </w:p>
        </w:tc>
        <w:tc>
          <w:tcPr>
            <w:tcW w:w="1975" w:type="pct"/>
            <w:tcBorders>
              <w:top w:val="single" w:sz="8" w:space="0" w:color="auto"/>
              <w:bottom w:val="single" w:sz="4" w:space="0" w:color="auto"/>
            </w:tcBorders>
          </w:tcPr>
          <w:p w14:paraId="0B46D03A" w14:textId="48864742" w:rsidR="009D034A" w:rsidRPr="00FD17A3" w:rsidRDefault="009D034A" w:rsidP="00A01B82">
            <w:pPr>
              <w:spacing w:before="80" w:after="80"/>
              <w:rPr>
                <w:rFonts w:ascii="Times New Roman" w:hAnsi="Times New Roman"/>
                <w:szCs w:val="24"/>
                <w:lang w:val="it-IT"/>
              </w:rPr>
            </w:pPr>
            <w:r w:rsidRPr="00FD17A3">
              <w:rPr>
                <w:rFonts w:ascii="Times New Roman" w:hAnsi="Times New Roman"/>
                <w:b/>
                <w:bCs/>
                <w:szCs w:val="24"/>
                <w:lang w:val="it-IT"/>
              </w:rPr>
              <w:t>E-mail:</w:t>
            </w:r>
            <w:r w:rsidRPr="00FD17A3">
              <w:rPr>
                <w:rFonts w:ascii="Times New Roman" w:hAnsi="Times New Roman"/>
                <w:szCs w:val="24"/>
                <w:lang w:val="it-IT"/>
              </w:rPr>
              <w:t xml:space="preserve"> </w:t>
            </w:r>
            <w:hyperlink r:id="rId37" w:history="1">
              <w:r w:rsidRPr="00FD17A3">
                <w:rPr>
                  <w:rStyle w:val="Hyperlink"/>
                  <w:rFonts w:ascii="Times New Roman" w:hAnsi="Times New Roman"/>
                  <w:szCs w:val="24"/>
                  <w:lang w:val="it-IT"/>
                </w:rPr>
                <w:t>strategy@itu.int</w:t>
              </w:r>
            </w:hyperlink>
            <w:r w:rsidRPr="00FD17A3">
              <w:rPr>
                <w:rFonts w:ascii="Times New Roman" w:hAnsi="Times New Roman"/>
                <w:szCs w:val="24"/>
                <w:lang w:val="it-IT"/>
              </w:rPr>
              <w:t xml:space="preserve"> </w:t>
            </w:r>
          </w:p>
        </w:tc>
      </w:tr>
      <w:tr w:rsidR="009D034A" w:rsidRPr="00E03807" w14:paraId="563913F1" w14:textId="77777777" w:rsidTr="009B657E">
        <w:trPr>
          <w:cantSplit/>
          <w:trHeight w:val="489"/>
        </w:trPr>
        <w:tc>
          <w:tcPr>
            <w:tcW w:w="827" w:type="pct"/>
          </w:tcPr>
          <w:p w14:paraId="72C2BB31" w14:textId="77777777" w:rsidR="009D034A" w:rsidRPr="0098572B" w:rsidRDefault="009D034A" w:rsidP="00A01B82">
            <w:pPr>
              <w:spacing w:before="80" w:after="80"/>
              <w:rPr>
                <w:rFonts w:ascii="Times New Roman" w:hAnsi="Times New Roman"/>
                <w:b/>
                <w:bCs/>
              </w:rPr>
            </w:pPr>
            <w:r w:rsidRPr="0098572B">
              <w:rPr>
                <w:rFonts w:ascii="Times New Roman" w:hAnsi="Times New Roman"/>
                <w:b/>
                <w:bCs/>
              </w:rPr>
              <w:t>Keywords:</w:t>
            </w:r>
          </w:p>
        </w:tc>
        <w:tc>
          <w:tcPr>
            <w:tcW w:w="4173" w:type="pct"/>
            <w:gridSpan w:val="3"/>
          </w:tcPr>
          <w:p w14:paraId="33942AC2" w14:textId="77777777" w:rsidR="009D034A" w:rsidRPr="0098572B" w:rsidRDefault="009D034A" w:rsidP="00A01B82">
            <w:pPr>
              <w:spacing w:before="80" w:after="80"/>
              <w:rPr>
                <w:rFonts w:ascii="Times New Roman" w:hAnsi="Times New Roman"/>
              </w:rPr>
            </w:pPr>
            <w:r>
              <w:rPr>
                <w:rFonts w:ascii="Times New Roman" w:hAnsi="Times New Roman"/>
              </w:rPr>
              <w:t>Financial and Strategic Plans, Strategy, Council Working Group, Council.</w:t>
            </w:r>
          </w:p>
        </w:tc>
      </w:tr>
      <w:tr w:rsidR="009D034A" w:rsidRPr="00E03807" w14:paraId="214F23D0" w14:textId="77777777" w:rsidTr="009B657E">
        <w:trPr>
          <w:cantSplit/>
          <w:trHeight w:val="1094"/>
        </w:trPr>
        <w:tc>
          <w:tcPr>
            <w:tcW w:w="827" w:type="pct"/>
          </w:tcPr>
          <w:p w14:paraId="66BED89E" w14:textId="77777777" w:rsidR="009D034A" w:rsidRPr="0098572B" w:rsidRDefault="009D034A" w:rsidP="00A01B82">
            <w:pPr>
              <w:spacing w:before="80" w:after="80"/>
              <w:rPr>
                <w:rFonts w:ascii="Times New Roman" w:hAnsi="Times New Roman"/>
                <w:b/>
                <w:bCs/>
              </w:rPr>
            </w:pPr>
            <w:r w:rsidRPr="0098572B">
              <w:rPr>
                <w:rFonts w:ascii="Times New Roman" w:hAnsi="Times New Roman"/>
                <w:b/>
                <w:bCs/>
              </w:rPr>
              <w:t>Abstract:</w:t>
            </w:r>
          </w:p>
        </w:tc>
        <w:tc>
          <w:tcPr>
            <w:tcW w:w="4173" w:type="pct"/>
            <w:gridSpan w:val="3"/>
          </w:tcPr>
          <w:p w14:paraId="42891DF5" w14:textId="77777777" w:rsidR="009D034A" w:rsidRPr="0098572B" w:rsidRDefault="009D034A" w:rsidP="00A01B82">
            <w:pPr>
              <w:spacing w:before="80" w:after="80"/>
              <w:rPr>
                <w:rFonts w:ascii="Times New Roman" w:hAnsi="Times New Roman"/>
              </w:rPr>
            </w:pPr>
            <w:r w:rsidRPr="0034556E">
              <w:rPr>
                <w:rFonts w:ascii="Times New Roman" w:hAnsi="Times New Roman"/>
              </w:rPr>
              <w:t>Th</w:t>
            </w:r>
            <w:r>
              <w:rPr>
                <w:rFonts w:ascii="Times New Roman" w:hAnsi="Times New Roman"/>
              </w:rPr>
              <w:t>is</w:t>
            </w:r>
            <w:r w:rsidRPr="0034556E">
              <w:rPr>
                <w:rFonts w:ascii="Times New Roman" w:hAnsi="Times New Roman"/>
              </w:rPr>
              <w:t xml:space="preserve"> </w:t>
            </w:r>
            <w:r>
              <w:rPr>
                <w:rFonts w:ascii="Times New Roman" w:hAnsi="Times New Roman"/>
              </w:rPr>
              <w:t xml:space="preserve">document informs about the </w:t>
            </w:r>
            <w:r w:rsidRPr="00AF7BEB">
              <w:rPr>
                <w:rFonts w:ascii="Times New Roman" w:hAnsi="Times New Roman"/>
              </w:rPr>
              <w:t>status of the deliberations</w:t>
            </w:r>
            <w:r>
              <w:rPr>
                <w:rFonts w:ascii="Times New Roman" w:hAnsi="Times New Roman"/>
              </w:rPr>
              <w:t xml:space="preserve"> of the </w:t>
            </w:r>
            <w:bookmarkStart w:id="15" w:name="_Hlk170760173"/>
            <w:r>
              <w:rPr>
                <w:rFonts w:ascii="Times New Roman" w:hAnsi="Times New Roman"/>
              </w:rPr>
              <w:t xml:space="preserve">Council Working Group for Strategic and Financial Plans </w:t>
            </w:r>
            <w:bookmarkEnd w:id="15"/>
            <w:r>
              <w:rPr>
                <w:rFonts w:ascii="Times New Roman" w:hAnsi="Times New Roman"/>
              </w:rPr>
              <w:t>(CWG-SFP) for the period 2028-2031.</w:t>
            </w:r>
          </w:p>
        </w:tc>
      </w:tr>
    </w:tbl>
    <w:p w14:paraId="741D93F0" w14:textId="77777777" w:rsidR="009D034A" w:rsidRDefault="009D034A" w:rsidP="009D034A">
      <w:pPr>
        <w:jc w:val="both"/>
        <w:rPr>
          <w:rFonts w:ascii="Times New Roman" w:hAnsi="Times New Roman"/>
          <w:szCs w:val="24"/>
        </w:rPr>
      </w:pPr>
      <w:r w:rsidRPr="004815CA">
        <w:rPr>
          <w:rFonts w:ascii="Times New Roman" w:hAnsi="Times New Roman"/>
          <w:szCs w:val="24"/>
        </w:rPr>
        <w:t xml:space="preserve">The CWG-SFP would like to inform the Council Working Group for financial and human resources (CWG-FHR), the Radiocommunication Advisory Groups (RAG), the Telecommunication Standardization Advisory Group (TSAG) and the Telecommunication Development Advisory Group (TDAG), </w:t>
      </w:r>
      <w:r>
        <w:rPr>
          <w:rFonts w:ascii="Times New Roman" w:hAnsi="Times New Roman"/>
          <w:szCs w:val="24"/>
        </w:rPr>
        <w:t xml:space="preserve">about </w:t>
      </w:r>
      <w:r w:rsidRPr="004815CA">
        <w:rPr>
          <w:rFonts w:ascii="Times New Roman" w:hAnsi="Times New Roman"/>
          <w:szCs w:val="24"/>
        </w:rPr>
        <w:t>th</w:t>
      </w:r>
      <w:r>
        <w:rPr>
          <w:rFonts w:ascii="Times New Roman" w:hAnsi="Times New Roman"/>
          <w:szCs w:val="24"/>
        </w:rPr>
        <w:t>e outcomes of its third Meeting held on 8-9 September 2025.</w:t>
      </w:r>
    </w:p>
    <w:p w14:paraId="2DC152ED" w14:textId="2A56145D" w:rsidR="009D034A" w:rsidRDefault="009D034A" w:rsidP="009D034A">
      <w:pPr>
        <w:jc w:val="both"/>
        <w:rPr>
          <w:rFonts w:ascii="Times New Roman" w:hAnsi="Times New Roman"/>
          <w:szCs w:val="24"/>
        </w:rPr>
      </w:pPr>
      <w:r>
        <w:rPr>
          <w:rFonts w:ascii="Times New Roman" w:hAnsi="Times New Roman"/>
          <w:szCs w:val="24"/>
        </w:rPr>
        <w:t xml:space="preserve">During its meeting, the CWG-SFP agreed on the </w:t>
      </w:r>
      <w:r w:rsidRPr="001B523B">
        <w:rPr>
          <w:rFonts w:ascii="Times New Roman" w:hAnsi="Times New Roman"/>
          <w:szCs w:val="24"/>
        </w:rPr>
        <w:t xml:space="preserve">approach </w:t>
      </w:r>
      <w:r>
        <w:rPr>
          <w:rFonts w:ascii="Times New Roman" w:hAnsi="Times New Roman"/>
          <w:szCs w:val="24"/>
        </w:rPr>
        <w:t xml:space="preserve">to be taken </w:t>
      </w:r>
      <w:r w:rsidRPr="001B523B">
        <w:rPr>
          <w:rFonts w:ascii="Times New Roman" w:hAnsi="Times New Roman"/>
          <w:szCs w:val="24"/>
        </w:rPr>
        <w:t>by the secretariat to link ITU's strategic, financial and operational plans.</w:t>
      </w:r>
      <w:r>
        <w:rPr>
          <w:rFonts w:ascii="Times New Roman" w:hAnsi="Times New Roman"/>
          <w:szCs w:val="24"/>
        </w:rPr>
        <w:t xml:space="preserve"> This information can be found on </w:t>
      </w:r>
      <w:r w:rsidR="00085C91">
        <w:rPr>
          <w:rFonts w:ascii="Times New Roman" w:hAnsi="Times New Roman"/>
          <w:szCs w:val="24"/>
        </w:rPr>
        <w:t>Document </w:t>
      </w:r>
      <w:hyperlink r:id="rId38" w:history="1">
        <w:r w:rsidRPr="00C30C0E">
          <w:rPr>
            <w:rStyle w:val="Hyperlink"/>
            <w:rFonts w:ascii="Times New Roman" w:hAnsi="Times New Roman"/>
            <w:szCs w:val="24"/>
          </w:rPr>
          <w:t>CWG-SFP-3/6</w:t>
        </w:r>
      </w:hyperlink>
      <w:r>
        <w:rPr>
          <w:rFonts w:ascii="Times New Roman" w:hAnsi="Times New Roman"/>
          <w:szCs w:val="24"/>
        </w:rPr>
        <w:t>.</w:t>
      </w:r>
    </w:p>
    <w:p w14:paraId="6C9727EF" w14:textId="235A6CF2" w:rsidR="009D034A" w:rsidRDefault="009D034A" w:rsidP="009D034A">
      <w:pPr>
        <w:jc w:val="both"/>
        <w:rPr>
          <w:rFonts w:ascii="Times New Roman" w:hAnsi="Times New Roman"/>
          <w:szCs w:val="24"/>
        </w:rPr>
      </w:pPr>
      <w:r>
        <w:rPr>
          <w:rFonts w:ascii="Times New Roman" w:hAnsi="Times New Roman"/>
          <w:szCs w:val="24"/>
        </w:rPr>
        <w:t xml:space="preserve">Following the above mentioned process, the CWG-SFP would like to present to the attention of the CWG-FHR, RAG, TSAG and </w:t>
      </w:r>
      <w:proofErr w:type="spellStart"/>
      <w:r>
        <w:rPr>
          <w:rFonts w:ascii="Times New Roman" w:hAnsi="Times New Roman"/>
          <w:szCs w:val="24"/>
        </w:rPr>
        <w:t>TDAG</w:t>
      </w:r>
      <w:proofErr w:type="spellEnd"/>
      <w:r>
        <w:rPr>
          <w:rFonts w:ascii="Times New Roman" w:hAnsi="Times New Roman"/>
          <w:szCs w:val="24"/>
        </w:rPr>
        <w:t xml:space="preserve">, </w:t>
      </w:r>
      <w:r w:rsidR="00085C91">
        <w:rPr>
          <w:rFonts w:ascii="Times New Roman" w:hAnsi="Times New Roman"/>
          <w:szCs w:val="24"/>
        </w:rPr>
        <w:t xml:space="preserve">Document </w:t>
      </w:r>
      <w:hyperlink r:id="rId39" w:history="1">
        <w:r w:rsidRPr="00F479C1">
          <w:rPr>
            <w:rStyle w:val="Hyperlink"/>
            <w:rFonts w:ascii="Times New Roman" w:hAnsi="Times New Roman"/>
            <w:caps/>
            <w:szCs w:val="24"/>
          </w:rPr>
          <w:t>cwg-sfp</w:t>
        </w:r>
        <w:r w:rsidRPr="00F479C1">
          <w:rPr>
            <w:rStyle w:val="Hyperlink"/>
            <w:rFonts w:ascii="Times New Roman" w:hAnsi="Times New Roman"/>
            <w:szCs w:val="24"/>
          </w:rPr>
          <w:t>-3/7</w:t>
        </w:r>
      </w:hyperlink>
      <w:r>
        <w:rPr>
          <w:rFonts w:ascii="Times New Roman" w:hAnsi="Times New Roman"/>
          <w:caps/>
          <w:szCs w:val="24"/>
        </w:rPr>
        <w:t xml:space="preserve"> </w:t>
      </w:r>
      <w:r>
        <w:rPr>
          <w:rFonts w:ascii="Times New Roman" w:hAnsi="Times New Roman"/>
          <w:szCs w:val="24"/>
        </w:rPr>
        <w:t>containing the</w:t>
      </w:r>
      <w:r w:rsidRPr="00F61201">
        <w:t xml:space="preserve"> </w:t>
      </w:r>
      <w:r w:rsidRPr="00F61201">
        <w:rPr>
          <w:rFonts w:ascii="Times New Roman" w:hAnsi="Times New Roman"/>
          <w:szCs w:val="24"/>
        </w:rPr>
        <w:t>suggested performance indicators for Impact and</w:t>
      </w:r>
      <w:r>
        <w:rPr>
          <w:rFonts w:ascii="Times New Roman" w:hAnsi="Times New Roman"/>
          <w:szCs w:val="24"/>
        </w:rPr>
        <w:t xml:space="preserve"> </w:t>
      </w:r>
      <w:r w:rsidRPr="00F61201">
        <w:rPr>
          <w:rFonts w:ascii="Times New Roman" w:hAnsi="Times New Roman"/>
          <w:szCs w:val="24"/>
        </w:rPr>
        <w:t>Outcome level that fit the Results-Based Management (RBM) principles guiding the</w:t>
      </w:r>
      <w:r>
        <w:rPr>
          <w:rFonts w:ascii="Times New Roman" w:hAnsi="Times New Roman"/>
          <w:szCs w:val="24"/>
        </w:rPr>
        <w:t xml:space="preserve"> </w:t>
      </w:r>
      <w:r w:rsidRPr="00F61201">
        <w:rPr>
          <w:rFonts w:ascii="Times New Roman" w:hAnsi="Times New Roman"/>
          <w:szCs w:val="24"/>
        </w:rPr>
        <w:t>formulation of the draft Strategic and Financial Plans 2028-203</w:t>
      </w:r>
      <w:r>
        <w:rPr>
          <w:rFonts w:ascii="Times New Roman" w:hAnsi="Times New Roman"/>
          <w:szCs w:val="24"/>
        </w:rPr>
        <w:t>1.</w:t>
      </w:r>
    </w:p>
    <w:p w14:paraId="7DE3F3DB" w14:textId="77777777" w:rsidR="009D034A" w:rsidRPr="00415925" w:rsidRDefault="009D034A" w:rsidP="009D034A">
      <w:pPr>
        <w:jc w:val="both"/>
        <w:rPr>
          <w:rFonts w:ascii="Times New Roman" w:hAnsi="Times New Roman"/>
          <w:szCs w:val="24"/>
        </w:rPr>
      </w:pPr>
      <w:r w:rsidRPr="00415925">
        <w:rPr>
          <w:rFonts w:ascii="Times New Roman" w:hAnsi="Times New Roman"/>
          <w:szCs w:val="24"/>
        </w:rPr>
        <w:t xml:space="preserve">During the meeting, the CWG-SFP also discussed about ITU’s Mission and Vision, as components of the strategic plan framework. Background information on this matter can be found </w:t>
      </w:r>
      <w:hyperlink r:id="rId40" w:history="1">
        <w:r w:rsidRPr="00415925">
          <w:rPr>
            <w:rStyle w:val="Hyperlink"/>
            <w:rFonts w:ascii="Times New Roman" w:hAnsi="Times New Roman"/>
            <w:szCs w:val="24"/>
          </w:rPr>
          <w:t>here</w:t>
        </w:r>
      </w:hyperlink>
      <w:r w:rsidRPr="00415925">
        <w:rPr>
          <w:rFonts w:ascii="Times New Roman" w:hAnsi="Times New Roman"/>
          <w:szCs w:val="24"/>
        </w:rPr>
        <w:t>.</w:t>
      </w:r>
    </w:p>
    <w:p w14:paraId="2D0F1876" w14:textId="7FE656A6" w:rsidR="009D034A" w:rsidRPr="00F61201" w:rsidRDefault="009D034A" w:rsidP="009D034A">
      <w:pPr>
        <w:jc w:val="both"/>
        <w:rPr>
          <w:rFonts w:ascii="Times New Roman" w:hAnsi="Times New Roman"/>
          <w:szCs w:val="24"/>
        </w:rPr>
      </w:pPr>
      <w:r w:rsidRPr="00415925">
        <w:rPr>
          <w:rFonts w:ascii="Times New Roman" w:hAnsi="Times New Roman"/>
          <w:szCs w:val="24"/>
        </w:rPr>
        <w:t xml:space="preserve">The CWG-SFP invites RAG, TSAG and TDAG to review the outcomes indicators presented on </w:t>
      </w:r>
      <w:r w:rsidR="00085C91" w:rsidRPr="00415925">
        <w:rPr>
          <w:rFonts w:ascii="Times New Roman" w:hAnsi="Times New Roman"/>
          <w:szCs w:val="24"/>
        </w:rPr>
        <w:t xml:space="preserve">Document </w:t>
      </w:r>
      <w:r w:rsidRPr="00415925">
        <w:rPr>
          <w:rFonts w:ascii="Times New Roman" w:hAnsi="Times New Roman"/>
          <w:szCs w:val="24"/>
        </w:rPr>
        <w:t>7, as well as the proposed Mission and Vision for the Union, and to provide their input for consideration at the fourth meeting of CWG-SFP, which will take place in</w:t>
      </w:r>
      <w:r w:rsidRPr="005F0A80">
        <w:rPr>
          <w:rFonts w:ascii="Times New Roman" w:hAnsi="Times New Roman"/>
          <w:szCs w:val="24"/>
        </w:rPr>
        <w:t xml:space="preserve"> January</w:t>
      </w:r>
      <w:r w:rsidR="00085C91">
        <w:rPr>
          <w:rFonts w:ascii="Times New Roman" w:hAnsi="Times New Roman"/>
          <w:szCs w:val="24"/>
        </w:rPr>
        <w:t> </w:t>
      </w:r>
      <w:r w:rsidRPr="005F0A80">
        <w:rPr>
          <w:rFonts w:ascii="Times New Roman" w:hAnsi="Times New Roman"/>
          <w:szCs w:val="24"/>
        </w:rPr>
        <w:t>202</w:t>
      </w:r>
      <w:r w:rsidR="003B207D">
        <w:rPr>
          <w:rFonts w:ascii="Times New Roman" w:hAnsi="Times New Roman"/>
          <w:szCs w:val="24"/>
        </w:rPr>
        <w:t>6</w:t>
      </w:r>
      <w:r w:rsidRPr="005F0A80">
        <w:rPr>
          <w:rFonts w:ascii="Times New Roman" w:hAnsi="Times New Roman"/>
          <w:szCs w:val="24"/>
        </w:rPr>
        <w:t>.</w:t>
      </w:r>
      <w:r>
        <w:rPr>
          <w:rFonts w:ascii="Times New Roman" w:hAnsi="Times New Roman"/>
          <w:szCs w:val="24"/>
        </w:rPr>
        <w:t xml:space="preserve"> </w:t>
      </w:r>
    </w:p>
    <w:p w14:paraId="372A431B" w14:textId="77777777" w:rsidR="009D034A" w:rsidRPr="00215FEE" w:rsidRDefault="009D034A" w:rsidP="0060691C">
      <w:pPr>
        <w:keepLines/>
        <w:jc w:val="both"/>
        <w:rPr>
          <w:rFonts w:ascii="Times New Roman" w:hAnsi="Times New Roman"/>
          <w:szCs w:val="24"/>
        </w:rPr>
      </w:pPr>
      <w:r w:rsidRPr="004815CA">
        <w:rPr>
          <w:rFonts w:ascii="Times New Roman" w:hAnsi="Times New Roman"/>
          <w:szCs w:val="24"/>
        </w:rPr>
        <w:lastRenderedPageBreak/>
        <w:t>In addition</w:t>
      </w:r>
      <w:r>
        <w:rPr>
          <w:rFonts w:ascii="Times New Roman" w:hAnsi="Times New Roman"/>
          <w:szCs w:val="24"/>
        </w:rPr>
        <w:t xml:space="preserve">, the CWG-SFP would like to inform that all inputs presented by the secretariat are being </w:t>
      </w:r>
      <w:r w:rsidRPr="00707AFA">
        <w:rPr>
          <w:rFonts w:ascii="Times New Roman" w:hAnsi="Times New Roman"/>
          <w:szCs w:val="24"/>
        </w:rPr>
        <w:t xml:space="preserve">prepared and reviewed jointly </w:t>
      </w:r>
      <w:r>
        <w:rPr>
          <w:rFonts w:ascii="Times New Roman" w:hAnsi="Times New Roman"/>
          <w:szCs w:val="24"/>
        </w:rPr>
        <w:t xml:space="preserve">by an </w:t>
      </w:r>
      <w:r w:rsidRPr="00707AFA">
        <w:rPr>
          <w:rFonts w:ascii="Times New Roman" w:hAnsi="Times New Roman"/>
          <w:szCs w:val="24"/>
        </w:rPr>
        <w:t>intersector</w:t>
      </w:r>
      <w:r w:rsidRPr="00B3610B">
        <w:rPr>
          <w:rFonts w:ascii="Times New Roman" w:hAnsi="Times New Roman"/>
          <w:szCs w:val="24"/>
        </w:rPr>
        <w:t>al team, with T</w:t>
      </w:r>
      <w:r>
        <w:rPr>
          <w:rFonts w:ascii="Times New Roman" w:hAnsi="Times New Roman"/>
          <w:szCs w:val="24"/>
        </w:rPr>
        <w:t xml:space="preserve">erms </w:t>
      </w:r>
      <w:r w:rsidRPr="00B3610B">
        <w:rPr>
          <w:rFonts w:ascii="Times New Roman" w:hAnsi="Times New Roman"/>
          <w:szCs w:val="24"/>
        </w:rPr>
        <w:t>o</w:t>
      </w:r>
      <w:r>
        <w:rPr>
          <w:rFonts w:ascii="Times New Roman" w:hAnsi="Times New Roman"/>
          <w:szCs w:val="24"/>
        </w:rPr>
        <w:t xml:space="preserve">f </w:t>
      </w:r>
      <w:r w:rsidRPr="00B3610B">
        <w:rPr>
          <w:rFonts w:ascii="Times New Roman" w:hAnsi="Times New Roman"/>
          <w:szCs w:val="24"/>
        </w:rPr>
        <w:t>R</w:t>
      </w:r>
      <w:r>
        <w:rPr>
          <w:rFonts w:ascii="Times New Roman" w:hAnsi="Times New Roman"/>
          <w:szCs w:val="24"/>
        </w:rPr>
        <w:t>eference</w:t>
      </w:r>
      <w:r w:rsidRPr="00B3610B">
        <w:rPr>
          <w:rFonts w:ascii="Times New Roman" w:hAnsi="Times New Roman"/>
          <w:szCs w:val="24"/>
        </w:rPr>
        <w:t xml:space="preserve"> approved by </w:t>
      </w:r>
      <w:proofErr w:type="spellStart"/>
      <w:r w:rsidRPr="00B3610B">
        <w:rPr>
          <w:rFonts w:ascii="Times New Roman" w:hAnsi="Times New Roman"/>
          <w:szCs w:val="24"/>
        </w:rPr>
        <w:t>CoCo</w:t>
      </w:r>
      <w:proofErr w:type="spellEnd"/>
      <w:r w:rsidRPr="00B3610B">
        <w:rPr>
          <w:rFonts w:ascii="Times New Roman" w:hAnsi="Times New Roman"/>
          <w:szCs w:val="24"/>
        </w:rPr>
        <w:t>, chaired by the D</w:t>
      </w:r>
      <w:r>
        <w:rPr>
          <w:rFonts w:ascii="Times New Roman" w:hAnsi="Times New Roman"/>
          <w:szCs w:val="24"/>
        </w:rPr>
        <w:t xml:space="preserve">eputy Secretary-General and composed of representatives from the three Bureaux and the General Secretariat relevant </w:t>
      </w:r>
      <w:r w:rsidRPr="00B3610B">
        <w:rPr>
          <w:rFonts w:ascii="Times New Roman" w:hAnsi="Times New Roman"/>
          <w:szCs w:val="24"/>
        </w:rPr>
        <w:t>departments.</w:t>
      </w:r>
      <w:r>
        <w:rPr>
          <w:rFonts w:ascii="Times New Roman" w:hAnsi="Times New Roman"/>
          <w:szCs w:val="24"/>
        </w:rPr>
        <w:t xml:space="preserve"> I</w:t>
      </w:r>
      <w:r w:rsidRPr="00215FEE">
        <w:rPr>
          <w:rFonts w:ascii="Times New Roman" w:hAnsi="Times New Roman"/>
          <w:szCs w:val="24"/>
        </w:rPr>
        <w:t xml:space="preserve">nformation </w:t>
      </w:r>
      <w:r>
        <w:rPr>
          <w:rFonts w:ascii="Times New Roman" w:hAnsi="Times New Roman"/>
          <w:szCs w:val="24"/>
        </w:rPr>
        <w:t>related to</w:t>
      </w:r>
      <w:r w:rsidRPr="00215FEE">
        <w:rPr>
          <w:rFonts w:ascii="Times New Roman" w:hAnsi="Times New Roman"/>
          <w:szCs w:val="24"/>
        </w:rPr>
        <w:t xml:space="preserve"> the meetings is available on the </w:t>
      </w:r>
      <w:hyperlink r:id="rId41" w:history="1">
        <w:r w:rsidRPr="00222A4B">
          <w:rPr>
            <w:rStyle w:val="Hyperlink"/>
            <w:rFonts w:ascii="Times New Roman" w:hAnsi="Times New Roman"/>
            <w:szCs w:val="24"/>
          </w:rPr>
          <w:t>CWG-SFP website</w:t>
        </w:r>
      </w:hyperlink>
      <w:r w:rsidRPr="00215FEE">
        <w:rPr>
          <w:rFonts w:ascii="Times New Roman" w:hAnsi="Times New Roman"/>
          <w:szCs w:val="24"/>
        </w:rPr>
        <w:t>.</w:t>
      </w:r>
    </w:p>
    <w:p w14:paraId="6B5D2D49" w14:textId="77777777" w:rsidR="009D034A" w:rsidRDefault="009D034A" w:rsidP="009D034A">
      <w:pPr>
        <w:jc w:val="both"/>
        <w:rPr>
          <w:rFonts w:ascii="Times New Roman" w:hAnsi="Times New Roman"/>
          <w:szCs w:val="24"/>
        </w:rPr>
      </w:pPr>
      <w:r w:rsidRPr="00215FEE">
        <w:rPr>
          <w:rFonts w:ascii="Times New Roman" w:hAnsi="Times New Roman"/>
          <w:szCs w:val="24"/>
        </w:rPr>
        <w:t>Looking forward to receiving your feedback, the CWG-SFP thanks the CWG-FHR, RAG, TSAG and TDAG for its collaboration and contributions.</w:t>
      </w:r>
    </w:p>
    <w:p w14:paraId="3E75685C" w14:textId="503B2476" w:rsidR="00736A70" w:rsidRDefault="00736A70" w:rsidP="002650D4">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rPr>
      </w:pPr>
    </w:p>
    <w:p w14:paraId="5CF5E045" w14:textId="530FAA7E" w:rsidR="00A01B82" w:rsidRPr="00A01B82" w:rsidRDefault="00A01B82" w:rsidP="00A01B82">
      <w:pPr>
        <w:jc w:val="center"/>
      </w:pPr>
      <w:r>
        <w:t>______________</w:t>
      </w:r>
    </w:p>
    <w:sectPr w:rsidR="00A01B82" w:rsidRPr="00A01B82" w:rsidSect="00AD3606">
      <w:headerReference w:type="even" r:id="rId42"/>
      <w:headerReference w:type="default" r:id="rId43"/>
      <w:footerReference w:type="even" r:id="rId44"/>
      <w:footerReference w:type="default" r:id="rId45"/>
      <w:headerReference w:type="first" r:id="rId46"/>
      <w:footerReference w:type="first" r:id="rId4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628D" w14:textId="77777777" w:rsidR="00893378" w:rsidRDefault="00893378">
      <w:r>
        <w:separator/>
      </w:r>
    </w:p>
  </w:endnote>
  <w:endnote w:type="continuationSeparator" w:id="0">
    <w:p w14:paraId="1B14B8B5" w14:textId="77777777" w:rsidR="00893378" w:rsidRDefault="00893378">
      <w:r>
        <w:continuationSeparator/>
      </w:r>
    </w:p>
  </w:endnote>
  <w:endnote w:type="continuationNotice" w:id="1">
    <w:p w14:paraId="3877998F" w14:textId="77777777" w:rsidR="00893378" w:rsidRDefault="0089337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F5BA" w14:textId="77777777" w:rsidR="00562508" w:rsidRDefault="00562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3BC83D00" w:rsidR="00EE49E8" w:rsidRPr="00E06FD5" w:rsidRDefault="00EE49E8" w:rsidP="00012168">
          <w:pPr>
            <w:pStyle w:val="Header"/>
            <w:tabs>
              <w:tab w:val="left" w:pos="630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0AE1">
            <w:rPr>
              <w:bCs/>
            </w:rPr>
            <w:t>SFP-</w:t>
          </w:r>
          <w:r w:rsidR="003F70EF">
            <w:rPr>
              <w:bCs/>
            </w:rPr>
            <w:t>3</w:t>
          </w:r>
          <w:r w:rsidR="00A52C84" w:rsidRPr="00623AE3">
            <w:rPr>
              <w:bCs/>
            </w:rPr>
            <w:t>/</w:t>
          </w:r>
          <w:r w:rsidR="003F70EF">
            <w:rPr>
              <w:bCs/>
            </w:rPr>
            <w:t>17</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5C6F55FA" w:rsidR="00EE49E8" w:rsidRDefault="00562508" w:rsidP="00EE49E8">
          <w:pPr>
            <w:pStyle w:val="Header"/>
            <w:jc w:val="left"/>
            <w:rPr>
              <w:noProof/>
            </w:rPr>
          </w:pPr>
          <w:hyperlink r:id="rId1" w:history="1">
            <w:proofErr w:type="spellStart"/>
            <w:r w:rsidRPr="00F7624E">
              <w:rPr>
                <w:rStyle w:val="Hyperlink"/>
              </w:rPr>
              <w:t>council.itu.int</w:t>
            </w:r>
            <w:proofErr w:type="spellEnd"/>
            <w:r w:rsidRPr="00F7624E">
              <w:rPr>
                <w:rStyle w:val="Hyperlink"/>
              </w:rPr>
              <w:t>/working-groups</w:t>
            </w:r>
          </w:hyperlink>
          <w:r>
            <w:rPr>
              <w:color w:val="0070C0"/>
            </w:rPr>
            <w:t xml:space="preserve"> </w:t>
          </w:r>
        </w:p>
      </w:tc>
      <w:tc>
        <w:tcPr>
          <w:tcW w:w="6957" w:type="dxa"/>
        </w:tcPr>
        <w:p w14:paraId="3F62E0D8" w14:textId="5D8A809A" w:rsidR="00EE49E8" w:rsidRPr="00E06FD5" w:rsidRDefault="00EE49E8" w:rsidP="00012168">
          <w:pPr>
            <w:pStyle w:val="Header"/>
            <w:tabs>
              <w:tab w:val="left" w:pos="5009"/>
              <w:tab w:val="right" w:pos="8505"/>
              <w:tab w:val="right" w:pos="9639"/>
            </w:tabs>
            <w:jc w:val="left"/>
            <w:rPr>
              <w:rFonts w:ascii="Arial" w:hAnsi="Arial" w:cs="Arial"/>
              <w:b/>
              <w:bCs/>
              <w:szCs w:val="18"/>
            </w:rPr>
          </w:pPr>
          <w:r>
            <w:rPr>
              <w:bCs/>
            </w:rPr>
            <w:tab/>
          </w:r>
          <w:r w:rsidRPr="00623AE3">
            <w:rPr>
              <w:bCs/>
            </w:rPr>
            <w:t>C</w:t>
          </w:r>
          <w:r w:rsidR="00A52C84">
            <w:rPr>
              <w:bCs/>
            </w:rPr>
            <w:t>WG-</w:t>
          </w:r>
          <w:r w:rsidR="009F0AE1">
            <w:rPr>
              <w:bCs/>
            </w:rPr>
            <w:t>SFP-</w:t>
          </w:r>
          <w:r w:rsidR="003F70EF">
            <w:rPr>
              <w:bCs/>
            </w:rPr>
            <w:t>3</w:t>
          </w:r>
          <w:r w:rsidRPr="00623AE3">
            <w:rPr>
              <w:bCs/>
            </w:rPr>
            <w:t>/</w:t>
          </w:r>
          <w:r w:rsidR="003F70EF">
            <w:rPr>
              <w:bCs/>
            </w:rPr>
            <w:t>17</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B63C" w14:textId="77777777" w:rsidR="00893378" w:rsidRDefault="00893378">
      <w:r>
        <w:t>____________________</w:t>
      </w:r>
    </w:p>
  </w:footnote>
  <w:footnote w:type="continuationSeparator" w:id="0">
    <w:p w14:paraId="5721A795" w14:textId="77777777" w:rsidR="00893378" w:rsidRDefault="00893378">
      <w:r>
        <w:continuationSeparator/>
      </w:r>
    </w:p>
  </w:footnote>
  <w:footnote w:type="continuationNotice" w:id="1">
    <w:p w14:paraId="092801BD" w14:textId="77777777" w:rsidR="00893378" w:rsidRDefault="0089337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8C38" w14:textId="77777777" w:rsidR="00562508" w:rsidRDefault="00562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E50D" w14:textId="77777777" w:rsidR="00562508" w:rsidRDefault="005625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3F70EF" w:rsidRPr="00784011" w14:paraId="3721B6D8" w14:textId="77777777" w:rsidTr="0053000E">
      <w:trPr>
        <w:trHeight w:val="1304"/>
        <w:jc w:val="center"/>
      </w:trPr>
      <w:tc>
        <w:tcPr>
          <w:tcW w:w="6546" w:type="dxa"/>
        </w:tcPr>
        <w:p w14:paraId="5AD8FB32" w14:textId="77777777" w:rsidR="003F70EF" w:rsidRPr="009621F8" w:rsidRDefault="003F70EF" w:rsidP="003F70EF">
          <w:pPr>
            <w:pStyle w:val="Header"/>
            <w:jc w:val="left"/>
            <w:rPr>
              <w:rFonts w:ascii="Arial" w:hAnsi="Arial" w:cs="Arial"/>
              <w:b/>
              <w:bCs/>
              <w:color w:val="009CD6"/>
              <w:sz w:val="36"/>
              <w:szCs w:val="36"/>
            </w:rPr>
          </w:pPr>
          <w:bookmarkStart w:id="16" w:name="_Hlk133422111"/>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23959573" wp14:editId="3C9313B3">
                    <wp:simplePos x="0" y="0"/>
                    <wp:positionH relativeFrom="column">
                      <wp:posOffset>1428645</wp:posOffset>
                    </wp:positionH>
                    <wp:positionV relativeFrom="paragraph">
                      <wp:posOffset>2540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6BEF6A96" w14:textId="77777777" w:rsidR="003F70EF" w:rsidRDefault="003F70EF" w:rsidP="003F70EF">
                                <w:pPr>
                                  <w:spacing w:before="0"/>
                                  <w:ind w:left="-57"/>
                                </w:pPr>
                                <w:r w:rsidRPr="00F74694">
                                  <w:rPr>
                                    <w:b/>
                                    <w:bCs/>
                                    <w:szCs w:val="24"/>
                                  </w:rPr>
                                  <w:t xml:space="preserve">Council Working Group </w:t>
                                </w:r>
                                <w:r w:rsidRPr="00F74694">
                                  <w:rPr>
                                    <w:b/>
                                    <w:bCs/>
                                    <w:szCs w:val="24"/>
                                  </w:rPr>
                                  <w:br/>
                                </w:r>
                                <w:r w:rsidRPr="00CC3229">
                                  <w:rPr>
                                    <w:b/>
                                    <w:bCs/>
                                    <w:szCs w:val="24"/>
                                  </w:rPr>
                                  <w:t>for strategic and financial plans 2028-2031</w:t>
                                </w:r>
                                <w:r w:rsidRPr="00CC3229">
                                  <w:br/>
                                </w:r>
                                <w:r w:rsidRPr="007E1D3D">
                                  <w:rPr>
                                    <w:sz w:val="20"/>
                                  </w:rPr>
                                  <w:t>Third meeting – From 8 to 10 (a.m.)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3959573" id="_x0000_t202" coordsize="21600,21600" o:spt="202" path="m,l,21600r21600,l21600,xe">
                    <v:stroke joinstyle="miter"/>
                    <v:path gradientshapeok="t" o:connecttype="rect"/>
                  </v:shapetype>
                  <v:shape id="Text Box 2" o:spid="_x0000_s1026" type="#_x0000_t202" style="position:absolute;margin-left:112.5pt;margin-top:.2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" fillcolor="white [3212]" stroked="f">
                    <v:textbox style="mso-fit-shape-to-text:t" inset="1mm">
                      <w:txbxContent>
                        <w:p w14:paraId="6BEF6A96" w14:textId="77777777" w:rsidR="003F70EF" w:rsidRDefault="003F70EF" w:rsidP="003F70EF">
                          <w:pPr>
                            <w:spacing w:before="0"/>
                            <w:ind w:left="-57"/>
                          </w:pPr>
                          <w:r w:rsidRPr="00F74694">
                            <w:rPr>
                              <w:b/>
                              <w:bCs/>
                              <w:szCs w:val="24"/>
                            </w:rPr>
                            <w:t xml:space="preserve">Council Working Group </w:t>
                          </w:r>
                          <w:r w:rsidRPr="00F74694">
                            <w:rPr>
                              <w:b/>
                              <w:bCs/>
                              <w:szCs w:val="24"/>
                            </w:rPr>
                            <w:br/>
                          </w:r>
                          <w:r w:rsidRPr="00CC3229">
                            <w:rPr>
                              <w:b/>
                              <w:bCs/>
                              <w:szCs w:val="24"/>
                            </w:rPr>
                            <w:t>for strategic and financial plans 2028-2031</w:t>
                          </w:r>
                          <w:r w:rsidRPr="00CC3229">
                            <w:br/>
                          </w:r>
                          <w:r w:rsidRPr="007E1D3D">
                            <w:rPr>
                              <w:sz w:val="20"/>
                            </w:rPr>
                            <w:t>Third meeting – From 8 to 10 (a.m.) September 2025</w:t>
                          </w:r>
                        </w:p>
                      </w:txbxContent>
                    </v:textbox>
                  </v:shape>
                </w:pict>
              </mc:Fallback>
            </mc:AlternateContent>
          </w:r>
          <w:r>
            <w:rPr>
              <w:rFonts w:ascii="Arial" w:hAnsi="Arial" w:cs="Arial"/>
              <w:b/>
              <w:bCs/>
              <w:noProof/>
              <w:color w:val="009CD6"/>
              <w:sz w:val="36"/>
              <w:szCs w:val="36"/>
            </w:rPr>
            <w:drawing>
              <wp:inline distT="0" distB="0" distL="0" distR="0" wp14:anchorId="71679955" wp14:editId="2E7253E2">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1298CFF" w14:textId="77777777" w:rsidR="003F70EF" w:rsidRDefault="003F70EF" w:rsidP="003F70EF">
          <w:pPr>
            <w:pStyle w:val="Header"/>
            <w:jc w:val="right"/>
            <w:rPr>
              <w:rFonts w:ascii="Arial" w:hAnsi="Arial" w:cs="Arial"/>
              <w:b/>
              <w:bCs/>
              <w:color w:val="009CD6"/>
              <w:szCs w:val="18"/>
            </w:rPr>
          </w:pPr>
        </w:p>
        <w:p w14:paraId="4212F8B0" w14:textId="77777777" w:rsidR="003F70EF" w:rsidRDefault="003F70EF" w:rsidP="003F70EF">
          <w:pPr>
            <w:pStyle w:val="Header"/>
            <w:jc w:val="right"/>
            <w:rPr>
              <w:rFonts w:ascii="Arial" w:hAnsi="Arial" w:cs="Arial"/>
              <w:b/>
              <w:bCs/>
              <w:color w:val="009CD6"/>
              <w:szCs w:val="18"/>
            </w:rPr>
          </w:pPr>
        </w:p>
        <w:p w14:paraId="6CDB60E9" w14:textId="77777777" w:rsidR="003F70EF" w:rsidRPr="00784011" w:rsidRDefault="003F70EF" w:rsidP="003F70EF">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6"/>
  <w:p w14:paraId="23703B09" w14:textId="77777777" w:rsidR="003F70EF" w:rsidRDefault="003F70EF" w:rsidP="003F70EF">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308BE45" wp14:editId="31784D9C">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43C40"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7143D4"/>
    <w:multiLevelType w:val="multilevel"/>
    <w:tmpl w:val="9104D0CE"/>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E219D9"/>
    <w:multiLevelType w:val="multilevel"/>
    <w:tmpl w:val="ACCA5920"/>
    <w:lvl w:ilvl="0">
      <w:start w:val="1"/>
      <w:numFmt w:val="decimal"/>
      <w:lvlText w:val="%1."/>
      <w:lvlJc w:val="left"/>
      <w:pPr>
        <w:ind w:left="786" w:hanging="360"/>
      </w:pPr>
      <w:rPr>
        <w:b/>
      </w:rPr>
    </w:lvl>
    <w:lvl w:ilvl="1">
      <w:start w:val="2"/>
      <w:numFmt w:val="decimal"/>
      <w:isLgl/>
      <w:lvlText w:val="%1.%2"/>
      <w:lvlJc w:val="left"/>
      <w:pPr>
        <w:ind w:left="750" w:hanging="39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 w15:restartNumberingAfterBreak="0">
    <w:nsid w:val="05622031"/>
    <w:multiLevelType w:val="multilevel"/>
    <w:tmpl w:val="6F00A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57202"/>
    <w:multiLevelType w:val="hybridMultilevel"/>
    <w:tmpl w:val="CEEA68F8"/>
    <w:lvl w:ilvl="0" w:tplc="7BB0A0B8">
      <w:start w:val="3"/>
      <w:numFmt w:val="lowerLetter"/>
      <w:lvlText w:val="%1)"/>
      <w:lvlJc w:val="left"/>
      <w:pPr>
        <w:ind w:left="720" w:hanging="360"/>
      </w:pPr>
    </w:lvl>
    <w:lvl w:ilvl="1" w:tplc="2946AA9C">
      <w:start w:val="1"/>
      <w:numFmt w:val="lowerLetter"/>
      <w:lvlText w:val="%2."/>
      <w:lvlJc w:val="left"/>
      <w:pPr>
        <w:ind w:left="1440" w:hanging="360"/>
      </w:pPr>
    </w:lvl>
    <w:lvl w:ilvl="2" w:tplc="ADFADBAE">
      <w:start w:val="1"/>
      <w:numFmt w:val="lowerRoman"/>
      <w:lvlText w:val="%3."/>
      <w:lvlJc w:val="right"/>
      <w:pPr>
        <w:ind w:left="2160" w:hanging="180"/>
      </w:pPr>
    </w:lvl>
    <w:lvl w:ilvl="3" w:tplc="49C0C89C">
      <w:start w:val="1"/>
      <w:numFmt w:val="decimal"/>
      <w:lvlText w:val="%4."/>
      <w:lvlJc w:val="left"/>
      <w:pPr>
        <w:ind w:left="2880" w:hanging="360"/>
      </w:pPr>
    </w:lvl>
    <w:lvl w:ilvl="4" w:tplc="7BE8E0A8">
      <w:start w:val="1"/>
      <w:numFmt w:val="lowerLetter"/>
      <w:lvlText w:val="%5."/>
      <w:lvlJc w:val="left"/>
      <w:pPr>
        <w:ind w:left="3600" w:hanging="360"/>
      </w:pPr>
    </w:lvl>
    <w:lvl w:ilvl="5" w:tplc="4F9A262C">
      <w:start w:val="1"/>
      <w:numFmt w:val="lowerRoman"/>
      <w:lvlText w:val="%6."/>
      <w:lvlJc w:val="right"/>
      <w:pPr>
        <w:ind w:left="4320" w:hanging="180"/>
      </w:pPr>
    </w:lvl>
    <w:lvl w:ilvl="6" w:tplc="BC1C1468">
      <w:start w:val="1"/>
      <w:numFmt w:val="decimal"/>
      <w:lvlText w:val="%7."/>
      <w:lvlJc w:val="left"/>
      <w:pPr>
        <w:ind w:left="5040" w:hanging="360"/>
      </w:pPr>
    </w:lvl>
    <w:lvl w:ilvl="7" w:tplc="20CC9700">
      <w:start w:val="1"/>
      <w:numFmt w:val="lowerLetter"/>
      <w:lvlText w:val="%8."/>
      <w:lvlJc w:val="left"/>
      <w:pPr>
        <w:ind w:left="5760" w:hanging="360"/>
      </w:pPr>
    </w:lvl>
    <w:lvl w:ilvl="8" w:tplc="69BCDE50">
      <w:start w:val="1"/>
      <w:numFmt w:val="lowerRoman"/>
      <w:lvlText w:val="%9."/>
      <w:lvlJc w:val="right"/>
      <w:pPr>
        <w:ind w:left="6480" w:hanging="180"/>
      </w:pPr>
    </w:lvl>
  </w:abstractNum>
  <w:abstractNum w:abstractNumId="5" w15:restartNumberingAfterBreak="0">
    <w:nsid w:val="09FF234A"/>
    <w:multiLevelType w:val="hybridMultilevel"/>
    <w:tmpl w:val="F8C6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C7974"/>
    <w:multiLevelType w:val="hybridMultilevel"/>
    <w:tmpl w:val="2FD67158"/>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66AC15"/>
    <w:multiLevelType w:val="hybridMultilevel"/>
    <w:tmpl w:val="6BF86068"/>
    <w:lvl w:ilvl="0" w:tplc="F05C7B92">
      <w:start w:val="1"/>
      <w:numFmt w:val="lowerLetter"/>
      <w:lvlText w:val="%1)"/>
      <w:lvlJc w:val="left"/>
      <w:pPr>
        <w:ind w:left="720" w:hanging="360"/>
      </w:pPr>
    </w:lvl>
    <w:lvl w:ilvl="1" w:tplc="03C273C6">
      <w:start w:val="1"/>
      <w:numFmt w:val="lowerLetter"/>
      <w:lvlText w:val="%2."/>
      <w:lvlJc w:val="left"/>
      <w:pPr>
        <w:ind w:left="1440" w:hanging="360"/>
      </w:pPr>
    </w:lvl>
    <w:lvl w:ilvl="2" w:tplc="07A80DB0">
      <w:start w:val="1"/>
      <w:numFmt w:val="lowerRoman"/>
      <w:lvlText w:val="%3."/>
      <w:lvlJc w:val="right"/>
      <w:pPr>
        <w:ind w:left="2160" w:hanging="180"/>
      </w:pPr>
    </w:lvl>
    <w:lvl w:ilvl="3" w:tplc="7472940C">
      <w:start w:val="1"/>
      <w:numFmt w:val="decimal"/>
      <w:lvlText w:val="%4."/>
      <w:lvlJc w:val="left"/>
      <w:pPr>
        <w:ind w:left="2880" w:hanging="360"/>
      </w:pPr>
    </w:lvl>
    <w:lvl w:ilvl="4" w:tplc="2E106740">
      <w:start w:val="1"/>
      <w:numFmt w:val="lowerLetter"/>
      <w:lvlText w:val="%5."/>
      <w:lvlJc w:val="left"/>
      <w:pPr>
        <w:ind w:left="3600" w:hanging="360"/>
      </w:pPr>
    </w:lvl>
    <w:lvl w:ilvl="5" w:tplc="8B825A70">
      <w:start w:val="1"/>
      <w:numFmt w:val="lowerRoman"/>
      <w:lvlText w:val="%6."/>
      <w:lvlJc w:val="right"/>
      <w:pPr>
        <w:ind w:left="4320" w:hanging="180"/>
      </w:pPr>
    </w:lvl>
    <w:lvl w:ilvl="6" w:tplc="143EEBCE">
      <w:start w:val="1"/>
      <w:numFmt w:val="decimal"/>
      <w:lvlText w:val="%7."/>
      <w:lvlJc w:val="left"/>
      <w:pPr>
        <w:ind w:left="5040" w:hanging="360"/>
      </w:pPr>
    </w:lvl>
    <w:lvl w:ilvl="7" w:tplc="F5464170">
      <w:start w:val="1"/>
      <w:numFmt w:val="lowerLetter"/>
      <w:lvlText w:val="%8."/>
      <w:lvlJc w:val="left"/>
      <w:pPr>
        <w:ind w:left="5760" w:hanging="360"/>
      </w:pPr>
    </w:lvl>
    <w:lvl w:ilvl="8" w:tplc="F91440F4">
      <w:start w:val="1"/>
      <w:numFmt w:val="lowerRoman"/>
      <w:lvlText w:val="%9."/>
      <w:lvlJc w:val="right"/>
      <w:pPr>
        <w:ind w:left="6480" w:hanging="180"/>
      </w:pPr>
    </w:lvl>
  </w:abstractNum>
  <w:abstractNum w:abstractNumId="8" w15:restartNumberingAfterBreak="0">
    <w:nsid w:val="0B834986"/>
    <w:multiLevelType w:val="hybridMultilevel"/>
    <w:tmpl w:val="74F8B978"/>
    <w:lvl w:ilvl="0" w:tplc="F806B9B2">
      <w:start w:val="4"/>
      <w:numFmt w:val="bullet"/>
      <w:lvlText w:val="-"/>
      <w:lvlJc w:val="left"/>
      <w:pPr>
        <w:ind w:left="927" w:hanging="360"/>
      </w:pPr>
      <w:rPr>
        <w:rFonts w:ascii="Calibri" w:eastAsia="Times New Roman"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0F2E7A7A"/>
    <w:multiLevelType w:val="multilevel"/>
    <w:tmpl w:val="B74A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830A7"/>
    <w:multiLevelType w:val="hybridMultilevel"/>
    <w:tmpl w:val="507E5D08"/>
    <w:lvl w:ilvl="0" w:tplc="8422A7A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876209"/>
    <w:multiLevelType w:val="multilevel"/>
    <w:tmpl w:val="9CC0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8662C0"/>
    <w:multiLevelType w:val="hybridMultilevel"/>
    <w:tmpl w:val="76727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E26DD"/>
    <w:multiLevelType w:val="multilevel"/>
    <w:tmpl w:val="29B6841C"/>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3D2A2D"/>
    <w:multiLevelType w:val="hybridMultilevel"/>
    <w:tmpl w:val="695A2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50966"/>
    <w:multiLevelType w:val="multilevel"/>
    <w:tmpl w:val="93F8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027FC8"/>
    <w:multiLevelType w:val="hybridMultilevel"/>
    <w:tmpl w:val="5BE61BCE"/>
    <w:lvl w:ilvl="0" w:tplc="05422B9E">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173D90"/>
    <w:multiLevelType w:val="hybridMultilevel"/>
    <w:tmpl w:val="7D243B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CB6597"/>
    <w:multiLevelType w:val="hybridMultilevel"/>
    <w:tmpl w:val="D5E2EEDC"/>
    <w:lvl w:ilvl="0" w:tplc="F08CCFA0">
      <w:start w:val="3"/>
      <w:numFmt w:val="lowerLetter"/>
      <w:lvlText w:val="%1)"/>
      <w:lvlJc w:val="left"/>
      <w:pPr>
        <w:ind w:left="720" w:hanging="360"/>
      </w:pPr>
    </w:lvl>
    <w:lvl w:ilvl="1" w:tplc="C3147E26">
      <w:start w:val="1"/>
      <w:numFmt w:val="lowerLetter"/>
      <w:lvlText w:val="%2."/>
      <w:lvlJc w:val="left"/>
      <w:pPr>
        <w:ind w:left="1440" w:hanging="360"/>
      </w:pPr>
    </w:lvl>
    <w:lvl w:ilvl="2" w:tplc="FFBC6562">
      <w:start w:val="1"/>
      <w:numFmt w:val="lowerRoman"/>
      <w:lvlText w:val="%3."/>
      <w:lvlJc w:val="right"/>
      <w:pPr>
        <w:ind w:left="2160" w:hanging="180"/>
      </w:pPr>
    </w:lvl>
    <w:lvl w:ilvl="3" w:tplc="0078473A">
      <w:start w:val="1"/>
      <w:numFmt w:val="decimal"/>
      <w:lvlText w:val="%4."/>
      <w:lvlJc w:val="left"/>
      <w:pPr>
        <w:ind w:left="2880" w:hanging="360"/>
      </w:pPr>
    </w:lvl>
    <w:lvl w:ilvl="4" w:tplc="06DA5B3A">
      <w:start w:val="1"/>
      <w:numFmt w:val="lowerLetter"/>
      <w:lvlText w:val="%5."/>
      <w:lvlJc w:val="left"/>
      <w:pPr>
        <w:ind w:left="3600" w:hanging="360"/>
      </w:pPr>
    </w:lvl>
    <w:lvl w:ilvl="5" w:tplc="4E381B4E">
      <w:start w:val="1"/>
      <w:numFmt w:val="lowerRoman"/>
      <w:lvlText w:val="%6."/>
      <w:lvlJc w:val="right"/>
      <w:pPr>
        <w:ind w:left="4320" w:hanging="180"/>
      </w:pPr>
    </w:lvl>
    <w:lvl w:ilvl="6" w:tplc="E9B6813C">
      <w:start w:val="1"/>
      <w:numFmt w:val="decimal"/>
      <w:lvlText w:val="%7."/>
      <w:lvlJc w:val="left"/>
      <w:pPr>
        <w:ind w:left="5040" w:hanging="360"/>
      </w:pPr>
    </w:lvl>
    <w:lvl w:ilvl="7" w:tplc="3C7E0C22">
      <w:start w:val="1"/>
      <w:numFmt w:val="lowerLetter"/>
      <w:lvlText w:val="%8."/>
      <w:lvlJc w:val="left"/>
      <w:pPr>
        <w:ind w:left="5760" w:hanging="360"/>
      </w:pPr>
    </w:lvl>
    <w:lvl w:ilvl="8" w:tplc="B636D89A">
      <w:start w:val="1"/>
      <w:numFmt w:val="lowerRoman"/>
      <w:lvlText w:val="%9."/>
      <w:lvlJc w:val="right"/>
      <w:pPr>
        <w:ind w:left="6480" w:hanging="180"/>
      </w:pPr>
    </w:lvl>
  </w:abstractNum>
  <w:abstractNum w:abstractNumId="19" w15:restartNumberingAfterBreak="0">
    <w:nsid w:val="36895C0D"/>
    <w:multiLevelType w:val="hybridMultilevel"/>
    <w:tmpl w:val="694CFC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3E1346"/>
    <w:multiLevelType w:val="multilevel"/>
    <w:tmpl w:val="820A41DC"/>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20884"/>
    <w:multiLevelType w:val="hybridMultilevel"/>
    <w:tmpl w:val="B45C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070947"/>
    <w:multiLevelType w:val="hybridMultilevel"/>
    <w:tmpl w:val="E8DE0E5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FD7D92"/>
    <w:multiLevelType w:val="multilevel"/>
    <w:tmpl w:val="494C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15FD5"/>
    <w:multiLevelType w:val="hybridMultilevel"/>
    <w:tmpl w:val="E3C834B6"/>
    <w:lvl w:ilvl="0" w:tplc="939439C0">
      <w:start w:val="1"/>
      <w:numFmt w:val="lowerLetter"/>
      <w:lvlText w:val="%1)"/>
      <w:lvlJc w:val="left"/>
      <w:pPr>
        <w:ind w:left="720" w:hanging="360"/>
      </w:pPr>
    </w:lvl>
    <w:lvl w:ilvl="1" w:tplc="0B02C77E">
      <w:start w:val="1"/>
      <w:numFmt w:val="lowerLetter"/>
      <w:lvlText w:val="%2."/>
      <w:lvlJc w:val="left"/>
      <w:pPr>
        <w:ind w:left="1440" w:hanging="360"/>
      </w:pPr>
    </w:lvl>
    <w:lvl w:ilvl="2" w:tplc="DA86E40A">
      <w:start w:val="1"/>
      <w:numFmt w:val="lowerRoman"/>
      <w:lvlText w:val="%3."/>
      <w:lvlJc w:val="right"/>
      <w:pPr>
        <w:ind w:left="2160" w:hanging="180"/>
      </w:pPr>
    </w:lvl>
    <w:lvl w:ilvl="3" w:tplc="D070FB80">
      <w:start w:val="1"/>
      <w:numFmt w:val="decimal"/>
      <w:lvlText w:val="%4."/>
      <w:lvlJc w:val="left"/>
      <w:pPr>
        <w:ind w:left="2880" w:hanging="360"/>
      </w:pPr>
    </w:lvl>
    <w:lvl w:ilvl="4" w:tplc="2620FD20">
      <w:start w:val="1"/>
      <w:numFmt w:val="lowerLetter"/>
      <w:lvlText w:val="%5."/>
      <w:lvlJc w:val="left"/>
      <w:pPr>
        <w:ind w:left="3600" w:hanging="360"/>
      </w:pPr>
    </w:lvl>
    <w:lvl w:ilvl="5" w:tplc="6B38C35C">
      <w:start w:val="1"/>
      <w:numFmt w:val="lowerRoman"/>
      <w:lvlText w:val="%6."/>
      <w:lvlJc w:val="right"/>
      <w:pPr>
        <w:ind w:left="4320" w:hanging="180"/>
      </w:pPr>
    </w:lvl>
    <w:lvl w:ilvl="6" w:tplc="2D44E7AE">
      <w:start w:val="1"/>
      <w:numFmt w:val="decimal"/>
      <w:lvlText w:val="%7."/>
      <w:lvlJc w:val="left"/>
      <w:pPr>
        <w:ind w:left="5040" w:hanging="360"/>
      </w:pPr>
    </w:lvl>
    <w:lvl w:ilvl="7" w:tplc="89D4300C">
      <w:start w:val="1"/>
      <w:numFmt w:val="lowerLetter"/>
      <w:lvlText w:val="%8."/>
      <w:lvlJc w:val="left"/>
      <w:pPr>
        <w:ind w:left="5760" w:hanging="360"/>
      </w:pPr>
    </w:lvl>
    <w:lvl w:ilvl="8" w:tplc="83BC3DA0">
      <w:start w:val="1"/>
      <w:numFmt w:val="lowerRoman"/>
      <w:lvlText w:val="%9."/>
      <w:lvlJc w:val="right"/>
      <w:pPr>
        <w:ind w:left="6480" w:hanging="180"/>
      </w:pPr>
    </w:lvl>
  </w:abstractNum>
  <w:abstractNum w:abstractNumId="25" w15:restartNumberingAfterBreak="0">
    <w:nsid w:val="52E26339"/>
    <w:multiLevelType w:val="multilevel"/>
    <w:tmpl w:val="DC506734"/>
    <w:lvl w:ilvl="0">
      <w:start w:val="1"/>
      <w:numFmt w:val="lowerLetter"/>
      <w:lvlText w:val="%1)"/>
      <w:lvlJc w:val="left"/>
      <w:pPr>
        <w:ind w:left="4425" w:hanging="442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6025E6F"/>
    <w:multiLevelType w:val="hybridMultilevel"/>
    <w:tmpl w:val="1D246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30011F"/>
    <w:multiLevelType w:val="multilevel"/>
    <w:tmpl w:val="8060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22359D"/>
    <w:multiLevelType w:val="multilevel"/>
    <w:tmpl w:val="EB44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DE55DF"/>
    <w:multiLevelType w:val="hybridMultilevel"/>
    <w:tmpl w:val="54666114"/>
    <w:lvl w:ilvl="0" w:tplc="C96E1616">
      <w:start w:val="1"/>
      <w:numFmt w:val="lowerLetter"/>
      <w:lvlText w:val="%1)"/>
      <w:lvlJc w:val="left"/>
      <w:pPr>
        <w:ind w:left="720" w:hanging="360"/>
      </w:pPr>
    </w:lvl>
    <w:lvl w:ilvl="1" w:tplc="88689EE2">
      <w:start w:val="1"/>
      <w:numFmt w:val="lowerLetter"/>
      <w:lvlText w:val="%2."/>
      <w:lvlJc w:val="left"/>
      <w:pPr>
        <w:ind w:left="1440" w:hanging="360"/>
      </w:pPr>
    </w:lvl>
    <w:lvl w:ilvl="2" w:tplc="A9E67700">
      <w:start w:val="1"/>
      <w:numFmt w:val="lowerRoman"/>
      <w:lvlText w:val="%3."/>
      <w:lvlJc w:val="right"/>
      <w:pPr>
        <w:ind w:left="2160" w:hanging="180"/>
      </w:pPr>
    </w:lvl>
    <w:lvl w:ilvl="3" w:tplc="ACDE5D20">
      <w:start w:val="1"/>
      <w:numFmt w:val="decimal"/>
      <w:lvlText w:val="%4."/>
      <w:lvlJc w:val="left"/>
      <w:pPr>
        <w:ind w:left="2880" w:hanging="360"/>
      </w:pPr>
    </w:lvl>
    <w:lvl w:ilvl="4" w:tplc="09B0EE82">
      <w:start w:val="1"/>
      <w:numFmt w:val="lowerLetter"/>
      <w:lvlText w:val="%5."/>
      <w:lvlJc w:val="left"/>
      <w:pPr>
        <w:ind w:left="3600" w:hanging="360"/>
      </w:pPr>
    </w:lvl>
    <w:lvl w:ilvl="5" w:tplc="9AAC4208">
      <w:start w:val="1"/>
      <w:numFmt w:val="lowerRoman"/>
      <w:lvlText w:val="%6."/>
      <w:lvlJc w:val="right"/>
      <w:pPr>
        <w:ind w:left="4320" w:hanging="180"/>
      </w:pPr>
    </w:lvl>
    <w:lvl w:ilvl="6" w:tplc="B0EE43F0">
      <w:start w:val="1"/>
      <w:numFmt w:val="decimal"/>
      <w:lvlText w:val="%7."/>
      <w:lvlJc w:val="left"/>
      <w:pPr>
        <w:ind w:left="5040" w:hanging="360"/>
      </w:pPr>
    </w:lvl>
    <w:lvl w:ilvl="7" w:tplc="AFA4A0DC">
      <w:start w:val="1"/>
      <w:numFmt w:val="lowerLetter"/>
      <w:lvlText w:val="%8."/>
      <w:lvlJc w:val="left"/>
      <w:pPr>
        <w:ind w:left="5760" w:hanging="360"/>
      </w:pPr>
    </w:lvl>
    <w:lvl w:ilvl="8" w:tplc="93883AF6">
      <w:start w:val="1"/>
      <w:numFmt w:val="lowerRoman"/>
      <w:lvlText w:val="%9."/>
      <w:lvlJc w:val="right"/>
      <w:pPr>
        <w:ind w:left="6480" w:hanging="180"/>
      </w:pPr>
    </w:lvl>
  </w:abstractNum>
  <w:abstractNum w:abstractNumId="30" w15:restartNumberingAfterBreak="0">
    <w:nsid w:val="785E3162"/>
    <w:multiLevelType w:val="hybridMultilevel"/>
    <w:tmpl w:val="D69E0062"/>
    <w:lvl w:ilvl="0" w:tplc="04742F66">
      <w:start w:val="1"/>
      <w:numFmt w:val="lowerLetter"/>
      <w:lvlText w:val="%1)"/>
      <w:lvlJc w:val="left"/>
      <w:pPr>
        <w:ind w:left="720" w:hanging="360"/>
      </w:pPr>
    </w:lvl>
    <w:lvl w:ilvl="1" w:tplc="BCAE10B4">
      <w:start w:val="1"/>
      <w:numFmt w:val="lowerLetter"/>
      <w:lvlText w:val="%2."/>
      <w:lvlJc w:val="left"/>
      <w:pPr>
        <w:ind w:left="1440" w:hanging="360"/>
      </w:pPr>
    </w:lvl>
    <w:lvl w:ilvl="2" w:tplc="3C82BB46">
      <w:start w:val="1"/>
      <w:numFmt w:val="lowerRoman"/>
      <w:lvlText w:val="%3."/>
      <w:lvlJc w:val="right"/>
      <w:pPr>
        <w:ind w:left="2160" w:hanging="180"/>
      </w:pPr>
    </w:lvl>
    <w:lvl w:ilvl="3" w:tplc="1B0AD04C">
      <w:start w:val="1"/>
      <w:numFmt w:val="decimal"/>
      <w:lvlText w:val="%4."/>
      <w:lvlJc w:val="left"/>
      <w:pPr>
        <w:ind w:left="2880" w:hanging="360"/>
      </w:pPr>
    </w:lvl>
    <w:lvl w:ilvl="4" w:tplc="A166633C">
      <w:start w:val="1"/>
      <w:numFmt w:val="lowerLetter"/>
      <w:lvlText w:val="%5."/>
      <w:lvlJc w:val="left"/>
      <w:pPr>
        <w:ind w:left="3600" w:hanging="360"/>
      </w:pPr>
    </w:lvl>
    <w:lvl w:ilvl="5" w:tplc="718803C4">
      <w:start w:val="1"/>
      <w:numFmt w:val="lowerRoman"/>
      <w:lvlText w:val="%6."/>
      <w:lvlJc w:val="right"/>
      <w:pPr>
        <w:ind w:left="4320" w:hanging="180"/>
      </w:pPr>
    </w:lvl>
    <w:lvl w:ilvl="6" w:tplc="C8C85634">
      <w:start w:val="1"/>
      <w:numFmt w:val="decimal"/>
      <w:lvlText w:val="%7."/>
      <w:lvlJc w:val="left"/>
      <w:pPr>
        <w:ind w:left="5040" w:hanging="360"/>
      </w:pPr>
    </w:lvl>
    <w:lvl w:ilvl="7" w:tplc="81946A8A">
      <w:start w:val="1"/>
      <w:numFmt w:val="lowerLetter"/>
      <w:lvlText w:val="%8."/>
      <w:lvlJc w:val="left"/>
      <w:pPr>
        <w:ind w:left="5760" w:hanging="360"/>
      </w:pPr>
    </w:lvl>
    <w:lvl w:ilvl="8" w:tplc="A118A83C">
      <w:start w:val="1"/>
      <w:numFmt w:val="lowerRoman"/>
      <w:lvlText w:val="%9."/>
      <w:lvlJc w:val="right"/>
      <w:pPr>
        <w:ind w:left="6480" w:hanging="180"/>
      </w:pPr>
    </w:lvl>
  </w:abstractNum>
  <w:abstractNum w:abstractNumId="31" w15:restartNumberingAfterBreak="0">
    <w:nsid w:val="7B32087C"/>
    <w:multiLevelType w:val="hybridMultilevel"/>
    <w:tmpl w:val="32124E2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B757EBE"/>
    <w:multiLevelType w:val="multilevel"/>
    <w:tmpl w:val="38A6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8B6693"/>
    <w:multiLevelType w:val="hybridMultilevel"/>
    <w:tmpl w:val="4462CC74"/>
    <w:lvl w:ilvl="0" w:tplc="26784AB2">
      <w:start w:val="1"/>
      <w:numFmt w:val="bullet"/>
      <w:lvlText w:val=""/>
      <w:lvlJc w:val="left"/>
      <w:pPr>
        <w:ind w:left="720" w:hanging="360"/>
      </w:pPr>
      <w:rPr>
        <w:rFonts w:ascii="Symbol" w:hAnsi="Symbol" w:hint="default"/>
      </w:rPr>
    </w:lvl>
    <w:lvl w:ilvl="1" w:tplc="001459B2">
      <w:start w:val="1"/>
      <w:numFmt w:val="bullet"/>
      <w:lvlText w:val="o"/>
      <w:lvlJc w:val="left"/>
      <w:pPr>
        <w:ind w:left="1440" w:hanging="360"/>
      </w:pPr>
      <w:rPr>
        <w:rFonts w:ascii="Courier New" w:hAnsi="Courier New" w:hint="default"/>
      </w:rPr>
    </w:lvl>
    <w:lvl w:ilvl="2" w:tplc="578AA71C">
      <w:start w:val="1"/>
      <w:numFmt w:val="bullet"/>
      <w:lvlText w:val=""/>
      <w:lvlJc w:val="left"/>
      <w:pPr>
        <w:ind w:left="2160" w:hanging="360"/>
      </w:pPr>
      <w:rPr>
        <w:rFonts w:ascii="Wingdings" w:hAnsi="Wingdings" w:hint="default"/>
      </w:rPr>
    </w:lvl>
    <w:lvl w:ilvl="3" w:tplc="74C8C12A">
      <w:start w:val="1"/>
      <w:numFmt w:val="bullet"/>
      <w:lvlText w:val=""/>
      <w:lvlJc w:val="left"/>
      <w:pPr>
        <w:ind w:left="2880" w:hanging="360"/>
      </w:pPr>
      <w:rPr>
        <w:rFonts w:ascii="Symbol" w:hAnsi="Symbol" w:hint="default"/>
      </w:rPr>
    </w:lvl>
    <w:lvl w:ilvl="4" w:tplc="F3406F70">
      <w:start w:val="1"/>
      <w:numFmt w:val="bullet"/>
      <w:lvlText w:val="o"/>
      <w:lvlJc w:val="left"/>
      <w:pPr>
        <w:ind w:left="3600" w:hanging="360"/>
      </w:pPr>
      <w:rPr>
        <w:rFonts w:ascii="Courier New" w:hAnsi="Courier New" w:hint="default"/>
      </w:rPr>
    </w:lvl>
    <w:lvl w:ilvl="5" w:tplc="8D24191E">
      <w:start w:val="1"/>
      <w:numFmt w:val="bullet"/>
      <w:lvlText w:val=""/>
      <w:lvlJc w:val="left"/>
      <w:pPr>
        <w:ind w:left="4320" w:hanging="360"/>
      </w:pPr>
      <w:rPr>
        <w:rFonts w:ascii="Wingdings" w:hAnsi="Wingdings" w:hint="default"/>
      </w:rPr>
    </w:lvl>
    <w:lvl w:ilvl="6" w:tplc="D778ACC0">
      <w:start w:val="1"/>
      <w:numFmt w:val="bullet"/>
      <w:lvlText w:val=""/>
      <w:lvlJc w:val="left"/>
      <w:pPr>
        <w:ind w:left="5040" w:hanging="360"/>
      </w:pPr>
      <w:rPr>
        <w:rFonts w:ascii="Symbol" w:hAnsi="Symbol" w:hint="default"/>
      </w:rPr>
    </w:lvl>
    <w:lvl w:ilvl="7" w:tplc="CB2AB386">
      <w:start w:val="1"/>
      <w:numFmt w:val="bullet"/>
      <w:lvlText w:val="o"/>
      <w:lvlJc w:val="left"/>
      <w:pPr>
        <w:ind w:left="5760" w:hanging="360"/>
      </w:pPr>
      <w:rPr>
        <w:rFonts w:ascii="Courier New" w:hAnsi="Courier New" w:hint="default"/>
      </w:rPr>
    </w:lvl>
    <w:lvl w:ilvl="8" w:tplc="9F1CA61E">
      <w:start w:val="1"/>
      <w:numFmt w:val="bullet"/>
      <w:lvlText w:val=""/>
      <w:lvlJc w:val="left"/>
      <w:pPr>
        <w:ind w:left="6480" w:hanging="360"/>
      </w:pPr>
      <w:rPr>
        <w:rFonts w:ascii="Wingdings" w:hAnsi="Wingdings" w:hint="default"/>
      </w:rPr>
    </w:lvl>
  </w:abstractNum>
  <w:abstractNum w:abstractNumId="34" w15:restartNumberingAfterBreak="0">
    <w:nsid w:val="7E210545"/>
    <w:multiLevelType w:val="multilevel"/>
    <w:tmpl w:val="ADDC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0"/>
  </w:num>
  <w:num w:numId="2" w16cid:durableId="1162084755">
    <w:abstractNumId w:val="33"/>
  </w:num>
  <w:num w:numId="3" w16cid:durableId="59907940">
    <w:abstractNumId w:val="26"/>
  </w:num>
  <w:num w:numId="4" w16cid:durableId="4092703">
    <w:abstractNumId w:val="21"/>
  </w:num>
  <w:num w:numId="5" w16cid:durableId="583103336">
    <w:abstractNumId w:val="6"/>
  </w:num>
  <w:num w:numId="6" w16cid:durableId="1529562094">
    <w:abstractNumId w:val="17"/>
  </w:num>
  <w:num w:numId="7" w16cid:durableId="1085036382">
    <w:abstractNumId w:val="16"/>
  </w:num>
  <w:num w:numId="8" w16cid:durableId="1444616466">
    <w:abstractNumId w:val="25"/>
  </w:num>
  <w:num w:numId="9" w16cid:durableId="1779644518">
    <w:abstractNumId w:val="1"/>
  </w:num>
  <w:num w:numId="10" w16cid:durableId="1764061841">
    <w:abstractNumId w:val="22"/>
  </w:num>
  <w:num w:numId="11" w16cid:durableId="720978213">
    <w:abstractNumId w:val="2"/>
  </w:num>
  <w:num w:numId="12" w16cid:durableId="1166742941">
    <w:abstractNumId w:val="34"/>
  </w:num>
  <w:num w:numId="13" w16cid:durableId="1840849833">
    <w:abstractNumId w:val="23"/>
  </w:num>
  <w:num w:numId="14" w16cid:durableId="1992588777">
    <w:abstractNumId w:val="15"/>
  </w:num>
  <w:num w:numId="15" w16cid:durableId="1464040653">
    <w:abstractNumId w:val="32"/>
  </w:num>
  <w:num w:numId="16" w16cid:durableId="2033992934">
    <w:abstractNumId w:val="9"/>
  </w:num>
  <w:num w:numId="17" w16cid:durableId="126825532">
    <w:abstractNumId w:val="27"/>
  </w:num>
  <w:num w:numId="18" w16cid:durableId="2144736000">
    <w:abstractNumId w:val="20"/>
  </w:num>
  <w:num w:numId="19" w16cid:durableId="715010942">
    <w:abstractNumId w:val="13"/>
  </w:num>
  <w:num w:numId="20" w16cid:durableId="193660836">
    <w:abstractNumId w:val="11"/>
  </w:num>
  <w:num w:numId="21" w16cid:durableId="985815589">
    <w:abstractNumId w:val="5"/>
  </w:num>
  <w:num w:numId="22" w16cid:durableId="59525662">
    <w:abstractNumId w:val="19"/>
  </w:num>
  <w:num w:numId="23" w16cid:durableId="2117942716">
    <w:abstractNumId w:val="7"/>
  </w:num>
  <w:num w:numId="24" w16cid:durableId="2090421169">
    <w:abstractNumId w:val="4"/>
  </w:num>
  <w:num w:numId="25" w16cid:durableId="858079698">
    <w:abstractNumId w:val="30"/>
  </w:num>
  <w:num w:numId="26" w16cid:durableId="291449734">
    <w:abstractNumId w:val="29"/>
  </w:num>
  <w:num w:numId="27" w16cid:durableId="775946515">
    <w:abstractNumId w:val="18"/>
  </w:num>
  <w:num w:numId="28" w16cid:durableId="792096806">
    <w:abstractNumId w:val="24"/>
  </w:num>
  <w:num w:numId="29" w16cid:durableId="596014704">
    <w:abstractNumId w:val="31"/>
  </w:num>
  <w:num w:numId="30" w16cid:durableId="1707368628">
    <w:abstractNumId w:val="12"/>
  </w:num>
  <w:num w:numId="31" w16cid:durableId="2004773351">
    <w:abstractNumId w:val="14"/>
  </w:num>
  <w:num w:numId="32" w16cid:durableId="1805345056">
    <w:abstractNumId w:val="3"/>
  </w:num>
  <w:num w:numId="33" w16cid:durableId="155802795">
    <w:abstractNumId w:val="28"/>
  </w:num>
  <w:num w:numId="34" w16cid:durableId="280576102">
    <w:abstractNumId w:val="10"/>
  </w:num>
  <w:num w:numId="35" w16cid:durableId="193152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2F91"/>
    <w:rsid w:val="00003B32"/>
    <w:rsid w:val="00003FEC"/>
    <w:rsid w:val="00006E18"/>
    <w:rsid w:val="000077E2"/>
    <w:rsid w:val="00007AA1"/>
    <w:rsid w:val="000106C3"/>
    <w:rsid w:val="00012168"/>
    <w:rsid w:val="000141A4"/>
    <w:rsid w:val="0001421B"/>
    <w:rsid w:val="000152DD"/>
    <w:rsid w:val="00015794"/>
    <w:rsid w:val="00015FF3"/>
    <w:rsid w:val="000210D4"/>
    <w:rsid w:val="00030535"/>
    <w:rsid w:val="000318A0"/>
    <w:rsid w:val="00037B2A"/>
    <w:rsid w:val="00040401"/>
    <w:rsid w:val="000414CE"/>
    <w:rsid w:val="00041626"/>
    <w:rsid w:val="0004277F"/>
    <w:rsid w:val="000434CB"/>
    <w:rsid w:val="00043FC2"/>
    <w:rsid w:val="000452B2"/>
    <w:rsid w:val="00046F67"/>
    <w:rsid w:val="00052390"/>
    <w:rsid w:val="00052F5C"/>
    <w:rsid w:val="000542E4"/>
    <w:rsid w:val="0005583E"/>
    <w:rsid w:val="000600A6"/>
    <w:rsid w:val="00061691"/>
    <w:rsid w:val="00063016"/>
    <w:rsid w:val="00066795"/>
    <w:rsid w:val="00066957"/>
    <w:rsid w:val="000722AC"/>
    <w:rsid w:val="000728AB"/>
    <w:rsid w:val="00072CE5"/>
    <w:rsid w:val="00074DCB"/>
    <w:rsid w:val="00076AF6"/>
    <w:rsid w:val="00077107"/>
    <w:rsid w:val="00081711"/>
    <w:rsid w:val="00084C36"/>
    <w:rsid w:val="00085C91"/>
    <w:rsid w:val="00085CF2"/>
    <w:rsid w:val="0008685F"/>
    <w:rsid w:val="00092592"/>
    <w:rsid w:val="00097CD5"/>
    <w:rsid w:val="000A6051"/>
    <w:rsid w:val="000A6AF4"/>
    <w:rsid w:val="000A7A01"/>
    <w:rsid w:val="000B1705"/>
    <w:rsid w:val="000B593F"/>
    <w:rsid w:val="000B6DF7"/>
    <w:rsid w:val="000B776A"/>
    <w:rsid w:val="000C1185"/>
    <w:rsid w:val="000C1A54"/>
    <w:rsid w:val="000C1F41"/>
    <w:rsid w:val="000C4D69"/>
    <w:rsid w:val="000C51EE"/>
    <w:rsid w:val="000C5BDB"/>
    <w:rsid w:val="000D597F"/>
    <w:rsid w:val="000D619F"/>
    <w:rsid w:val="000D66CB"/>
    <w:rsid w:val="000D75B2"/>
    <w:rsid w:val="000D7650"/>
    <w:rsid w:val="000D7796"/>
    <w:rsid w:val="000E00F8"/>
    <w:rsid w:val="000E043B"/>
    <w:rsid w:val="000E1724"/>
    <w:rsid w:val="000E3399"/>
    <w:rsid w:val="000E3A30"/>
    <w:rsid w:val="000E6D31"/>
    <w:rsid w:val="000E797C"/>
    <w:rsid w:val="000F0082"/>
    <w:rsid w:val="000F16B6"/>
    <w:rsid w:val="000F2CCC"/>
    <w:rsid w:val="000F4F6B"/>
    <w:rsid w:val="000F65FA"/>
    <w:rsid w:val="000F6A15"/>
    <w:rsid w:val="001000DF"/>
    <w:rsid w:val="00101FDA"/>
    <w:rsid w:val="00104A76"/>
    <w:rsid w:val="00111402"/>
    <w:rsid w:val="001119C3"/>
    <w:rsid w:val="001121F5"/>
    <w:rsid w:val="00120FAE"/>
    <w:rsid w:val="00124B0B"/>
    <w:rsid w:val="001254E2"/>
    <w:rsid w:val="00127BD6"/>
    <w:rsid w:val="00130538"/>
    <w:rsid w:val="00130599"/>
    <w:rsid w:val="00131315"/>
    <w:rsid w:val="00131878"/>
    <w:rsid w:val="001323AD"/>
    <w:rsid w:val="00132CE8"/>
    <w:rsid w:val="001341B4"/>
    <w:rsid w:val="00135A17"/>
    <w:rsid w:val="001400DC"/>
    <w:rsid w:val="00140CE1"/>
    <w:rsid w:val="00141B4B"/>
    <w:rsid w:val="00142F9C"/>
    <w:rsid w:val="0015091F"/>
    <w:rsid w:val="00161924"/>
    <w:rsid w:val="00162DDF"/>
    <w:rsid w:val="00163D14"/>
    <w:rsid w:val="00171036"/>
    <w:rsid w:val="00173EB7"/>
    <w:rsid w:val="00175005"/>
    <w:rsid w:val="001751FF"/>
    <w:rsid w:val="0017539C"/>
    <w:rsid w:val="00175AC2"/>
    <w:rsid w:val="0017609F"/>
    <w:rsid w:val="00176EAA"/>
    <w:rsid w:val="00177354"/>
    <w:rsid w:val="00181FB5"/>
    <w:rsid w:val="0018503C"/>
    <w:rsid w:val="00191A59"/>
    <w:rsid w:val="00192541"/>
    <w:rsid w:val="0019628A"/>
    <w:rsid w:val="001973BC"/>
    <w:rsid w:val="0019775C"/>
    <w:rsid w:val="001A0DA6"/>
    <w:rsid w:val="001A1951"/>
    <w:rsid w:val="001A3B3D"/>
    <w:rsid w:val="001A75BC"/>
    <w:rsid w:val="001A7D1D"/>
    <w:rsid w:val="001B2D32"/>
    <w:rsid w:val="001B51DD"/>
    <w:rsid w:val="001C0B7B"/>
    <w:rsid w:val="001C14A9"/>
    <w:rsid w:val="001C1BA4"/>
    <w:rsid w:val="001C5038"/>
    <w:rsid w:val="001C628E"/>
    <w:rsid w:val="001C7143"/>
    <w:rsid w:val="001C79B2"/>
    <w:rsid w:val="001D098F"/>
    <w:rsid w:val="001D2C73"/>
    <w:rsid w:val="001D6276"/>
    <w:rsid w:val="001E0A1B"/>
    <w:rsid w:val="001E0F7B"/>
    <w:rsid w:val="001E0FBE"/>
    <w:rsid w:val="001E3583"/>
    <w:rsid w:val="001E6578"/>
    <w:rsid w:val="001F2A8D"/>
    <w:rsid w:val="00200933"/>
    <w:rsid w:val="002042E6"/>
    <w:rsid w:val="002064FB"/>
    <w:rsid w:val="0021026C"/>
    <w:rsid w:val="002107C7"/>
    <w:rsid w:val="00211703"/>
    <w:rsid w:val="002119FD"/>
    <w:rsid w:val="00211B24"/>
    <w:rsid w:val="00211BCD"/>
    <w:rsid w:val="00212D43"/>
    <w:rsid w:val="002130E0"/>
    <w:rsid w:val="00215A2C"/>
    <w:rsid w:val="00216236"/>
    <w:rsid w:val="002173FF"/>
    <w:rsid w:val="0021788C"/>
    <w:rsid w:val="00220E42"/>
    <w:rsid w:val="002263C4"/>
    <w:rsid w:val="00230BFE"/>
    <w:rsid w:val="00231E24"/>
    <w:rsid w:val="00236E7E"/>
    <w:rsid w:val="00237596"/>
    <w:rsid w:val="002404ED"/>
    <w:rsid w:val="00241964"/>
    <w:rsid w:val="00241EAE"/>
    <w:rsid w:val="00244F7F"/>
    <w:rsid w:val="002456D5"/>
    <w:rsid w:val="00255F18"/>
    <w:rsid w:val="00256F27"/>
    <w:rsid w:val="00257657"/>
    <w:rsid w:val="00260ACE"/>
    <w:rsid w:val="00261449"/>
    <w:rsid w:val="002617FA"/>
    <w:rsid w:val="00262F67"/>
    <w:rsid w:val="00264425"/>
    <w:rsid w:val="002650D4"/>
    <w:rsid w:val="00265875"/>
    <w:rsid w:val="0026717E"/>
    <w:rsid w:val="00270AEA"/>
    <w:rsid w:val="0027303B"/>
    <w:rsid w:val="00276DAB"/>
    <w:rsid w:val="00280A08"/>
    <w:rsid w:val="0028109B"/>
    <w:rsid w:val="00283276"/>
    <w:rsid w:val="002842F0"/>
    <w:rsid w:val="0028460E"/>
    <w:rsid w:val="00285579"/>
    <w:rsid w:val="00286DF5"/>
    <w:rsid w:val="00286F49"/>
    <w:rsid w:val="00291D55"/>
    <w:rsid w:val="00294068"/>
    <w:rsid w:val="002A07D5"/>
    <w:rsid w:val="002A1299"/>
    <w:rsid w:val="002A1488"/>
    <w:rsid w:val="002A1D13"/>
    <w:rsid w:val="002A1E05"/>
    <w:rsid w:val="002A2188"/>
    <w:rsid w:val="002A2AD0"/>
    <w:rsid w:val="002A3E6F"/>
    <w:rsid w:val="002A4823"/>
    <w:rsid w:val="002A611E"/>
    <w:rsid w:val="002A754C"/>
    <w:rsid w:val="002B01C3"/>
    <w:rsid w:val="002B1F58"/>
    <w:rsid w:val="002B2975"/>
    <w:rsid w:val="002B2B95"/>
    <w:rsid w:val="002B35DF"/>
    <w:rsid w:val="002C1C7A"/>
    <w:rsid w:val="002C3C86"/>
    <w:rsid w:val="002C4A8E"/>
    <w:rsid w:val="002C54E2"/>
    <w:rsid w:val="002D16B7"/>
    <w:rsid w:val="002D3E15"/>
    <w:rsid w:val="002E151F"/>
    <w:rsid w:val="002F07FB"/>
    <w:rsid w:val="002F3BCE"/>
    <w:rsid w:val="002F3C11"/>
    <w:rsid w:val="002F7164"/>
    <w:rsid w:val="003000E3"/>
    <w:rsid w:val="003001E8"/>
    <w:rsid w:val="0030160F"/>
    <w:rsid w:val="00305B4B"/>
    <w:rsid w:val="00305CAB"/>
    <w:rsid w:val="003106FD"/>
    <w:rsid w:val="00311D97"/>
    <w:rsid w:val="0031389B"/>
    <w:rsid w:val="00317A31"/>
    <w:rsid w:val="00320223"/>
    <w:rsid w:val="00322D0D"/>
    <w:rsid w:val="0032335F"/>
    <w:rsid w:val="00326840"/>
    <w:rsid w:val="00326AC6"/>
    <w:rsid w:val="003366DA"/>
    <w:rsid w:val="00337AC2"/>
    <w:rsid w:val="003455A8"/>
    <w:rsid w:val="0034567F"/>
    <w:rsid w:val="00346D89"/>
    <w:rsid w:val="0035344E"/>
    <w:rsid w:val="00353F35"/>
    <w:rsid w:val="003549B7"/>
    <w:rsid w:val="0035720E"/>
    <w:rsid w:val="00361223"/>
    <w:rsid w:val="00361465"/>
    <w:rsid w:val="00361F2C"/>
    <w:rsid w:val="003744DD"/>
    <w:rsid w:val="0038201F"/>
    <w:rsid w:val="00385BDC"/>
    <w:rsid w:val="00386496"/>
    <w:rsid w:val="00386720"/>
    <w:rsid w:val="0038694F"/>
    <w:rsid w:val="003877F5"/>
    <w:rsid w:val="00391AB0"/>
    <w:rsid w:val="003927B3"/>
    <w:rsid w:val="00394033"/>
    <w:rsid w:val="003942D4"/>
    <w:rsid w:val="0039451B"/>
    <w:rsid w:val="003947C2"/>
    <w:rsid w:val="00395174"/>
    <w:rsid w:val="00395609"/>
    <w:rsid w:val="003958A8"/>
    <w:rsid w:val="00396DBA"/>
    <w:rsid w:val="003A4DA1"/>
    <w:rsid w:val="003A54DF"/>
    <w:rsid w:val="003A5C24"/>
    <w:rsid w:val="003B207D"/>
    <w:rsid w:val="003B4C15"/>
    <w:rsid w:val="003B6F39"/>
    <w:rsid w:val="003C2533"/>
    <w:rsid w:val="003C418A"/>
    <w:rsid w:val="003C646C"/>
    <w:rsid w:val="003C6E24"/>
    <w:rsid w:val="003C7778"/>
    <w:rsid w:val="003D2351"/>
    <w:rsid w:val="003D55B9"/>
    <w:rsid w:val="003D5A7F"/>
    <w:rsid w:val="003E5A31"/>
    <w:rsid w:val="003F03E4"/>
    <w:rsid w:val="003F03EE"/>
    <w:rsid w:val="003F232B"/>
    <w:rsid w:val="003F5815"/>
    <w:rsid w:val="003F5B2A"/>
    <w:rsid w:val="003F6208"/>
    <w:rsid w:val="003F65F0"/>
    <w:rsid w:val="003F70EF"/>
    <w:rsid w:val="003F727A"/>
    <w:rsid w:val="003F7BC3"/>
    <w:rsid w:val="003F7C64"/>
    <w:rsid w:val="004003B8"/>
    <w:rsid w:val="004012CB"/>
    <w:rsid w:val="004016E2"/>
    <w:rsid w:val="00402155"/>
    <w:rsid w:val="004023A5"/>
    <w:rsid w:val="0040435A"/>
    <w:rsid w:val="004060B8"/>
    <w:rsid w:val="00412815"/>
    <w:rsid w:val="00414D95"/>
    <w:rsid w:val="00415370"/>
    <w:rsid w:val="00416A24"/>
    <w:rsid w:val="0041712D"/>
    <w:rsid w:val="0042220F"/>
    <w:rsid w:val="00424C5F"/>
    <w:rsid w:val="004279CD"/>
    <w:rsid w:val="004314ED"/>
    <w:rsid w:val="004319EE"/>
    <w:rsid w:val="00431D9E"/>
    <w:rsid w:val="0043291E"/>
    <w:rsid w:val="00433CE8"/>
    <w:rsid w:val="004341EA"/>
    <w:rsid w:val="00434A5C"/>
    <w:rsid w:val="00435EA4"/>
    <w:rsid w:val="00440B8D"/>
    <w:rsid w:val="0044341C"/>
    <w:rsid w:val="00443ED8"/>
    <w:rsid w:val="004450EA"/>
    <w:rsid w:val="00446A5E"/>
    <w:rsid w:val="004521A7"/>
    <w:rsid w:val="004544D9"/>
    <w:rsid w:val="00457F35"/>
    <w:rsid w:val="004612F0"/>
    <w:rsid w:val="00461ED5"/>
    <w:rsid w:val="00463D82"/>
    <w:rsid w:val="0046559B"/>
    <w:rsid w:val="00472BAD"/>
    <w:rsid w:val="00473EE4"/>
    <w:rsid w:val="004749E7"/>
    <w:rsid w:val="00474EDB"/>
    <w:rsid w:val="00484009"/>
    <w:rsid w:val="00490A19"/>
    <w:rsid w:val="00490E72"/>
    <w:rsid w:val="00491157"/>
    <w:rsid w:val="004921C8"/>
    <w:rsid w:val="004925EF"/>
    <w:rsid w:val="00492C6F"/>
    <w:rsid w:val="004931E0"/>
    <w:rsid w:val="00495285"/>
    <w:rsid w:val="00495B0B"/>
    <w:rsid w:val="004A1722"/>
    <w:rsid w:val="004A1B8B"/>
    <w:rsid w:val="004A2BC1"/>
    <w:rsid w:val="004A35C3"/>
    <w:rsid w:val="004A5AA3"/>
    <w:rsid w:val="004B326E"/>
    <w:rsid w:val="004B68A0"/>
    <w:rsid w:val="004B6FCC"/>
    <w:rsid w:val="004C22B7"/>
    <w:rsid w:val="004C338F"/>
    <w:rsid w:val="004C377E"/>
    <w:rsid w:val="004C44AC"/>
    <w:rsid w:val="004C6793"/>
    <w:rsid w:val="004D0868"/>
    <w:rsid w:val="004D13C4"/>
    <w:rsid w:val="004D1851"/>
    <w:rsid w:val="004D18DD"/>
    <w:rsid w:val="004D3B7F"/>
    <w:rsid w:val="004D599D"/>
    <w:rsid w:val="004E2037"/>
    <w:rsid w:val="004E2EA5"/>
    <w:rsid w:val="004E3AEB"/>
    <w:rsid w:val="004F0D1F"/>
    <w:rsid w:val="004F2958"/>
    <w:rsid w:val="004F40E1"/>
    <w:rsid w:val="004F6CB6"/>
    <w:rsid w:val="00500D0F"/>
    <w:rsid w:val="0050223C"/>
    <w:rsid w:val="005069FE"/>
    <w:rsid w:val="00513841"/>
    <w:rsid w:val="0051589C"/>
    <w:rsid w:val="005164BF"/>
    <w:rsid w:val="00517755"/>
    <w:rsid w:val="005203E5"/>
    <w:rsid w:val="005237F2"/>
    <w:rsid w:val="005243FF"/>
    <w:rsid w:val="005247BF"/>
    <w:rsid w:val="005247EB"/>
    <w:rsid w:val="00527732"/>
    <w:rsid w:val="00532762"/>
    <w:rsid w:val="00535056"/>
    <w:rsid w:val="0053756E"/>
    <w:rsid w:val="00540ED2"/>
    <w:rsid w:val="00541A2A"/>
    <w:rsid w:val="00551165"/>
    <w:rsid w:val="00551AEF"/>
    <w:rsid w:val="00553523"/>
    <w:rsid w:val="00554A6D"/>
    <w:rsid w:val="00554E63"/>
    <w:rsid w:val="0055609E"/>
    <w:rsid w:val="00561922"/>
    <w:rsid w:val="00562508"/>
    <w:rsid w:val="00562EE0"/>
    <w:rsid w:val="00563B07"/>
    <w:rsid w:val="00564FBC"/>
    <w:rsid w:val="0056563B"/>
    <w:rsid w:val="00566CFB"/>
    <w:rsid w:val="00572C22"/>
    <w:rsid w:val="005732AE"/>
    <w:rsid w:val="0057709A"/>
    <w:rsid w:val="005800BC"/>
    <w:rsid w:val="005800E4"/>
    <w:rsid w:val="00580FDF"/>
    <w:rsid w:val="00581A70"/>
    <w:rsid w:val="00582442"/>
    <w:rsid w:val="0058448F"/>
    <w:rsid w:val="00585887"/>
    <w:rsid w:val="00591079"/>
    <w:rsid w:val="00591FD3"/>
    <w:rsid w:val="00593776"/>
    <w:rsid w:val="00593DDF"/>
    <w:rsid w:val="00594DB7"/>
    <w:rsid w:val="0059500B"/>
    <w:rsid w:val="005970CA"/>
    <w:rsid w:val="005A1429"/>
    <w:rsid w:val="005A335D"/>
    <w:rsid w:val="005A3CB6"/>
    <w:rsid w:val="005A3DAB"/>
    <w:rsid w:val="005A3F44"/>
    <w:rsid w:val="005A7373"/>
    <w:rsid w:val="005A7DCC"/>
    <w:rsid w:val="005B2B15"/>
    <w:rsid w:val="005B39AB"/>
    <w:rsid w:val="005B3BA0"/>
    <w:rsid w:val="005B79E0"/>
    <w:rsid w:val="005C154A"/>
    <w:rsid w:val="005C1C62"/>
    <w:rsid w:val="005C1C80"/>
    <w:rsid w:val="005C30A2"/>
    <w:rsid w:val="005C4F61"/>
    <w:rsid w:val="005D0C33"/>
    <w:rsid w:val="005D5C72"/>
    <w:rsid w:val="005D66BE"/>
    <w:rsid w:val="005D7C91"/>
    <w:rsid w:val="005E1A7D"/>
    <w:rsid w:val="005E2709"/>
    <w:rsid w:val="005E289B"/>
    <w:rsid w:val="005E2BD5"/>
    <w:rsid w:val="005E3A53"/>
    <w:rsid w:val="005E51B2"/>
    <w:rsid w:val="005E6979"/>
    <w:rsid w:val="005F0156"/>
    <w:rsid w:val="005F1069"/>
    <w:rsid w:val="005F3269"/>
    <w:rsid w:val="005F5EC8"/>
    <w:rsid w:val="005F6896"/>
    <w:rsid w:val="006059BA"/>
    <w:rsid w:val="00606735"/>
    <w:rsid w:val="0060691C"/>
    <w:rsid w:val="00607678"/>
    <w:rsid w:val="0061009B"/>
    <w:rsid w:val="00611E42"/>
    <w:rsid w:val="0061346D"/>
    <w:rsid w:val="00613D54"/>
    <w:rsid w:val="0061413F"/>
    <w:rsid w:val="00614858"/>
    <w:rsid w:val="0062087A"/>
    <w:rsid w:val="00621E01"/>
    <w:rsid w:val="00622BF0"/>
    <w:rsid w:val="00623AE3"/>
    <w:rsid w:val="00624406"/>
    <w:rsid w:val="00627304"/>
    <w:rsid w:val="006311E1"/>
    <w:rsid w:val="00632B6E"/>
    <w:rsid w:val="00632DEB"/>
    <w:rsid w:val="00634AAF"/>
    <w:rsid w:val="0064152E"/>
    <w:rsid w:val="00642ACB"/>
    <w:rsid w:val="00642EFC"/>
    <w:rsid w:val="0064319A"/>
    <w:rsid w:val="006437CE"/>
    <w:rsid w:val="006462E5"/>
    <w:rsid w:val="0064737F"/>
    <w:rsid w:val="00650937"/>
    <w:rsid w:val="006535F1"/>
    <w:rsid w:val="0065557D"/>
    <w:rsid w:val="00656E25"/>
    <w:rsid w:val="00660D50"/>
    <w:rsid w:val="00662984"/>
    <w:rsid w:val="00666E29"/>
    <w:rsid w:val="00667AD0"/>
    <w:rsid w:val="006716BB"/>
    <w:rsid w:val="00673E9E"/>
    <w:rsid w:val="00675232"/>
    <w:rsid w:val="0067676D"/>
    <w:rsid w:val="00676C7D"/>
    <w:rsid w:val="006770E2"/>
    <w:rsid w:val="00680344"/>
    <w:rsid w:val="0068090A"/>
    <w:rsid w:val="00680E67"/>
    <w:rsid w:val="006839D5"/>
    <w:rsid w:val="00685AE6"/>
    <w:rsid w:val="006902A4"/>
    <w:rsid w:val="00693755"/>
    <w:rsid w:val="006A3CBD"/>
    <w:rsid w:val="006A4799"/>
    <w:rsid w:val="006A49FA"/>
    <w:rsid w:val="006A6226"/>
    <w:rsid w:val="006B14AE"/>
    <w:rsid w:val="006B1859"/>
    <w:rsid w:val="006B2C0F"/>
    <w:rsid w:val="006B3334"/>
    <w:rsid w:val="006B4C0B"/>
    <w:rsid w:val="006B6680"/>
    <w:rsid w:val="006B6DCC"/>
    <w:rsid w:val="006C08C7"/>
    <w:rsid w:val="006D099A"/>
    <w:rsid w:val="006D1536"/>
    <w:rsid w:val="006D2B47"/>
    <w:rsid w:val="006D3211"/>
    <w:rsid w:val="006D478A"/>
    <w:rsid w:val="006D591C"/>
    <w:rsid w:val="006D70E0"/>
    <w:rsid w:val="006E4A92"/>
    <w:rsid w:val="006E5E05"/>
    <w:rsid w:val="006F08CA"/>
    <w:rsid w:val="006F1860"/>
    <w:rsid w:val="006F5266"/>
    <w:rsid w:val="006F63A2"/>
    <w:rsid w:val="00702DEF"/>
    <w:rsid w:val="00704330"/>
    <w:rsid w:val="00704B0C"/>
    <w:rsid w:val="00705797"/>
    <w:rsid w:val="00706861"/>
    <w:rsid w:val="00711635"/>
    <w:rsid w:val="007139BF"/>
    <w:rsid w:val="007147EE"/>
    <w:rsid w:val="00716435"/>
    <w:rsid w:val="00716FC1"/>
    <w:rsid w:val="00724404"/>
    <w:rsid w:val="007247F6"/>
    <w:rsid w:val="00725724"/>
    <w:rsid w:val="007272F3"/>
    <w:rsid w:val="0073148A"/>
    <w:rsid w:val="0073352A"/>
    <w:rsid w:val="00736A70"/>
    <w:rsid w:val="0073715F"/>
    <w:rsid w:val="007403F1"/>
    <w:rsid w:val="00741445"/>
    <w:rsid w:val="00743A59"/>
    <w:rsid w:val="00744338"/>
    <w:rsid w:val="00745C75"/>
    <w:rsid w:val="0075051B"/>
    <w:rsid w:val="007509B5"/>
    <w:rsid w:val="00755510"/>
    <w:rsid w:val="00756649"/>
    <w:rsid w:val="00756684"/>
    <w:rsid w:val="0076033A"/>
    <w:rsid w:val="007635A7"/>
    <w:rsid w:val="00764D23"/>
    <w:rsid w:val="007651D2"/>
    <w:rsid w:val="00766FA1"/>
    <w:rsid w:val="00771463"/>
    <w:rsid w:val="007729E2"/>
    <w:rsid w:val="00772C11"/>
    <w:rsid w:val="00773C4B"/>
    <w:rsid w:val="00775655"/>
    <w:rsid w:val="00775CF4"/>
    <w:rsid w:val="00776346"/>
    <w:rsid w:val="00777B2D"/>
    <w:rsid w:val="00780F68"/>
    <w:rsid w:val="00791A9C"/>
    <w:rsid w:val="00791DD6"/>
    <w:rsid w:val="00793188"/>
    <w:rsid w:val="0079460D"/>
    <w:rsid w:val="00794D34"/>
    <w:rsid w:val="007B283D"/>
    <w:rsid w:val="007C5563"/>
    <w:rsid w:val="007C5DAC"/>
    <w:rsid w:val="007D235D"/>
    <w:rsid w:val="007D2E14"/>
    <w:rsid w:val="007D4EF0"/>
    <w:rsid w:val="007E00DB"/>
    <w:rsid w:val="007E13B6"/>
    <w:rsid w:val="007E31C6"/>
    <w:rsid w:val="007E3FC2"/>
    <w:rsid w:val="007E4C4C"/>
    <w:rsid w:val="007E64CE"/>
    <w:rsid w:val="007F15A3"/>
    <w:rsid w:val="007F1E75"/>
    <w:rsid w:val="007F3B49"/>
    <w:rsid w:val="007F4BFE"/>
    <w:rsid w:val="007F4FD2"/>
    <w:rsid w:val="007F70A3"/>
    <w:rsid w:val="00800E45"/>
    <w:rsid w:val="00801DF7"/>
    <w:rsid w:val="0080232C"/>
    <w:rsid w:val="008027E1"/>
    <w:rsid w:val="00812D6C"/>
    <w:rsid w:val="00813E5E"/>
    <w:rsid w:val="0081638C"/>
    <w:rsid w:val="00817B01"/>
    <w:rsid w:val="00824EEC"/>
    <w:rsid w:val="00825FB7"/>
    <w:rsid w:val="00826743"/>
    <w:rsid w:val="00830F21"/>
    <w:rsid w:val="0083437B"/>
    <w:rsid w:val="0083581B"/>
    <w:rsid w:val="00843004"/>
    <w:rsid w:val="008454EA"/>
    <w:rsid w:val="008473C4"/>
    <w:rsid w:val="00852B3D"/>
    <w:rsid w:val="00854F5A"/>
    <w:rsid w:val="00856291"/>
    <w:rsid w:val="008566B1"/>
    <w:rsid w:val="00862FD1"/>
    <w:rsid w:val="00863874"/>
    <w:rsid w:val="00864AFF"/>
    <w:rsid w:val="0086531C"/>
    <w:rsid w:val="008653ED"/>
    <w:rsid w:val="00865925"/>
    <w:rsid w:val="008662C2"/>
    <w:rsid w:val="00866589"/>
    <w:rsid w:val="0086659A"/>
    <w:rsid w:val="00871952"/>
    <w:rsid w:val="0087518D"/>
    <w:rsid w:val="00883254"/>
    <w:rsid w:val="00887A33"/>
    <w:rsid w:val="00891503"/>
    <w:rsid w:val="00892245"/>
    <w:rsid w:val="00893378"/>
    <w:rsid w:val="00896486"/>
    <w:rsid w:val="00896499"/>
    <w:rsid w:val="008A0B92"/>
    <w:rsid w:val="008A1373"/>
    <w:rsid w:val="008A1504"/>
    <w:rsid w:val="008A23FF"/>
    <w:rsid w:val="008A28D4"/>
    <w:rsid w:val="008A29DC"/>
    <w:rsid w:val="008A2DFB"/>
    <w:rsid w:val="008A4F8C"/>
    <w:rsid w:val="008A64A6"/>
    <w:rsid w:val="008B4A6A"/>
    <w:rsid w:val="008B5DEC"/>
    <w:rsid w:val="008B7536"/>
    <w:rsid w:val="008B7B2F"/>
    <w:rsid w:val="008C0FCF"/>
    <w:rsid w:val="008C2373"/>
    <w:rsid w:val="008C42F6"/>
    <w:rsid w:val="008C5F82"/>
    <w:rsid w:val="008C7E27"/>
    <w:rsid w:val="008D1C94"/>
    <w:rsid w:val="008D2A2F"/>
    <w:rsid w:val="008D3478"/>
    <w:rsid w:val="008D4274"/>
    <w:rsid w:val="008E0F15"/>
    <w:rsid w:val="008E113D"/>
    <w:rsid w:val="008E27DE"/>
    <w:rsid w:val="008E298F"/>
    <w:rsid w:val="008F266C"/>
    <w:rsid w:val="008F38A1"/>
    <w:rsid w:val="008F393E"/>
    <w:rsid w:val="008F5730"/>
    <w:rsid w:val="008F7184"/>
    <w:rsid w:val="008F7448"/>
    <w:rsid w:val="0090147A"/>
    <w:rsid w:val="00902829"/>
    <w:rsid w:val="0091452D"/>
    <w:rsid w:val="00914CE4"/>
    <w:rsid w:val="00917049"/>
    <w:rsid w:val="0091712F"/>
    <w:rsid w:val="009173EF"/>
    <w:rsid w:val="00917ED8"/>
    <w:rsid w:val="00921B4D"/>
    <w:rsid w:val="00922371"/>
    <w:rsid w:val="009227A0"/>
    <w:rsid w:val="00922843"/>
    <w:rsid w:val="00926753"/>
    <w:rsid w:val="00927263"/>
    <w:rsid w:val="00930BD4"/>
    <w:rsid w:val="00932906"/>
    <w:rsid w:val="00933390"/>
    <w:rsid w:val="00935FEE"/>
    <w:rsid w:val="0093782C"/>
    <w:rsid w:val="00940C60"/>
    <w:rsid w:val="00941417"/>
    <w:rsid w:val="009440D1"/>
    <w:rsid w:val="00950429"/>
    <w:rsid w:val="00951241"/>
    <w:rsid w:val="009522BC"/>
    <w:rsid w:val="00952C43"/>
    <w:rsid w:val="009543E3"/>
    <w:rsid w:val="00961B0B"/>
    <w:rsid w:val="00962439"/>
    <w:rsid w:val="00962D33"/>
    <w:rsid w:val="00962D70"/>
    <w:rsid w:val="00965455"/>
    <w:rsid w:val="00967A4D"/>
    <w:rsid w:val="00967FAB"/>
    <w:rsid w:val="00971C28"/>
    <w:rsid w:val="00975122"/>
    <w:rsid w:val="009822AF"/>
    <w:rsid w:val="00982F37"/>
    <w:rsid w:val="009836E8"/>
    <w:rsid w:val="009844EA"/>
    <w:rsid w:val="00985ADB"/>
    <w:rsid w:val="00993483"/>
    <w:rsid w:val="009A0E35"/>
    <w:rsid w:val="009A1E9F"/>
    <w:rsid w:val="009B0581"/>
    <w:rsid w:val="009B2D4B"/>
    <w:rsid w:val="009B2F5A"/>
    <w:rsid w:val="009B38C3"/>
    <w:rsid w:val="009B4CD5"/>
    <w:rsid w:val="009B657E"/>
    <w:rsid w:val="009B736F"/>
    <w:rsid w:val="009B7B74"/>
    <w:rsid w:val="009C253A"/>
    <w:rsid w:val="009C4C51"/>
    <w:rsid w:val="009D01CC"/>
    <w:rsid w:val="009D034A"/>
    <w:rsid w:val="009D0A29"/>
    <w:rsid w:val="009D0CE2"/>
    <w:rsid w:val="009D1EFD"/>
    <w:rsid w:val="009D250A"/>
    <w:rsid w:val="009D4C47"/>
    <w:rsid w:val="009D55B2"/>
    <w:rsid w:val="009D5750"/>
    <w:rsid w:val="009E17BD"/>
    <w:rsid w:val="009E1CDB"/>
    <w:rsid w:val="009E36D7"/>
    <w:rsid w:val="009E485A"/>
    <w:rsid w:val="009F0AE1"/>
    <w:rsid w:val="009F10ED"/>
    <w:rsid w:val="009F13F4"/>
    <w:rsid w:val="009F347C"/>
    <w:rsid w:val="009F63DA"/>
    <w:rsid w:val="009F7394"/>
    <w:rsid w:val="00A0129C"/>
    <w:rsid w:val="00A01B82"/>
    <w:rsid w:val="00A02B98"/>
    <w:rsid w:val="00A04CEC"/>
    <w:rsid w:val="00A14E9B"/>
    <w:rsid w:val="00A239E3"/>
    <w:rsid w:val="00A27B85"/>
    <w:rsid w:val="00A27F92"/>
    <w:rsid w:val="00A32257"/>
    <w:rsid w:val="00A338EE"/>
    <w:rsid w:val="00A33A2A"/>
    <w:rsid w:val="00A34373"/>
    <w:rsid w:val="00A34664"/>
    <w:rsid w:val="00A36D20"/>
    <w:rsid w:val="00A37E58"/>
    <w:rsid w:val="00A464B4"/>
    <w:rsid w:val="00A46A94"/>
    <w:rsid w:val="00A47616"/>
    <w:rsid w:val="00A514A4"/>
    <w:rsid w:val="00A5199E"/>
    <w:rsid w:val="00A52C84"/>
    <w:rsid w:val="00A531FA"/>
    <w:rsid w:val="00A55622"/>
    <w:rsid w:val="00A55EB7"/>
    <w:rsid w:val="00A566EB"/>
    <w:rsid w:val="00A61E55"/>
    <w:rsid w:val="00A62908"/>
    <w:rsid w:val="00A642C5"/>
    <w:rsid w:val="00A64B46"/>
    <w:rsid w:val="00A64F0B"/>
    <w:rsid w:val="00A66E09"/>
    <w:rsid w:val="00A675D2"/>
    <w:rsid w:val="00A70557"/>
    <w:rsid w:val="00A76FB8"/>
    <w:rsid w:val="00A80C10"/>
    <w:rsid w:val="00A83502"/>
    <w:rsid w:val="00A847C8"/>
    <w:rsid w:val="00A85DC9"/>
    <w:rsid w:val="00A866D7"/>
    <w:rsid w:val="00A867DF"/>
    <w:rsid w:val="00A86903"/>
    <w:rsid w:val="00A87809"/>
    <w:rsid w:val="00A90DA0"/>
    <w:rsid w:val="00A91EDA"/>
    <w:rsid w:val="00A93707"/>
    <w:rsid w:val="00A94376"/>
    <w:rsid w:val="00AA1306"/>
    <w:rsid w:val="00AA1F8A"/>
    <w:rsid w:val="00AA3876"/>
    <w:rsid w:val="00AA403C"/>
    <w:rsid w:val="00AB10C9"/>
    <w:rsid w:val="00AB166D"/>
    <w:rsid w:val="00AB450F"/>
    <w:rsid w:val="00AB62D6"/>
    <w:rsid w:val="00AC29DB"/>
    <w:rsid w:val="00AC6543"/>
    <w:rsid w:val="00AC6BFA"/>
    <w:rsid w:val="00AC7D94"/>
    <w:rsid w:val="00AD13E6"/>
    <w:rsid w:val="00AD15B3"/>
    <w:rsid w:val="00AD3606"/>
    <w:rsid w:val="00AD4A3D"/>
    <w:rsid w:val="00AD6C97"/>
    <w:rsid w:val="00AE172E"/>
    <w:rsid w:val="00AE20BB"/>
    <w:rsid w:val="00AE439A"/>
    <w:rsid w:val="00AE550F"/>
    <w:rsid w:val="00AE6489"/>
    <w:rsid w:val="00AE6F2A"/>
    <w:rsid w:val="00AE7979"/>
    <w:rsid w:val="00AF375D"/>
    <w:rsid w:val="00AF5235"/>
    <w:rsid w:val="00AF6973"/>
    <w:rsid w:val="00AF6E49"/>
    <w:rsid w:val="00AF72BD"/>
    <w:rsid w:val="00B0007E"/>
    <w:rsid w:val="00B003D4"/>
    <w:rsid w:val="00B0213C"/>
    <w:rsid w:val="00B04510"/>
    <w:rsid w:val="00B04A67"/>
    <w:rsid w:val="00B0583C"/>
    <w:rsid w:val="00B05A34"/>
    <w:rsid w:val="00B105A1"/>
    <w:rsid w:val="00B11EEA"/>
    <w:rsid w:val="00B16786"/>
    <w:rsid w:val="00B16DA4"/>
    <w:rsid w:val="00B20ACA"/>
    <w:rsid w:val="00B21C01"/>
    <w:rsid w:val="00B31839"/>
    <w:rsid w:val="00B33A09"/>
    <w:rsid w:val="00B33D29"/>
    <w:rsid w:val="00B358B2"/>
    <w:rsid w:val="00B36FB3"/>
    <w:rsid w:val="00B40A81"/>
    <w:rsid w:val="00B41BD0"/>
    <w:rsid w:val="00B4338C"/>
    <w:rsid w:val="00B43B1A"/>
    <w:rsid w:val="00B44910"/>
    <w:rsid w:val="00B52108"/>
    <w:rsid w:val="00B542FA"/>
    <w:rsid w:val="00B545E9"/>
    <w:rsid w:val="00B55303"/>
    <w:rsid w:val="00B56D71"/>
    <w:rsid w:val="00B60E4A"/>
    <w:rsid w:val="00B63BB9"/>
    <w:rsid w:val="00B63FB5"/>
    <w:rsid w:val="00B65C67"/>
    <w:rsid w:val="00B67641"/>
    <w:rsid w:val="00B70DFF"/>
    <w:rsid w:val="00B70E59"/>
    <w:rsid w:val="00B71E04"/>
    <w:rsid w:val="00B72267"/>
    <w:rsid w:val="00B768AB"/>
    <w:rsid w:val="00B76C13"/>
    <w:rsid w:val="00B76EB6"/>
    <w:rsid w:val="00B7737B"/>
    <w:rsid w:val="00B8176F"/>
    <w:rsid w:val="00B824C8"/>
    <w:rsid w:val="00B84B9D"/>
    <w:rsid w:val="00B90ED6"/>
    <w:rsid w:val="00B91378"/>
    <w:rsid w:val="00B930AA"/>
    <w:rsid w:val="00B94073"/>
    <w:rsid w:val="00B95DF3"/>
    <w:rsid w:val="00BA41C6"/>
    <w:rsid w:val="00BA4719"/>
    <w:rsid w:val="00BB3E26"/>
    <w:rsid w:val="00BB50F6"/>
    <w:rsid w:val="00BB6F4F"/>
    <w:rsid w:val="00BC251A"/>
    <w:rsid w:val="00BC728D"/>
    <w:rsid w:val="00BD032B"/>
    <w:rsid w:val="00BD1251"/>
    <w:rsid w:val="00BD1693"/>
    <w:rsid w:val="00BD1D1D"/>
    <w:rsid w:val="00BD27E9"/>
    <w:rsid w:val="00BD2EE2"/>
    <w:rsid w:val="00BD6ACC"/>
    <w:rsid w:val="00BE0416"/>
    <w:rsid w:val="00BE162C"/>
    <w:rsid w:val="00BE1AE6"/>
    <w:rsid w:val="00BE23AA"/>
    <w:rsid w:val="00BE2640"/>
    <w:rsid w:val="00BE4A52"/>
    <w:rsid w:val="00BE5765"/>
    <w:rsid w:val="00BE6861"/>
    <w:rsid w:val="00BF5682"/>
    <w:rsid w:val="00BF5A67"/>
    <w:rsid w:val="00BF7599"/>
    <w:rsid w:val="00C01189"/>
    <w:rsid w:val="00C02FC8"/>
    <w:rsid w:val="00C0425D"/>
    <w:rsid w:val="00C11DBC"/>
    <w:rsid w:val="00C15DE6"/>
    <w:rsid w:val="00C27633"/>
    <w:rsid w:val="00C312BD"/>
    <w:rsid w:val="00C312C3"/>
    <w:rsid w:val="00C34E7D"/>
    <w:rsid w:val="00C357CF"/>
    <w:rsid w:val="00C374DE"/>
    <w:rsid w:val="00C41A90"/>
    <w:rsid w:val="00C434DF"/>
    <w:rsid w:val="00C47970"/>
    <w:rsid w:val="00C47AD4"/>
    <w:rsid w:val="00C511EA"/>
    <w:rsid w:val="00C52B7F"/>
    <w:rsid w:val="00C52D81"/>
    <w:rsid w:val="00C55198"/>
    <w:rsid w:val="00C647BE"/>
    <w:rsid w:val="00C64D3A"/>
    <w:rsid w:val="00C75D2A"/>
    <w:rsid w:val="00C75E68"/>
    <w:rsid w:val="00C805BA"/>
    <w:rsid w:val="00C8083A"/>
    <w:rsid w:val="00C81A13"/>
    <w:rsid w:val="00C83AD7"/>
    <w:rsid w:val="00C8405D"/>
    <w:rsid w:val="00C87491"/>
    <w:rsid w:val="00C92AC1"/>
    <w:rsid w:val="00C96B65"/>
    <w:rsid w:val="00CA155D"/>
    <w:rsid w:val="00CA1F58"/>
    <w:rsid w:val="00CA302C"/>
    <w:rsid w:val="00CA564F"/>
    <w:rsid w:val="00CA5D1E"/>
    <w:rsid w:val="00CA6393"/>
    <w:rsid w:val="00CA7CB8"/>
    <w:rsid w:val="00CB072C"/>
    <w:rsid w:val="00CB18FF"/>
    <w:rsid w:val="00CB6AEA"/>
    <w:rsid w:val="00CB7647"/>
    <w:rsid w:val="00CC138C"/>
    <w:rsid w:val="00CC450E"/>
    <w:rsid w:val="00CC4DB2"/>
    <w:rsid w:val="00CD0C08"/>
    <w:rsid w:val="00CD1004"/>
    <w:rsid w:val="00CD37C3"/>
    <w:rsid w:val="00CE03FB"/>
    <w:rsid w:val="00CE3168"/>
    <w:rsid w:val="00CE3A8C"/>
    <w:rsid w:val="00CE41AA"/>
    <w:rsid w:val="00CE433C"/>
    <w:rsid w:val="00CE6996"/>
    <w:rsid w:val="00CE6DB6"/>
    <w:rsid w:val="00CE7E95"/>
    <w:rsid w:val="00CF0161"/>
    <w:rsid w:val="00CF15B8"/>
    <w:rsid w:val="00CF15FD"/>
    <w:rsid w:val="00CF23EF"/>
    <w:rsid w:val="00CF33F3"/>
    <w:rsid w:val="00D00C0E"/>
    <w:rsid w:val="00D04D9A"/>
    <w:rsid w:val="00D05D6E"/>
    <w:rsid w:val="00D06183"/>
    <w:rsid w:val="00D06593"/>
    <w:rsid w:val="00D1061E"/>
    <w:rsid w:val="00D11F37"/>
    <w:rsid w:val="00D12894"/>
    <w:rsid w:val="00D143F9"/>
    <w:rsid w:val="00D14C22"/>
    <w:rsid w:val="00D156BA"/>
    <w:rsid w:val="00D16E7A"/>
    <w:rsid w:val="00D22C42"/>
    <w:rsid w:val="00D30D28"/>
    <w:rsid w:val="00D3141C"/>
    <w:rsid w:val="00D33BD7"/>
    <w:rsid w:val="00D345E5"/>
    <w:rsid w:val="00D37AD2"/>
    <w:rsid w:val="00D436BE"/>
    <w:rsid w:val="00D464CC"/>
    <w:rsid w:val="00D52168"/>
    <w:rsid w:val="00D534EE"/>
    <w:rsid w:val="00D567F8"/>
    <w:rsid w:val="00D579AC"/>
    <w:rsid w:val="00D615D6"/>
    <w:rsid w:val="00D64531"/>
    <w:rsid w:val="00D64924"/>
    <w:rsid w:val="00D65041"/>
    <w:rsid w:val="00D65FF2"/>
    <w:rsid w:val="00D67F58"/>
    <w:rsid w:val="00D70717"/>
    <w:rsid w:val="00D80E0B"/>
    <w:rsid w:val="00D83368"/>
    <w:rsid w:val="00D863CB"/>
    <w:rsid w:val="00D868C7"/>
    <w:rsid w:val="00D90176"/>
    <w:rsid w:val="00D92247"/>
    <w:rsid w:val="00D943F0"/>
    <w:rsid w:val="00D95CF0"/>
    <w:rsid w:val="00D97047"/>
    <w:rsid w:val="00DA094A"/>
    <w:rsid w:val="00DA156E"/>
    <w:rsid w:val="00DA44F5"/>
    <w:rsid w:val="00DA4E32"/>
    <w:rsid w:val="00DA6046"/>
    <w:rsid w:val="00DB00D5"/>
    <w:rsid w:val="00DB0625"/>
    <w:rsid w:val="00DB1936"/>
    <w:rsid w:val="00DB384B"/>
    <w:rsid w:val="00DB49FE"/>
    <w:rsid w:val="00DB6305"/>
    <w:rsid w:val="00DC20B6"/>
    <w:rsid w:val="00DC252F"/>
    <w:rsid w:val="00DC575F"/>
    <w:rsid w:val="00DD45B7"/>
    <w:rsid w:val="00DD5E1A"/>
    <w:rsid w:val="00DE2FB8"/>
    <w:rsid w:val="00DF0189"/>
    <w:rsid w:val="00DF0336"/>
    <w:rsid w:val="00DF1672"/>
    <w:rsid w:val="00DF4CA0"/>
    <w:rsid w:val="00E011E3"/>
    <w:rsid w:val="00E015B1"/>
    <w:rsid w:val="00E019AB"/>
    <w:rsid w:val="00E020B8"/>
    <w:rsid w:val="00E035F5"/>
    <w:rsid w:val="00E0364B"/>
    <w:rsid w:val="00E03B74"/>
    <w:rsid w:val="00E03C3D"/>
    <w:rsid w:val="00E04422"/>
    <w:rsid w:val="00E04E6C"/>
    <w:rsid w:val="00E06FD5"/>
    <w:rsid w:val="00E10AFA"/>
    <w:rsid w:val="00E10E80"/>
    <w:rsid w:val="00E124F0"/>
    <w:rsid w:val="00E13EB5"/>
    <w:rsid w:val="00E14687"/>
    <w:rsid w:val="00E16F01"/>
    <w:rsid w:val="00E17101"/>
    <w:rsid w:val="00E227F3"/>
    <w:rsid w:val="00E24D06"/>
    <w:rsid w:val="00E27C5B"/>
    <w:rsid w:val="00E33172"/>
    <w:rsid w:val="00E34FA1"/>
    <w:rsid w:val="00E35C89"/>
    <w:rsid w:val="00E457C4"/>
    <w:rsid w:val="00E47C0C"/>
    <w:rsid w:val="00E51B98"/>
    <w:rsid w:val="00E5203E"/>
    <w:rsid w:val="00E5287E"/>
    <w:rsid w:val="00E52D38"/>
    <w:rsid w:val="00E54183"/>
    <w:rsid w:val="00E545C6"/>
    <w:rsid w:val="00E54B81"/>
    <w:rsid w:val="00E57B1F"/>
    <w:rsid w:val="00E60F04"/>
    <w:rsid w:val="00E61BC3"/>
    <w:rsid w:val="00E61F4E"/>
    <w:rsid w:val="00E62A85"/>
    <w:rsid w:val="00E65B24"/>
    <w:rsid w:val="00E70363"/>
    <w:rsid w:val="00E73392"/>
    <w:rsid w:val="00E733A7"/>
    <w:rsid w:val="00E73B64"/>
    <w:rsid w:val="00E73DE5"/>
    <w:rsid w:val="00E75165"/>
    <w:rsid w:val="00E803EC"/>
    <w:rsid w:val="00E83511"/>
    <w:rsid w:val="00E83708"/>
    <w:rsid w:val="00E8465C"/>
    <w:rsid w:val="00E854E4"/>
    <w:rsid w:val="00E86DBF"/>
    <w:rsid w:val="00E90D01"/>
    <w:rsid w:val="00E913D1"/>
    <w:rsid w:val="00E95746"/>
    <w:rsid w:val="00E95B91"/>
    <w:rsid w:val="00EA0CA0"/>
    <w:rsid w:val="00EA25CF"/>
    <w:rsid w:val="00EA2AD8"/>
    <w:rsid w:val="00EB0D6F"/>
    <w:rsid w:val="00EB2232"/>
    <w:rsid w:val="00EC03BB"/>
    <w:rsid w:val="00EC125C"/>
    <w:rsid w:val="00EC5337"/>
    <w:rsid w:val="00EC7EAC"/>
    <w:rsid w:val="00ED09B9"/>
    <w:rsid w:val="00ED1A5E"/>
    <w:rsid w:val="00ED35A8"/>
    <w:rsid w:val="00ED3EE0"/>
    <w:rsid w:val="00ED454D"/>
    <w:rsid w:val="00ED5704"/>
    <w:rsid w:val="00ED621B"/>
    <w:rsid w:val="00ED63BB"/>
    <w:rsid w:val="00ED7BBC"/>
    <w:rsid w:val="00EE0EF5"/>
    <w:rsid w:val="00EE49E8"/>
    <w:rsid w:val="00EF24AC"/>
    <w:rsid w:val="00EF3CD1"/>
    <w:rsid w:val="00EF3EAE"/>
    <w:rsid w:val="00EF4799"/>
    <w:rsid w:val="00EF5DA0"/>
    <w:rsid w:val="00EF6C6F"/>
    <w:rsid w:val="00EF7AE2"/>
    <w:rsid w:val="00F058DE"/>
    <w:rsid w:val="00F06FAB"/>
    <w:rsid w:val="00F10358"/>
    <w:rsid w:val="00F14174"/>
    <w:rsid w:val="00F1659D"/>
    <w:rsid w:val="00F16BAB"/>
    <w:rsid w:val="00F2150A"/>
    <w:rsid w:val="00F21CE3"/>
    <w:rsid w:val="00F22446"/>
    <w:rsid w:val="00F22BDB"/>
    <w:rsid w:val="00F231D8"/>
    <w:rsid w:val="00F26E4B"/>
    <w:rsid w:val="00F3140D"/>
    <w:rsid w:val="00F341DB"/>
    <w:rsid w:val="00F34DDF"/>
    <w:rsid w:val="00F3777D"/>
    <w:rsid w:val="00F41534"/>
    <w:rsid w:val="00F4157B"/>
    <w:rsid w:val="00F44C00"/>
    <w:rsid w:val="00F44C4C"/>
    <w:rsid w:val="00F45D2C"/>
    <w:rsid w:val="00F45F22"/>
    <w:rsid w:val="00F46C5F"/>
    <w:rsid w:val="00F542B0"/>
    <w:rsid w:val="00F5641C"/>
    <w:rsid w:val="00F603E1"/>
    <w:rsid w:val="00F609FD"/>
    <w:rsid w:val="00F632C0"/>
    <w:rsid w:val="00F66CA0"/>
    <w:rsid w:val="00F7347F"/>
    <w:rsid w:val="00F74694"/>
    <w:rsid w:val="00F7735D"/>
    <w:rsid w:val="00F81727"/>
    <w:rsid w:val="00F82DC4"/>
    <w:rsid w:val="00F8321D"/>
    <w:rsid w:val="00F84C49"/>
    <w:rsid w:val="00F877EC"/>
    <w:rsid w:val="00F93425"/>
    <w:rsid w:val="00F94A63"/>
    <w:rsid w:val="00FA1C28"/>
    <w:rsid w:val="00FA385D"/>
    <w:rsid w:val="00FA4757"/>
    <w:rsid w:val="00FA67F8"/>
    <w:rsid w:val="00FA70B6"/>
    <w:rsid w:val="00FA7A3B"/>
    <w:rsid w:val="00FB1279"/>
    <w:rsid w:val="00FB40F0"/>
    <w:rsid w:val="00FB4B58"/>
    <w:rsid w:val="00FB6B76"/>
    <w:rsid w:val="00FB72E9"/>
    <w:rsid w:val="00FB7596"/>
    <w:rsid w:val="00FC1618"/>
    <w:rsid w:val="00FC2016"/>
    <w:rsid w:val="00FC21C4"/>
    <w:rsid w:val="00FC6E7E"/>
    <w:rsid w:val="00FC70AE"/>
    <w:rsid w:val="00FD17A3"/>
    <w:rsid w:val="00FD50E3"/>
    <w:rsid w:val="00FD5362"/>
    <w:rsid w:val="00FD61BC"/>
    <w:rsid w:val="00FD65B8"/>
    <w:rsid w:val="00FD7016"/>
    <w:rsid w:val="00FE159F"/>
    <w:rsid w:val="00FE4077"/>
    <w:rsid w:val="00FE500D"/>
    <w:rsid w:val="00FE56BD"/>
    <w:rsid w:val="00FE585E"/>
    <w:rsid w:val="00FE6102"/>
    <w:rsid w:val="00FE6403"/>
    <w:rsid w:val="00FE7513"/>
    <w:rsid w:val="00FE77D2"/>
    <w:rsid w:val="00FF7BA7"/>
    <w:rsid w:val="01F3273A"/>
    <w:rsid w:val="02D6FAD9"/>
    <w:rsid w:val="035F8EAA"/>
    <w:rsid w:val="03D74253"/>
    <w:rsid w:val="043C772F"/>
    <w:rsid w:val="045A070E"/>
    <w:rsid w:val="047F81D4"/>
    <w:rsid w:val="04B7651B"/>
    <w:rsid w:val="04F172A9"/>
    <w:rsid w:val="050DDA21"/>
    <w:rsid w:val="05CB38D9"/>
    <w:rsid w:val="069F69C6"/>
    <w:rsid w:val="077EB3BE"/>
    <w:rsid w:val="07B29A11"/>
    <w:rsid w:val="085B9E44"/>
    <w:rsid w:val="08B5873D"/>
    <w:rsid w:val="08ED6D63"/>
    <w:rsid w:val="08EF796D"/>
    <w:rsid w:val="0938C946"/>
    <w:rsid w:val="095B6708"/>
    <w:rsid w:val="0A9B3C5A"/>
    <w:rsid w:val="0B013E1C"/>
    <w:rsid w:val="0B90654B"/>
    <w:rsid w:val="0BB1E881"/>
    <w:rsid w:val="0CECC92C"/>
    <w:rsid w:val="0E23393F"/>
    <w:rsid w:val="0EA0FADD"/>
    <w:rsid w:val="0FC4AA3D"/>
    <w:rsid w:val="1071B053"/>
    <w:rsid w:val="10B3B964"/>
    <w:rsid w:val="10BF814E"/>
    <w:rsid w:val="10CAA77F"/>
    <w:rsid w:val="1128431C"/>
    <w:rsid w:val="1172F427"/>
    <w:rsid w:val="1391ED6E"/>
    <w:rsid w:val="1401FD7E"/>
    <w:rsid w:val="145FA1DB"/>
    <w:rsid w:val="14881212"/>
    <w:rsid w:val="14D8BFBE"/>
    <w:rsid w:val="151CA399"/>
    <w:rsid w:val="1539E2E2"/>
    <w:rsid w:val="1664F497"/>
    <w:rsid w:val="166C6432"/>
    <w:rsid w:val="168D0099"/>
    <w:rsid w:val="17BF3711"/>
    <w:rsid w:val="187E28CC"/>
    <w:rsid w:val="189C8C1A"/>
    <w:rsid w:val="19E14510"/>
    <w:rsid w:val="1A8A8D05"/>
    <w:rsid w:val="1AA9C759"/>
    <w:rsid w:val="1B35B2AE"/>
    <w:rsid w:val="1D11E24E"/>
    <w:rsid w:val="1D45EFF0"/>
    <w:rsid w:val="1D9A1200"/>
    <w:rsid w:val="1DA671A5"/>
    <w:rsid w:val="1DC9E719"/>
    <w:rsid w:val="1E1D01F9"/>
    <w:rsid w:val="1E6F5B79"/>
    <w:rsid w:val="1E76A131"/>
    <w:rsid w:val="1EB190A0"/>
    <w:rsid w:val="1F6E0B45"/>
    <w:rsid w:val="1F917B04"/>
    <w:rsid w:val="1FBD85C6"/>
    <w:rsid w:val="2000FFEE"/>
    <w:rsid w:val="21D00A57"/>
    <w:rsid w:val="21ECC863"/>
    <w:rsid w:val="22A66240"/>
    <w:rsid w:val="23A88835"/>
    <w:rsid w:val="23B53814"/>
    <w:rsid w:val="23EC6540"/>
    <w:rsid w:val="2495F28B"/>
    <w:rsid w:val="249B2EF2"/>
    <w:rsid w:val="2536F37C"/>
    <w:rsid w:val="258B60D3"/>
    <w:rsid w:val="25A1D253"/>
    <w:rsid w:val="25E1F40A"/>
    <w:rsid w:val="260E0D30"/>
    <w:rsid w:val="2635115F"/>
    <w:rsid w:val="26AA2767"/>
    <w:rsid w:val="26C6ED6E"/>
    <w:rsid w:val="271B699C"/>
    <w:rsid w:val="27952EE2"/>
    <w:rsid w:val="2812D3FD"/>
    <w:rsid w:val="28AEA743"/>
    <w:rsid w:val="28F07B69"/>
    <w:rsid w:val="2A5E1EDC"/>
    <w:rsid w:val="2B154122"/>
    <w:rsid w:val="2B52EDFB"/>
    <w:rsid w:val="2BB6ADCF"/>
    <w:rsid w:val="2BCA101E"/>
    <w:rsid w:val="2BE179E9"/>
    <w:rsid w:val="2D6EF15A"/>
    <w:rsid w:val="2E5ACBA5"/>
    <w:rsid w:val="2F5681B6"/>
    <w:rsid w:val="2F825441"/>
    <w:rsid w:val="2FD84CDF"/>
    <w:rsid w:val="30095229"/>
    <w:rsid w:val="301C8010"/>
    <w:rsid w:val="30AB054D"/>
    <w:rsid w:val="318952BF"/>
    <w:rsid w:val="32A46FA7"/>
    <w:rsid w:val="32BD4E81"/>
    <w:rsid w:val="33992CFD"/>
    <w:rsid w:val="3449C295"/>
    <w:rsid w:val="34577D57"/>
    <w:rsid w:val="3544C056"/>
    <w:rsid w:val="35D7F731"/>
    <w:rsid w:val="35F05D0B"/>
    <w:rsid w:val="36F3D98A"/>
    <w:rsid w:val="37643545"/>
    <w:rsid w:val="382D4B9D"/>
    <w:rsid w:val="38EC9433"/>
    <w:rsid w:val="3978E4EC"/>
    <w:rsid w:val="39CA61E6"/>
    <w:rsid w:val="3A84E044"/>
    <w:rsid w:val="3A8A688A"/>
    <w:rsid w:val="3BBAA405"/>
    <w:rsid w:val="3D9ADE52"/>
    <w:rsid w:val="4064183D"/>
    <w:rsid w:val="40899250"/>
    <w:rsid w:val="40C64424"/>
    <w:rsid w:val="40FF7C46"/>
    <w:rsid w:val="41293161"/>
    <w:rsid w:val="41A5DD83"/>
    <w:rsid w:val="421905E6"/>
    <w:rsid w:val="4257175A"/>
    <w:rsid w:val="42D7032A"/>
    <w:rsid w:val="4368149D"/>
    <w:rsid w:val="43DAB2D1"/>
    <w:rsid w:val="44AB5577"/>
    <w:rsid w:val="4548AB18"/>
    <w:rsid w:val="45D1AF61"/>
    <w:rsid w:val="47C9EE36"/>
    <w:rsid w:val="47FB6164"/>
    <w:rsid w:val="48310F6E"/>
    <w:rsid w:val="4856B4BA"/>
    <w:rsid w:val="4867BFF4"/>
    <w:rsid w:val="48A623D2"/>
    <w:rsid w:val="4985A7C1"/>
    <w:rsid w:val="4A326DCF"/>
    <w:rsid w:val="4B35462D"/>
    <w:rsid w:val="4BC34CA4"/>
    <w:rsid w:val="4C4BB449"/>
    <w:rsid w:val="4CED0A4B"/>
    <w:rsid w:val="4D776439"/>
    <w:rsid w:val="4DDA6154"/>
    <w:rsid w:val="4E8602DC"/>
    <w:rsid w:val="4E898840"/>
    <w:rsid w:val="4E96CB49"/>
    <w:rsid w:val="4EABDF7C"/>
    <w:rsid w:val="4F21CC9B"/>
    <w:rsid w:val="4F41DD54"/>
    <w:rsid w:val="4FBCF6A0"/>
    <w:rsid w:val="50605EFC"/>
    <w:rsid w:val="51B3982C"/>
    <w:rsid w:val="51C83EFC"/>
    <w:rsid w:val="52A910BC"/>
    <w:rsid w:val="53CD29D8"/>
    <w:rsid w:val="53FB5583"/>
    <w:rsid w:val="546648DC"/>
    <w:rsid w:val="547D3AA4"/>
    <w:rsid w:val="54B59931"/>
    <w:rsid w:val="55DFA1AC"/>
    <w:rsid w:val="56B50864"/>
    <w:rsid w:val="57D083B7"/>
    <w:rsid w:val="585BA9A7"/>
    <w:rsid w:val="58747C23"/>
    <w:rsid w:val="589FDE72"/>
    <w:rsid w:val="58F53700"/>
    <w:rsid w:val="591B8421"/>
    <w:rsid w:val="5A7220FC"/>
    <w:rsid w:val="5AB9C01D"/>
    <w:rsid w:val="5C73D8B5"/>
    <w:rsid w:val="5CA96E96"/>
    <w:rsid w:val="5CBDD7B9"/>
    <w:rsid w:val="5D7EEC76"/>
    <w:rsid w:val="5DB88F9B"/>
    <w:rsid w:val="5DE62637"/>
    <w:rsid w:val="5E85A8D0"/>
    <w:rsid w:val="602D85CF"/>
    <w:rsid w:val="60317DE5"/>
    <w:rsid w:val="609BF893"/>
    <w:rsid w:val="60AE9F03"/>
    <w:rsid w:val="610BE3EA"/>
    <w:rsid w:val="6153F0D8"/>
    <w:rsid w:val="61873C8C"/>
    <w:rsid w:val="618FAFA0"/>
    <w:rsid w:val="619A03AE"/>
    <w:rsid w:val="62512CB0"/>
    <w:rsid w:val="627F2F14"/>
    <w:rsid w:val="62DC7B98"/>
    <w:rsid w:val="63518E5E"/>
    <w:rsid w:val="63925B93"/>
    <w:rsid w:val="643B8041"/>
    <w:rsid w:val="64DD4F0D"/>
    <w:rsid w:val="65E192D9"/>
    <w:rsid w:val="66CB85DE"/>
    <w:rsid w:val="66F927CF"/>
    <w:rsid w:val="67CD4E78"/>
    <w:rsid w:val="67E2E259"/>
    <w:rsid w:val="680E30B2"/>
    <w:rsid w:val="68B1324A"/>
    <w:rsid w:val="68EA4981"/>
    <w:rsid w:val="690DB5A8"/>
    <w:rsid w:val="692DA40A"/>
    <w:rsid w:val="69DB1515"/>
    <w:rsid w:val="6AD1229A"/>
    <w:rsid w:val="6AE21B35"/>
    <w:rsid w:val="6B6D623B"/>
    <w:rsid w:val="6BF67FCA"/>
    <w:rsid w:val="6C69D2EF"/>
    <w:rsid w:val="6C6E8405"/>
    <w:rsid w:val="6C9306EE"/>
    <w:rsid w:val="6C96A617"/>
    <w:rsid w:val="6CDC24BE"/>
    <w:rsid w:val="6D085043"/>
    <w:rsid w:val="6D9AE761"/>
    <w:rsid w:val="6DC7E1F6"/>
    <w:rsid w:val="6E03F580"/>
    <w:rsid w:val="6E03F767"/>
    <w:rsid w:val="6ECBD64B"/>
    <w:rsid w:val="6F0493C3"/>
    <w:rsid w:val="6F6E8D02"/>
    <w:rsid w:val="6FA881B5"/>
    <w:rsid w:val="7020EDC8"/>
    <w:rsid w:val="70519EA4"/>
    <w:rsid w:val="70909E75"/>
    <w:rsid w:val="70B27A57"/>
    <w:rsid w:val="71565288"/>
    <w:rsid w:val="725FB234"/>
    <w:rsid w:val="72C4F9A3"/>
    <w:rsid w:val="73F47D9D"/>
    <w:rsid w:val="7448DE99"/>
    <w:rsid w:val="7456FDA1"/>
    <w:rsid w:val="7494767D"/>
    <w:rsid w:val="74BC59D0"/>
    <w:rsid w:val="74BD7077"/>
    <w:rsid w:val="74FCA4D5"/>
    <w:rsid w:val="754D0F77"/>
    <w:rsid w:val="75D0809A"/>
    <w:rsid w:val="76AB5328"/>
    <w:rsid w:val="76BB1B2C"/>
    <w:rsid w:val="76BC152C"/>
    <w:rsid w:val="76CF5A7A"/>
    <w:rsid w:val="76F5B5BA"/>
    <w:rsid w:val="76F79021"/>
    <w:rsid w:val="772461BD"/>
    <w:rsid w:val="77CF741A"/>
    <w:rsid w:val="793D6F02"/>
    <w:rsid w:val="7A484AC6"/>
    <w:rsid w:val="7B2A93A1"/>
    <w:rsid w:val="7B4B3629"/>
    <w:rsid w:val="7B83C1C0"/>
    <w:rsid w:val="7BCE007A"/>
    <w:rsid w:val="7DB4A3F6"/>
    <w:rsid w:val="7DC8AD66"/>
    <w:rsid w:val="7DDE0AA0"/>
    <w:rsid w:val="7EA4A75F"/>
    <w:rsid w:val="7F6466F1"/>
    <w:rsid w:val="7FB6FD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4E0BF3F6-BC49-4B14-83FA-CD2C8062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70DFF"/>
    <w:pPr>
      <w:spacing w:before="160"/>
      <w:outlineLvl w:val="0"/>
    </w:pPr>
    <w:rPr>
      <w:sz w:val="26"/>
      <w:szCs w:val="26"/>
    </w:r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MentionUnresolved">
    <w:name w:val="Mention Unresolved"/>
    <w:basedOn w:val="DefaultParagraphFont"/>
    <w:uiPriority w:val="99"/>
    <w:semiHidden/>
    <w:unhideWhenUsed/>
    <w:rsid w:val="00FD7016"/>
    <w:rPr>
      <w:color w:val="605E5C"/>
      <w:shd w:val="clear" w:color="auto" w:fill="E1DFDD"/>
    </w:rPr>
  </w:style>
  <w:style w:type="paragraph" w:styleId="ListParagraph">
    <w:name w:val="List Paragraph"/>
    <w:basedOn w:val="Normal"/>
    <w:link w:val="ListParagraphChar"/>
    <w:uiPriority w:val="34"/>
    <w:qFormat/>
    <w:rsid w:val="00230BFE"/>
    <w:pPr>
      <w:ind w:left="720"/>
      <w:contextualSpacing/>
    </w:pPr>
  </w:style>
  <w:style w:type="paragraph" w:customStyle="1" w:styleId="paragraph">
    <w:name w:val="paragraph"/>
    <w:basedOn w:val="Normal"/>
    <w:rsid w:val="00230BFE"/>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ListParagraphChar">
    <w:name w:val="List Paragraph Char"/>
    <w:link w:val="ListParagraph"/>
    <w:uiPriority w:val="34"/>
    <w:locked/>
    <w:rsid w:val="00230BFE"/>
    <w:rPr>
      <w:rFonts w:ascii="Calibri" w:hAnsi="Calibri"/>
      <w:sz w:val="24"/>
      <w:lang w:val="en-GB" w:eastAsia="en-US"/>
    </w:rPr>
  </w:style>
  <w:style w:type="character" w:customStyle="1" w:styleId="ui-provider">
    <w:name w:val="ui-provider"/>
    <w:basedOn w:val="DefaultParagraphFont"/>
    <w:rsid w:val="00230BFE"/>
  </w:style>
  <w:style w:type="character" w:customStyle="1" w:styleId="normaltextrun">
    <w:name w:val="normaltextrun"/>
    <w:basedOn w:val="DefaultParagraphFont"/>
    <w:rsid w:val="00230BFE"/>
  </w:style>
  <w:style w:type="character" w:customStyle="1" w:styleId="eop">
    <w:name w:val="eop"/>
    <w:basedOn w:val="DefaultParagraphFont"/>
    <w:rsid w:val="00230BFE"/>
  </w:style>
  <w:style w:type="character" w:customStyle="1" w:styleId="FootnoteTextChar">
    <w:name w:val="Footnote Text Char"/>
    <w:basedOn w:val="DefaultParagraphFont"/>
    <w:link w:val="FootnoteText"/>
    <w:uiPriority w:val="99"/>
    <w:rsid w:val="00230BFE"/>
    <w:rPr>
      <w:rFonts w:ascii="Calibri" w:hAnsi="Calibri"/>
      <w:sz w:val="24"/>
      <w:lang w:val="en-GB" w:eastAsia="en-US"/>
    </w:rPr>
  </w:style>
  <w:style w:type="paragraph" w:customStyle="1" w:styleId="Reasons">
    <w:name w:val="Reasons"/>
    <w:basedOn w:val="Normal"/>
    <w:qFormat/>
    <w:rsid w:val="00B70DFF"/>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1A0DA6"/>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BA4719"/>
    <w:rPr>
      <w:b/>
      <w:bCs/>
    </w:rPr>
  </w:style>
  <w:style w:type="character" w:customStyle="1" w:styleId="CommentSubjectChar">
    <w:name w:val="Comment Subject Char"/>
    <w:basedOn w:val="CommentTextChar"/>
    <w:link w:val="CommentSubject"/>
    <w:semiHidden/>
    <w:rsid w:val="00BA4719"/>
    <w:rPr>
      <w:rFonts w:ascii="Calibri" w:hAnsi="Calibri"/>
      <w:b/>
      <w:bCs/>
      <w:lang w:val="en-GB" w:eastAsia="en-US"/>
    </w:rPr>
  </w:style>
  <w:style w:type="character" w:styleId="Mention">
    <w:name w:val="Mention"/>
    <w:basedOn w:val="DefaultParagraphFont"/>
    <w:uiPriority w:val="99"/>
    <w:unhideWhenUsed/>
    <w:rsid w:val="00BA4719"/>
    <w:rPr>
      <w:color w:val="2B579A"/>
      <w:shd w:val="clear" w:color="auto" w:fill="E1DFDD"/>
    </w:rPr>
  </w:style>
  <w:style w:type="character" w:styleId="UnresolvedMention">
    <w:name w:val="Unresolved Mention"/>
    <w:basedOn w:val="DefaultParagraphFont"/>
    <w:uiPriority w:val="99"/>
    <w:semiHidden/>
    <w:unhideWhenUsed/>
    <w:rsid w:val="00E75165"/>
    <w:rPr>
      <w:color w:val="605E5C"/>
      <w:shd w:val="clear" w:color="auto" w:fill="E1DFDD"/>
    </w:rPr>
  </w:style>
  <w:style w:type="paragraph" w:styleId="NormalWeb">
    <w:name w:val="Normal (Web)"/>
    <w:basedOn w:val="Normal"/>
    <w:semiHidden/>
    <w:unhideWhenUsed/>
    <w:rsid w:val="00030535"/>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128764">
      <w:bodyDiv w:val="1"/>
      <w:marLeft w:val="0"/>
      <w:marRight w:val="0"/>
      <w:marTop w:val="0"/>
      <w:marBottom w:val="0"/>
      <w:divBdr>
        <w:top w:val="none" w:sz="0" w:space="0" w:color="auto"/>
        <w:left w:val="none" w:sz="0" w:space="0" w:color="auto"/>
        <w:bottom w:val="none" w:sz="0" w:space="0" w:color="auto"/>
        <w:right w:val="none" w:sz="0" w:space="0" w:color="auto"/>
      </w:divBdr>
    </w:div>
    <w:div w:id="603684812">
      <w:bodyDiv w:val="1"/>
      <w:marLeft w:val="0"/>
      <w:marRight w:val="0"/>
      <w:marTop w:val="0"/>
      <w:marBottom w:val="0"/>
      <w:divBdr>
        <w:top w:val="none" w:sz="0" w:space="0" w:color="auto"/>
        <w:left w:val="none" w:sz="0" w:space="0" w:color="auto"/>
        <w:bottom w:val="none" w:sz="0" w:space="0" w:color="auto"/>
        <w:right w:val="none" w:sz="0" w:space="0" w:color="auto"/>
      </w:divBdr>
    </w:div>
    <w:div w:id="607471885">
      <w:bodyDiv w:val="1"/>
      <w:marLeft w:val="0"/>
      <w:marRight w:val="0"/>
      <w:marTop w:val="0"/>
      <w:marBottom w:val="0"/>
      <w:divBdr>
        <w:top w:val="none" w:sz="0" w:space="0" w:color="auto"/>
        <w:left w:val="none" w:sz="0" w:space="0" w:color="auto"/>
        <w:bottom w:val="none" w:sz="0" w:space="0" w:color="auto"/>
        <w:right w:val="none" w:sz="0" w:space="0" w:color="auto"/>
      </w:divBdr>
    </w:div>
    <w:div w:id="675573325">
      <w:bodyDiv w:val="1"/>
      <w:marLeft w:val="0"/>
      <w:marRight w:val="0"/>
      <w:marTop w:val="0"/>
      <w:marBottom w:val="0"/>
      <w:divBdr>
        <w:top w:val="none" w:sz="0" w:space="0" w:color="auto"/>
        <w:left w:val="none" w:sz="0" w:space="0" w:color="auto"/>
        <w:bottom w:val="none" w:sz="0" w:space="0" w:color="auto"/>
        <w:right w:val="none" w:sz="0" w:space="0" w:color="auto"/>
      </w:divBdr>
      <w:divsChild>
        <w:div w:id="678194051">
          <w:marLeft w:val="0"/>
          <w:marRight w:val="0"/>
          <w:marTop w:val="0"/>
          <w:marBottom w:val="0"/>
          <w:divBdr>
            <w:top w:val="none" w:sz="0" w:space="0" w:color="auto"/>
            <w:left w:val="none" w:sz="0" w:space="0" w:color="auto"/>
            <w:bottom w:val="none" w:sz="0" w:space="0" w:color="auto"/>
            <w:right w:val="none" w:sz="0" w:space="0" w:color="auto"/>
          </w:divBdr>
          <w:divsChild>
            <w:div w:id="2003968901">
              <w:marLeft w:val="0"/>
              <w:marRight w:val="0"/>
              <w:marTop w:val="0"/>
              <w:marBottom w:val="0"/>
              <w:divBdr>
                <w:top w:val="none" w:sz="0" w:space="0" w:color="auto"/>
                <w:left w:val="none" w:sz="0" w:space="0" w:color="auto"/>
                <w:bottom w:val="none" w:sz="0" w:space="0" w:color="auto"/>
                <w:right w:val="none" w:sz="0" w:space="0" w:color="auto"/>
              </w:divBdr>
              <w:divsChild>
                <w:div w:id="1327826651">
                  <w:marLeft w:val="0"/>
                  <w:marRight w:val="0"/>
                  <w:marTop w:val="0"/>
                  <w:marBottom w:val="0"/>
                  <w:divBdr>
                    <w:top w:val="none" w:sz="0" w:space="0" w:color="auto"/>
                    <w:left w:val="none" w:sz="0" w:space="0" w:color="auto"/>
                    <w:bottom w:val="none" w:sz="0" w:space="0" w:color="auto"/>
                    <w:right w:val="none" w:sz="0" w:space="0" w:color="auto"/>
                  </w:divBdr>
                  <w:divsChild>
                    <w:div w:id="1331565905">
                      <w:marLeft w:val="0"/>
                      <w:marRight w:val="0"/>
                      <w:marTop w:val="0"/>
                      <w:marBottom w:val="0"/>
                      <w:divBdr>
                        <w:top w:val="none" w:sz="0" w:space="0" w:color="auto"/>
                        <w:left w:val="none" w:sz="0" w:space="0" w:color="auto"/>
                        <w:bottom w:val="none" w:sz="0" w:space="0" w:color="auto"/>
                        <w:right w:val="none" w:sz="0" w:space="0" w:color="auto"/>
                      </w:divBdr>
                      <w:divsChild>
                        <w:div w:id="668796387">
                          <w:marLeft w:val="0"/>
                          <w:marRight w:val="0"/>
                          <w:marTop w:val="0"/>
                          <w:marBottom w:val="0"/>
                          <w:divBdr>
                            <w:top w:val="none" w:sz="0" w:space="0" w:color="auto"/>
                            <w:left w:val="none" w:sz="0" w:space="0" w:color="auto"/>
                            <w:bottom w:val="none" w:sz="0" w:space="0" w:color="auto"/>
                            <w:right w:val="none" w:sz="0" w:space="0" w:color="auto"/>
                          </w:divBdr>
                          <w:divsChild>
                            <w:div w:id="9728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030556">
      <w:bodyDiv w:val="1"/>
      <w:marLeft w:val="0"/>
      <w:marRight w:val="0"/>
      <w:marTop w:val="0"/>
      <w:marBottom w:val="0"/>
      <w:divBdr>
        <w:top w:val="none" w:sz="0" w:space="0" w:color="auto"/>
        <w:left w:val="none" w:sz="0" w:space="0" w:color="auto"/>
        <w:bottom w:val="none" w:sz="0" w:space="0" w:color="auto"/>
        <w:right w:val="none" w:sz="0" w:space="0" w:color="auto"/>
      </w:divBdr>
      <w:divsChild>
        <w:div w:id="341057079">
          <w:marLeft w:val="0"/>
          <w:marRight w:val="0"/>
          <w:marTop w:val="0"/>
          <w:marBottom w:val="0"/>
          <w:divBdr>
            <w:top w:val="none" w:sz="0" w:space="0" w:color="auto"/>
            <w:left w:val="none" w:sz="0" w:space="0" w:color="auto"/>
            <w:bottom w:val="none" w:sz="0" w:space="0" w:color="auto"/>
            <w:right w:val="none" w:sz="0" w:space="0" w:color="auto"/>
          </w:divBdr>
          <w:divsChild>
            <w:div w:id="128133453">
              <w:marLeft w:val="0"/>
              <w:marRight w:val="0"/>
              <w:marTop w:val="0"/>
              <w:marBottom w:val="0"/>
              <w:divBdr>
                <w:top w:val="none" w:sz="0" w:space="0" w:color="auto"/>
                <w:left w:val="none" w:sz="0" w:space="0" w:color="auto"/>
                <w:bottom w:val="none" w:sz="0" w:space="0" w:color="auto"/>
                <w:right w:val="none" w:sz="0" w:space="0" w:color="auto"/>
              </w:divBdr>
              <w:divsChild>
                <w:div w:id="768894243">
                  <w:marLeft w:val="0"/>
                  <w:marRight w:val="0"/>
                  <w:marTop w:val="0"/>
                  <w:marBottom w:val="0"/>
                  <w:divBdr>
                    <w:top w:val="none" w:sz="0" w:space="0" w:color="auto"/>
                    <w:left w:val="none" w:sz="0" w:space="0" w:color="auto"/>
                    <w:bottom w:val="none" w:sz="0" w:space="0" w:color="auto"/>
                    <w:right w:val="none" w:sz="0" w:space="0" w:color="auto"/>
                  </w:divBdr>
                  <w:divsChild>
                    <w:div w:id="1714118077">
                      <w:marLeft w:val="0"/>
                      <w:marRight w:val="0"/>
                      <w:marTop w:val="0"/>
                      <w:marBottom w:val="0"/>
                      <w:divBdr>
                        <w:top w:val="none" w:sz="0" w:space="0" w:color="auto"/>
                        <w:left w:val="none" w:sz="0" w:space="0" w:color="auto"/>
                        <w:bottom w:val="none" w:sz="0" w:space="0" w:color="auto"/>
                        <w:right w:val="none" w:sz="0" w:space="0" w:color="auto"/>
                      </w:divBdr>
                      <w:divsChild>
                        <w:div w:id="572933491">
                          <w:marLeft w:val="0"/>
                          <w:marRight w:val="0"/>
                          <w:marTop w:val="0"/>
                          <w:marBottom w:val="0"/>
                          <w:divBdr>
                            <w:top w:val="none" w:sz="0" w:space="0" w:color="auto"/>
                            <w:left w:val="none" w:sz="0" w:space="0" w:color="auto"/>
                            <w:bottom w:val="none" w:sz="0" w:space="0" w:color="auto"/>
                            <w:right w:val="none" w:sz="0" w:space="0" w:color="auto"/>
                          </w:divBdr>
                          <w:divsChild>
                            <w:div w:id="13741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151526">
      <w:bodyDiv w:val="1"/>
      <w:marLeft w:val="0"/>
      <w:marRight w:val="0"/>
      <w:marTop w:val="0"/>
      <w:marBottom w:val="0"/>
      <w:divBdr>
        <w:top w:val="none" w:sz="0" w:space="0" w:color="auto"/>
        <w:left w:val="none" w:sz="0" w:space="0" w:color="auto"/>
        <w:bottom w:val="none" w:sz="0" w:space="0" w:color="auto"/>
        <w:right w:val="none" w:sz="0" w:space="0" w:color="auto"/>
      </w:divBdr>
    </w:div>
    <w:div w:id="1249541780">
      <w:bodyDiv w:val="1"/>
      <w:marLeft w:val="0"/>
      <w:marRight w:val="0"/>
      <w:marTop w:val="0"/>
      <w:marBottom w:val="0"/>
      <w:divBdr>
        <w:top w:val="none" w:sz="0" w:space="0" w:color="auto"/>
        <w:left w:val="none" w:sz="0" w:space="0" w:color="auto"/>
        <w:bottom w:val="none" w:sz="0" w:space="0" w:color="auto"/>
        <w:right w:val="none" w:sz="0" w:space="0" w:color="auto"/>
      </w:divBdr>
    </w:div>
    <w:div w:id="1323046169">
      <w:bodyDiv w:val="1"/>
      <w:marLeft w:val="0"/>
      <w:marRight w:val="0"/>
      <w:marTop w:val="0"/>
      <w:marBottom w:val="0"/>
      <w:divBdr>
        <w:top w:val="none" w:sz="0" w:space="0" w:color="auto"/>
        <w:left w:val="none" w:sz="0" w:space="0" w:color="auto"/>
        <w:bottom w:val="none" w:sz="0" w:space="0" w:color="auto"/>
        <w:right w:val="none" w:sz="0" w:space="0" w:color="auto"/>
      </w:divBdr>
    </w:div>
    <w:div w:id="1388383587">
      <w:bodyDiv w:val="1"/>
      <w:marLeft w:val="0"/>
      <w:marRight w:val="0"/>
      <w:marTop w:val="0"/>
      <w:marBottom w:val="0"/>
      <w:divBdr>
        <w:top w:val="none" w:sz="0" w:space="0" w:color="auto"/>
        <w:left w:val="none" w:sz="0" w:space="0" w:color="auto"/>
        <w:bottom w:val="none" w:sz="0" w:space="0" w:color="auto"/>
        <w:right w:val="none" w:sz="0" w:space="0" w:color="auto"/>
      </w:divBdr>
    </w:div>
    <w:div w:id="1458838031">
      <w:bodyDiv w:val="1"/>
      <w:marLeft w:val="0"/>
      <w:marRight w:val="0"/>
      <w:marTop w:val="0"/>
      <w:marBottom w:val="0"/>
      <w:divBdr>
        <w:top w:val="none" w:sz="0" w:space="0" w:color="auto"/>
        <w:left w:val="none" w:sz="0" w:space="0" w:color="auto"/>
        <w:bottom w:val="none" w:sz="0" w:space="0" w:color="auto"/>
        <w:right w:val="none" w:sz="0" w:space="0" w:color="auto"/>
      </w:divBdr>
      <w:divsChild>
        <w:div w:id="1466585826">
          <w:marLeft w:val="0"/>
          <w:marRight w:val="0"/>
          <w:marTop w:val="0"/>
          <w:marBottom w:val="0"/>
          <w:divBdr>
            <w:top w:val="none" w:sz="0" w:space="0" w:color="auto"/>
            <w:left w:val="none" w:sz="0" w:space="0" w:color="auto"/>
            <w:bottom w:val="none" w:sz="0" w:space="0" w:color="auto"/>
            <w:right w:val="none" w:sz="0" w:space="0" w:color="auto"/>
          </w:divBdr>
          <w:divsChild>
            <w:div w:id="1364745108">
              <w:marLeft w:val="0"/>
              <w:marRight w:val="0"/>
              <w:marTop w:val="0"/>
              <w:marBottom w:val="0"/>
              <w:divBdr>
                <w:top w:val="none" w:sz="0" w:space="0" w:color="auto"/>
                <w:left w:val="none" w:sz="0" w:space="0" w:color="auto"/>
                <w:bottom w:val="none" w:sz="0" w:space="0" w:color="auto"/>
                <w:right w:val="none" w:sz="0" w:space="0" w:color="auto"/>
              </w:divBdr>
              <w:divsChild>
                <w:div w:id="659772287">
                  <w:marLeft w:val="0"/>
                  <w:marRight w:val="0"/>
                  <w:marTop w:val="0"/>
                  <w:marBottom w:val="0"/>
                  <w:divBdr>
                    <w:top w:val="none" w:sz="0" w:space="0" w:color="auto"/>
                    <w:left w:val="none" w:sz="0" w:space="0" w:color="auto"/>
                    <w:bottom w:val="none" w:sz="0" w:space="0" w:color="auto"/>
                    <w:right w:val="none" w:sz="0" w:space="0" w:color="auto"/>
                  </w:divBdr>
                  <w:divsChild>
                    <w:div w:id="1155417117">
                      <w:marLeft w:val="0"/>
                      <w:marRight w:val="0"/>
                      <w:marTop w:val="0"/>
                      <w:marBottom w:val="0"/>
                      <w:divBdr>
                        <w:top w:val="none" w:sz="0" w:space="0" w:color="auto"/>
                        <w:left w:val="none" w:sz="0" w:space="0" w:color="auto"/>
                        <w:bottom w:val="none" w:sz="0" w:space="0" w:color="auto"/>
                        <w:right w:val="none" w:sz="0" w:space="0" w:color="auto"/>
                      </w:divBdr>
                      <w:divsChild>
                        <w:div w:id="1822888382">
                          <w:marLeft w:val="0"/>
                          <w:marRight w:val="0"/>
                          <w:marTop w:val="0"/>
                          <w:marBottom w:val="0"/>
                          <w:divBdr>
                            <w:top w:val="none" w:sz="0" w:space="0" w:color="auto"/>
                            <w:left w:val="none" w:sz="0" w:space="0" w:color="auto"/>
                            <w:bottom w:val="none" w:sz="0" w:space="0" w:color="auto"/>
                            <w:right w:val="none" w:sz="0" w:space="0" w:color="auto"/>
                          </w:divBdr>
                          <w:divsChild>
                            <w:div w:id="11952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666989">
      <w:bodyDiv w:val="1"/>
      <w:marLeft w:val="0"/>
      <w:marRight w:val="0"/>
      <w:marTop w:val="0"/>
      <w:marBottom w:val="0"/>
      <w:divBdr>
        <w:top w:val="none" w:sz="0" w:space="0" w:color="auto"/>
        <w:left w:val="none" w:sz="0" w:space="0" w:color="auto"/>
        <w:bottom w:val="none" w:sz="0" w:space="0" w:color="auto"/>
        <w:right w:val="none" w:sz="0" w:space="0" w:color="auto"/>
      </w:divBdr>
    </w:div>
    <w:div w:id="1618828570">
      <w:bodyDiv w:val="1"/>
      <w:marLeft w:val="0"/>
      <w:marRight w:val="0"/>
      <w:marTop w:val="0"/>
      <w:marBottom w:val="0"/>
      <w:divBdr>
        <w:top w:val="none" w:sz="0" w:space="0" w:color="auto"/>
        <w:left w:val="none" w:sz="0" w:space="0" w:color="auto"/>
        <w:bottom w:val="none" w:sz="0" w:space="0" w:color="auto"/>
        <w:right w:val="none" w:sz="0" w:space="0" w:color="auto"/>
      </w:divBdr>
      <w:divsChild>
        <w:div w:id="1970817095">
          <w:marLeft w:val="0"/>
          <w:marRight w:val="0"/>
          <w:marTop w:val="0"/>
          <w:marBottom w:val="0"/>
          <w:divBdr>
            <w:top w:val="none" w:sz="0" w:space="0" w:color="auto"/>
            <w:left w:val="none" w:sz="0" w:space="0" w:color="auto"/>
            <w:bottom w:val="none" w:sz="0" w:space="0" w:color="auto"/>
            <w:right w:val="none" w:sz="0" w:space="0" w:color="auto"/>
          </w:divBdr>
          <w:divsChild>
            <w:div w:id="1015040322">
              <w:marLeft w:val="0"/>
              <w:marRight w:val="0"/>
              <w:marTop w:val="0"/>
              <w:marBottom w:val="0"/>
              <w:divBdr>
                <w:top w:val="none" w:sz="0" w:space="0" w:color="auto"/>
                <w:left w:val="none" w:sz="0" w:space="0" w:color="auto"/>
                <w:bottom w:val="none" w:sz="0" w:space="0" w:color="auto"/>
                <w:right w:val="none" w:sz="0" w:space="0" w:color="auto"/>
              </w:divBdr>
              <w:divsChild>
                <w:div w:id="696930791">
                  <w:marLeft w:val="0"/>
                  <w:marRight w:val="0"/>
                  <w:marTop w:val="0"/>
                  <w:marBottom w:val="0"/>
                  <w:divBdr>
                    <w:top w:val="none" w:sz="0" w:space="0" w:color="auto"/>
                    <w:left w:val="none" w:sz="0" w:space="0" w:color="auto"/>
                    <w:bottom w:val="none" w:sz="0" w:space="0" w:color="auto"/>
                    <w:right w:val="none" w:sz="0" w:space="0" w:color="auto"/>
                  </w:divBdr>
                  <w:divsChild>
                    <w:div w:id="1532836539">
                      <w:marLeft w:val="0"/>
                      <w:marRight w:val="0"/>
                      <w:marTop w:val="0"/>
                      <w:marBottom w:val="0"/>
                      <w:divBdr>
                        <w:top w:val="none" w:sz="0" w:space="0" w:color="auto"/>
                        <w:left w:val="none" w:sz="0" w:space="0" w:color="auto"/>
                        <w:bottom w:val="none" w:sz="0" w:space="0" w:color="auto"/>
                        <w:right w:val="none" w:sz="0" w:space="0" w:color="auto"/>
                      </w:divBdr>
                      <w:divsChild>
                        <w:div w:id="851145031">
                          <w:marLeft w:val="0"/>
                          <w:marRight w:val="0"/>
                          <w:marTop w:val="0"/>
                          <w:marBottom w:val="0"/>
                          <w:divBdr>
                            <w:top w:val="none" w:sz="0" w:space="0" w:color="auto"/>
                            <w:left w:val="none" w:sz="0" w:space="0" w:color="auto"/>
                            <w:bottom w:val="none" w:sz="0" w:space="0" w:color="auto"/>
                            <w:right w:val="none" w:sz="0" w:space="0" w:color="auto"/>
                          </w:divBdr>
                          <w:divsChild>
                            <w:div w:id="17656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716415">
      <w:bodyDiv w:val="1"/>
      <w:marLeft w:val="0"/>
      <w:marRight w:val="0"/>
      <w:marTop w:val="0"/>
      <w:marBottom w:val="0"/>
      <w:divBdr>
        <w:top w:val="none" w:sz="0" w:space="0" w:color="auto"/>
        <w:left w:val="none" w:sz="0" w:space="0" w:color="auto"/>
        <w:bottom w:val="none" w:sz="0" w:space="0" w:color="auto"/>
        <w:right w:val="none" w:sz="0" w:space="0" w:color="auto"/>
      </w:divBdr>
    </w:div>
    <w:div w:id="1733500167">
      <w:bodyDiv w:val="1"/>
      <w:marLeft w:val="0"/>
      <w:marRight w:val="0"/>
      <w:marTop w:val="0"/>
      <w:marBottom w:val="0"/>
      <w:divBdr>
        <w:top w:val="none" w:sz="0" w:space="0" w:color="auto"/>
        <w:left w:val="none" w:sz="0" w:space="0" w:color="auto"/>
        <w:bottom w:val="none" w:sz="0" w:space="0" w:color="auto"/>
        <w:right w:val="none" w:sz="0" w:space="0" w:color="auto"/>
      </w:divBdr>
      <w:divsChild>
        <w:div w:id="907497857">
          <w:marLeft w:val="0"/>
          <w:marRight w:val="0"/>
          <w:marTop w:val="0"/>
          <w:marBottom w:val="0"/>
          <w:divBdr>
            <w:top w:val="none" w:sz="0" w:space="0" w:color="auto"/>
            <w:left w:val="none" w:sz="0" w:space="0" w:color="auto"/>
            <w:bottom w:val="none" w:sz="0" w:space="0" w:color="auto"/>
            <w:right w:val="none" w:sz="0" w:space="0" w:color="auto"/>
          </w:divBdr>
          <w:divsChild>
            <w:div w:id="652298206">
              <w:marLeft w:val="0"/>
              <w:marRight w:val="0"/>
              <w:marTop w:val="0"/>
              <w:marBottom w:val="0"/>
              <w:divBdr>
                <w:top w:val="none" w:sz="0" w:space="0" w:color="auto"/>
                <w:left w:val="none" w:sz="0" w:space="0" w:color="auto"/>
                <w:bottom w:val="none" w:sz="0" w:space="0" w:color="auto"/>
                <w:right w:val="none" w:sz="0" w:space="0" w:color="auto"/>
              </w:divBdr>
              <w:divsChild>
                <w:div w:id="277109984">
                  <w:marLeft w:val="0"/>
                  <w:marRight w:val="0"/>
                  <w:marTop w:val="0"/>
                  <w:marBottom w:val="0"/>
                  <w:divBdr>
                    <w:top w:val="none" w:sz="0" w:space="0" w:color="auto"/>
                    <w:left w:val="none" w:sz="0" w:space="0" w:color="auto"/>
                    <w:bottom w:val="none" w:sz="0" w:space="0" w:color="auto"/>
                    <w:right w:val="none" w:sz="0" w:space="0" w:color="auto"/>
                  </w:divBdr>
                  <w:divsChild>
                    <w:div w:id="352192816">
                      <w:marLeft w:val="0"/>
                      <w:marRight w:val="0"/>
                      <w:marTop w:val="0"/>
                      <w:marBottom w:val="0"/>
                      <w:divBdr>
                        <w:top w:val="none" w:sz="0" w:space="0" w:color="auto"/>
                        <w:left w:val="none" w:sz="0" w:space="0" w:color="auto"/>
                        <w:bottom w:val="none" w:sz="0" w:space="0" w:color="auto"/>
                        <w:right w:val="none" w:sz="0" w:space="0" w:color="auto"/>
                      </w:divBdr>
                      <w:divsChild>
                        <w:div w:id="214508340">
                          <w:marLeft w:val="0"/>
                          <w:marRight w:val="0"/>
                          <w:marTop w:val="0"/>
                          <w:marBottom w:val="0"/>
                          <w:divBdr>
                            <w:top w:val="none" w:sz="0" w:space="0" w:color="auto"/>
                            <w:left w:val="none" w:sz="0" w:space="0" w:color="auto"/>
                            <w:bottom w:val="none" w:sz="0" w:space="0" w:color="auto"/>
                            <w:right w:val="none" w:sz="0" w:space="0" w:color="auto"/>
                          </w:divBdr>
                          <w:divsChild>
                            <w:div w:id="10389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341187">
      <w:bodyDiv w:val="1"/>
      <w:marLeft w:val="0"/>
      <w:marRight w:val="0"/>
      <w:marTop w:val="0"/>
      <w:marBottom w:val="0"/>
      <w:divBdr>
        <w:top w:val="none" w:sz="0" w:space="0" w:color="auto"/>
        <w:left w:val="none" w:sz="0" w:space="0" w:color="auto"/>
        <w:bottom w:val="none" w:sz="0" w:space="0" w:color="auto"/>
        <w:right w:val="none" w:sz="0" w:space="0" w:color="auto"/>
      </w:divBdr>
    </w:div>
    <w:div w:id="1974212163">
      <w:bodyDiv w:val="1"/>
      <w:marLeft w:val="0"/>
      <w:marRight w:val="0"/>
      <w:marTop w:val="0"/>
      <w:marBottom w:val="0"/>
      <w:divBdr>
        <w:top w:val="none" w:sz="0" w:space="0" w:color="auto"/>
        <w:left w:val="none" w:sz="0" w:space="0" w:color="auto"/>
        <w:bottom w:val="none" w:sz="0" w:space="0" w:color="auto"/>
        <w:right w:val="none" w:sz="0" w:space="0" w:color="auto"/>
      </w:divBdr>
      <w:divsChild>
        <w:div w:id="2124762297">
          <w:marLeft w:val="0"/>
          <w:marRight w:val="0"/>
          <w:marTop w:val="0"/>
          <w:marBottom w:val="0"/>
          <w:divBdr>
            <w:top w:val="none" w:sz="0" w:space="0" w:color="auto"/>
            <w:left w:val="none" w:sz="0" w:space="0" w:color="auto"/>
            <w:bottom w:val="none" w:sz="0" w:space="0" w:color="auto"/>
            <w:right w:val="none" w:sz="0" w:space="0" w:color="auto"/>
          </w:divBdr>
          <w:divsChild>
            <w:div w:id="1640573688">
              <w:marLeft w:val="0"/>
              <w:marRight w:val="0"/>
              <w:marTop w:val="0"/>
              <w:marBottom w:val="0"/>
              <w:divBdr>
                <w:top w:val="none" w:sz="0" w:space="0" w:color="auto"/>
                <w:left w:val="none" w:sz="0" w:space="0" w:color="auto"/>
                <w:bottom w:val="none" w:sz="0" w:space="0" w:color="auto"/>
                <w:right w:val="none" w:sz="0" w:space="0" w:color="auto"/>
              </w:divBdr>
              <w:divsChild>
                <w:div w:id="1311134962">
                  <w:marLeft w:val="0"/>
                  <w:marRight w:val="0"/>
                  <w:marTop w:val="0"/>
                  <w:marBottom w:val="0"/>
                  <w:divBdr>
                    <w:top w:val="none" w:sz="0" w:space="0" w:color="auto"/>
                    <w:left w:val="none" w:sz="0" w:space="0" w:color="auto"/>
                    <w:bottom w:val="none" w:sz="0" w:space="0" w:color="auto"/>
                    <w:right w:val="none" w:sz="0" w:space="0" w:color="auto"/>
                  </w:divBdr>
                  <w:divsChild>
                    <w:div w:id="404687685">
                      <w:marLeft w:val="0"/>
                      <w:marRight w:val="0"/>
                      <w:marTop w:val="0"/>
                      <w:marBottom w:val="0"/>
                      <w:divBdr>
                        <w:top w:val="none" w:sz="0" w:space="0" w:color="auto"/>
                        <w:left w:val="none" w:sz="0" w:space="0" w:color="auto"/>
                        <w:bottom w:val="none" w:sz="0" w:space="0" w:color="auto"/>
                        <w:right w:val="none" w:sz="0" w:space="0" w:color="auto"/>
                      </w:divBdr>
                      <w:divsChild>
                        <w:div w:id="1986272469">
                          <w:marLeft w:val="0"/>
                          <w:marRight w:val="0"/>
                          <w:marTop w:val="0"/>
                          <w:marBottom w:val="0"/>
                          <w:divBdr>
                            <w:top w:val="none" w:sz="0" w:space="0" w:color="auto"/>
                            <w:left w:val="none" w:sz="0" w:space="0" w:color="auto"/>
                            <w:bottom w:val="none" w:sz="0" w:space="0" w:color="auto"/>
                            <w:right w:val="none" w:sz="0" w:space="0" w:color="auto"/>
                          </w:divBdr>
                          <w:divsChild>
                            <w:div w:id="3458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52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4-CL-C-0139/en" TargetMode="External"/><Relationship Id="rId18" Type="http://schemas.openxmlformats.org/officeDocument/2006/relationships/hyperlink" Target="https://www.itu.int/md/S25-CL-C-0079/en" TargetMode="External"/><Relationship Id="rId26" Type="http://schemas.openxmlformats.org/officeDocument/2006/relationships/hyperlink" Target="https://www.itu.int/md/S25-CWGSFP3-C-0004/en" TargetMode="External"/><Relationship Id="rId39" Type="http://schemas.openxmlformats.org/officeDocument/2006/relationships/hyperlink" Target="https://www.itu.int/md/S25-CWGSFP3-C-0007/en" TargetMode="External"/><Relationship Id="rId21" Type="http://schemas.openxmlformats.org/officeDocument/2006/relationships/hyperlink" Target="https://www.itu.int/md/S25-CWGSFP3-C-0009/en" TargetMode="External"/><Relationship Id="rId34" Type="http://schemas.openxmlformats.org/officeDocument/2006/relationships/hyperlink" Target="https://www.itu.int/md/S25-CWGSFP3-C-0013/en"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25-CWGSFP3-C-0002/en" TargetMode="External"/><Relationship Id="rId29" Type="http://schemas.openxmlformats.org/officeDocument/2006/relationships/hyperlink" Target="https://www.itu.int/en/council/Documents/2025/CWG-SFP3-Mision-and-Vision-presentation.pdf" TargetMode="External"/><Relationship Id="rId11" Type="http://schemas.openxmlformats.org/officeDocument/2006/relationships/hyperlink" Target="https://www.itu.int/md/S24-CL-C-0139/en" TargetMode="External"/><Relationship Id="rId24" Type="http://schemas.openxmlformats.org/officeDocument/2006/relationships/hyperlink" Target="https://www.itu.int/md/S25-CWGSFP3-C-0011/en" TargetMode="External"/><Relationship Id="rId32" Type="http://schemas.openxmlformats.org/officeDocument/2006/relationships/hyperlink" Target="https://www.itu.int/md/S25-CWGSFP3-C-0010/en" TargetMode="External"/><Relationship Id="rId37" Type="http://schemas.openxmlformats.org/officeDocument/2006/relationships/hyperlink" Target="mailto:strategy@itu.int" TargetMode="External"/><Relationship Id="rId40" Type="http://schemas.openxmlformats.org/officeDocument/2006/relationships/hyperlink" Target="https://www.itu.int/en/council/Documents/2025/CWG-SFP3-Mision-and-Vision-presentation.pdf"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md/S25-CWGSFP2-C-0013/en" TargetMode="External"/><Relationship Id="rId23" Type="http://schemas.openxmlformats.org/officeDocument/2006/relationships/hyperlink" Target="https://www.itu.int/md/S25-CWGSFP3-C-0003/en" TargetMode="External"/><Relationship Id="rId28" Type="http://schemas.openxmlformats.org/officeDocument/2006/relationships/hyperlink" Target="https://www.itu.int/md/S25-CWGSFP3-C-0005/en" TargetMode="External"/><Relationship Id="rId36" Type="http://schemas.openxmlformats.org/officeDocument/2006/relationships/hyperlink" Target="https://www.itu.int/md/S25-CWGSFP3-C-0008/en"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itu.int/md/S25-CWGSFP3-C-0012/en" TargetMode="External"/><Relationship Id="rId31" Type="http://schemas.openxmlformats.org/officeDocument/2006/relationships/hyperlink" Target="https://www.itu.int/md/S25-CWGSFP3-C-0006/en"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WGSFP3-C-0001/en" TargetMode="External"/><Relationship Id="rId22" Type="http://schemas.openxmlformats.org/officeDocument/2006/relationships/hyperlink" Target="https://www.itu.int/md/S25-CWGSFP3-250908-TD-0001/en" TargetMode="External"/><Relationship Id="rId27" Type="http://schemas.openxmlformats.org/officeDocument/2006/relationships/hyperlink" Target="https://www.itu.int/md/S25-CWGSFP3-C-0014/en" TargetMode="External"/><Relationship Id="rId30" Type="http://schemas.openxmlformats.org/officeDocument/2006/relationships/hyperlink" Target="https://staging.itu.int/en/council/ties/Documents/2025/CWG-SFP-presentation-Sept-2025.pdf" TargetMode="External"/><Relationship Id="rId35" Type="http://schemas.openxmlformats.org/officeDocument/2006/relationships/hyperlink" Target="https://www.itu.int/md/S25-CWGSFP3-C-0016/en"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en/council/CWG-SFP-2028-2031/Pages/default.aspx" TargetMode="External"/><Relationship Id="rId17" Type="http://schemas.openxmlformats.org/officeDocument/2006/relationships/hyperlink" Target="https://www.itu.int/md/S25-CL-C-0029/en" TargetMode="External"/><Relationship Id="rId25" Type="http://schemas.openxmlformats.org/officeDocument/2006/relationships/hyperlink" Target="https://www.itu.int/md/S25-CWGSFP3-C-0015/en" TargetMode="External"/><Relationship Id="rId33" Type="http://schemas.openxmlformats.org/officeDocument/2006/relationships/hyperlink" Target="https://www.itu.int/md/S25-CWGSFP3-C-0007/en" TargetMode="External"/><Relationship Id="rId38" Type="http://schemas.openxmlformats.org/officeDocument/2006/relationships/hyperlink" Target="https://www.itu.int/md/S25-CWGSFP3-C-0006/en" TargetMode="External"/><Relationship Id="rId46" Type="http://schemas.openxmlformats.org/officeDocument/2006/relationships/header" Target="header3.xml"/><Relationship Id="rId20" Type="http://schemas.openxmlformats.org/officeDocument/2006/relationships/hyperlink" Target="https://www.itu.int/md/S25-CL-C-0091/en" TargetMode="External"/><Relationship Id="rId41" Type="http://schemas.openxmlformats.org/officeDocument/2006/relationships/hyperlink" Target="https://www.itu.int/en/council/CWG-SFP-2028-2031/Pages/default.aspx"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78F9B9C68F490595469863D6F34AE3"/>
        <w:category>
          <w:name w:val="General"/>
          <w:gallery w:val="placeholder"/>
        </w:category>
        <w:types>
          <w:type w:val="bbPlcHdr"/>
        </w:types>
        <w:behaviors>
          <w:behavior w:val="content"/>
        </w:behaviors>
        <w:guid w:val="{59906E21-F146-4D09-9F71-34E59B5AAD21}"/>
      </w:docPartPr>
      <w:docPartBody>
        <w:p w:rsidR="00FD4C67" w:rsidRDefault="00FD4C67" w:rsidP="00FD4C67">
          <w:pPr>
            <w:pStyle w:val="0D78F9B9C68F490595469863D6F34AE3"/>
          </w:pPr>
          <w:r w:rsidRPr="00543D41">
            <w:rPr>
              <w:rStyle w:val="PlaceholderText"/>
              <w:highlight w:val="yellow"/>
            </w:rPr>
            <w:t>Insert source(s)</w:t>
          </w:r>
        </w:p>
      </w:docPartBody>
    </w:docPart>
    <w:docPart>
      <w:docPartPr>
        <w:name w:val="320A71C5388F40E3B1BC9B584FCB4F26"/>
        <w:category>
          <w:name w:val="General"/>
          <w:gallery w:val="placeholder"/>
        </w:category>
        <w:types>
          <w:type w:val="bbPlcHdr"/>
        </w:types>
        <w:behaviors>
          <w:behavior w:val="content"/>
        </w:behaviors>
        <w:guid w:val="{685AF5DF-DAA6-479C-840B-AD43273BD5C6}"/>
      </w:docPartPr>
      <w:docPartBody>
        <w:p w:rsidR="00FD4C67" w:rsidRDefault="00FD4C67" w:rsidP="00FD4C67">
          <w:pPr>
            <w:pStyle w:val="320A71C5388F40E3B1BC9B584FCB4F26"/>
          </w:pPr>
          <w:r w:rsidRPr="00543D41">
            <w:rPr>
              <w:rStyle w:val="PlaceholderText"/>
              <w:highlight w:val="yellow"/>
            </w:rPr>
            <w:t>Insert title (always in ENGLISH)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67"/>
    <w:rsid w:val="000106C3"/>
    <w:rsid w:val="000E3A30"/>
    <w:rsid w:val="00163D14"/>
    <w:rsid w:val="003A4DA1"/>
    <w:rsid w:val="0053756E"/>
    <w:rsid w:val="00632DEB"/>
    <w:rsid w:val="007003CE"/>
    <w:rsid w:val="00941417"/>
    <w:rsid w:val="00A93707"/>
    <w:rsid w:val="00E54B81"/>
    <w:rsid w:val="00FD4C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C67"/>
    <w:rPr>
      <w:rFonts w:ascii="Times New Roman" w:hAnsi="Times New Roman"/>
      <w:color w:val="808080"/>
    </w:rPr>
  </w:style>
  <w:style w:type="paragraph" w:customStyle="1" w:styleId="0D78F9B9C68F490595469863D6F34AE3">
    <w:name w:val="0D78F9B9C68F490595469863D6F34AE3"/>
    <w:rsid w:val="00FD4C67"/>
  </w:style>
  <w:style w:type="paragraph" w:customStyle="1" w:styleId="320A71C5388F40E3B1BC9B584FCB4F26">
    <w:name w:val="320A71C5388F40E3B1BC9B584FCB4F26"/>
    <w:rsid w:val="00FD4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146B739B54F40B714F2E60E92A517" ma:contentTypeVersion="18" ma:contentTypeDescription="Create a new document." ma:contentTypeScope="" ma:versionID="d3c0405837a41a0a2a65817912df6fdc">
  <xsd:schema xmlns:xsd="http://www.w3.org/2001/XMLSchema" xmlns:xs="http://www.w3.org/2001/XMLSchema" xmlns:p="http://schemas.microsoft.com/office/2006/metadata/properties" xmlns:ns2="6524ed65-50c7-4fb3-9954-e6cb51bee540" xmlns:ns3="cb5c4e96-d2fa-4fb5-b842-8bb7a9e662f3" targetNamespace="http://schemas.microsoft.com/office/2006/metadata/properties" ma:root="true" ma:fieldsID="6f8f5c43560db9b9dd78e88ebfeafe28" ns2:_="" ns3:_="">
    <xsd:import namespace="6524ed65-50c7-4fb3-9954-e6cb51bee540"/>
    <xsd:import namespace="cb5c4e96-d2fa-4fb5-b842-8bb7a9e66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ed65-50c7-4fb3-9954-e6cb51bee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c4e96-d2fa-4fb5-b842-8bb7a9e662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873559-c6c3-47ee-b04e-0ebdf642dd30}" ma:internalName="TaxCatchAll" ma:showField="CatchAllData" ma:web="cb5c4e96-d2fa-4fb5-b842-8bb7a9e66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24ed65-50c7-4fb3-9954-e6cb51bee540">
      <Terms xmlns="http://schemas.microsoft.com/office/infopath/2007/PartnerControls"/>
    </lcf76f155ced4ddcb4097134ff3c332f>
    <TaxCatchAll xmlns="cb5c4e96-d2fa-4fb5-b842-8bb7a9e662f3"/>
  </documentManagement>
</p:properties>
</file>

<file path=customXml/itemProps1.xml><?xml version="1.0" encoding="utf-8"?>
<ds:datastoreItem xmlns:ds="http://schemas.openxmlformats.org/officeDocument/2006/customXml" ds:itemID="{409999C8-DB18-4B74-A54F-5431E2F0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ed65-50c7-4fb3-9954-e6cb51bee540"/>
    <ds:schemaRef ds:uri="cb5c4e96-d2fa-4fb5-b842-8bb7a9e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41A30-8247-4954-B322-1A0C8E9EE3D5}">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D0BE7F22-6DE6-401B-8AB6-0BCF36FFE1EB}">
  <ds:schemaRefs>
    <ds:schemaRef ds:uri="http://www.w3.org/XML/1998/namespace"/>
    <ds:schemaRef ds:uri="cb5c4e96-d2fa-4fb5-b842-8bb7a9e662f3"/>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dcmitype/"/>
    <ds:schemaRef ds:uri="http://purl.org/dc/elements/1.1/"/>
    <ds:schemaRef ds:uri="6524ed65-50c7-4fb3-9954-e6cb51bee540"/>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1827</Words>
  <Characters>10824</Characters>
  <Application>Microsoft Office Word</Application>
  <DocSecurity>0</DocSecurity>
  <Lines>201</Lines>
  <Paragraphs>78</Paragraphs>
  <ScaleCrop>false</ScaleCrop>
  <HeadingPairs>
    <vt:vector size="2" baseType="variant">
      <vt:variant>
        <vt:lpstr>Title</vt:lpstr>
      </vt:variant>
      <vt:variant>
        <vt:i4>1</vt:i4>
      </vt:variant>
    </vt:vector>
  </HeadingPairs>
  <TitlesOfParts>
    <vt:vector size="1" baseType="lpstr">
      <vt:lpstr>Final Report of the third meeting of the Council Working Group for strategic and financial plans 2028-2031</vt:lpstr>
    </vt:vector>
  </TitlesOfParts>
  <Manager/>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of the third meeting of the Council Working Group for strategic and financial plans 2028-2031</dc:title>
  <dc:subject>ITU Council Working Group on Financial and Human Resources</dc:subject>
  <cp:keywords>CWG-FHR, C26, Council-26</cp:keywords>
  <dc:description/>
  <dcterms:created xsi:type="dcterms:W3CDTF">2025-11-25T15:20:00Z</dcterms:created>
  <dcterms:modified xsi:type="dcterms:W3CDTF">2025-11-26T12:38:00Z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0x0101005F2146B739B54F40B714F2E60E92A517</vt:lpwstr>
  </property>
  <property fmtid="{D5CDD505-2E9C-101B-9397-08002B2CF9AE}" pid="3" name="MediaServiceImageTags">
    <vt:lpwstr/>
  </property>
  <property fmtid="{D5CDD505-2E9C-101B-9397-08002B2CF9AE}" pid="4" name="GrammarlyDocumentId">
    <vt:lpwstr>c832f70633bc5ed597e66490aef2d4985cbbcc8925b33ab8130bcb3a76c24502</vt:lpwstr>
  </property>
</Properties>
</file>