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page" w:tblpX="1821" w:tblpY="2317"/>
        <w:tblW w:w="9214" w:type="dxa"/>
        <w:tblLayout w:type="fixed"/>
        <w:tblLook w:val="0000" w:firstRow="0" w:lastRow="0" w:firstColumn="0" w:lastColumn="0" w:noHBand="0" w:noVBand="0"/>
      </w:tblPr>
      <w:tblGrid>
        <w:gridCol w:w="3969"/>
        <w:gridCol w:w="5245"/>
      </w:tblGrid>
      <w:tr w:rsidR="00AD3606" w:rsidRPr="004B51C8" w14:paraId="3337F0C0" w14:textId="77777777" w:rsidTr="00AD3606">
        <w:trPr>
          <w:cantSplit/>
          <w:trHeight w:val="23"/>
        </w:trPr>
        <w:tc>
          <w:tcPr>
            <w:tcW w:w="3969" w:type="dxa"/>
            <w:vMerge w:val="restart"/>
            <w:tcMar>
              <w:left w:w="0" w:type="dxa"/>
            </w:tcMar>
          </w:tcPr>
          <w:p w14:paraId="21304257" w14:textId="77777777" w:rsidR="00AD3606" w:rsidRPr="00147C54" w:rsidRDefault="00AD3606" w:rsidP="00472BAD">
            <w:pPr>
              <w:tabs>
                <w:tab w:val="left" w:pos="851"/>
              </w:tabs>
              <w:spacing w:before="0" w:line="240" w:lineRule="atLeast"/>
              <w:rPr>
                <w:b/>
              </w:rPr>
            </w:pPr>
            <w:bookmarkStart w:id="0" w:name="dmeeting" w:colFirst="0" w:colLast="0"/>
            <w:bookmarkStart w:id="1" w:name="dnum" w:colFirst="1" w:colLast="1"/>
            <w:bookmarkStart w:id="2" w:name="_Hlk133421839"/>
            <w:bookmarkStart w:id="3" w:name="_Hlk133421856"/>
            <w:bookmarkStart w:id="4" w:name="_Hlk133422370"/>
            <w:bookmarkStart w:id="5" w:name="_Hlk133586559"/>
          </w:p>
        </w:tc>
        <w:tc>
          <w:tcPr>
            <w:tcW w:w="5245" w:type="dxa"/>
          </w:tcPr>
          <w:p w14:paraId="536DB7FB" w14:textId="12AA79A4" w:rsidR="00AD3606" w:rsidRPr="00301AEE" w:rsidRDefault="00E85B67" w:rsidP="00472BAD">
            <w:pPr>
              <w:tabs>
                <w:tab w:val="left" w:pos="851"/>
              </w:tabs>
              <w:spacing w:before="0" w:line="240" w:lineRule="atLeast"/>
              <w:jc w:val="right"/>
              <w:rPr>
                <w:b/>
                <w:lang w:val="fr-FR"/>
              </w:rPr>
            </w:pPr>
            <w:r w:rsidRPr="00A52C84">
              <w:rPr>
                <w:b/>
                <w:lang w:val="fr-CH"/>
              </w:rPr>
              <w:t xml:space="preserve">Document </w:t>
            </w:r>
            <w:r w:rsidR="00612123">
              <w:rPr>
                <w:b/>
                <w:lang w:val="fr-CH"/>
              </w:rPr>
              <w:t>CWG-SFP</w:t>
            </w:r>
            <w:r w:rsidR="00524E9C">
              <w:rPr>
                <w:b/>
                <w:lang w:val="fr-CH"/>
              </w:rPr>
              <w:t>-</w:t>
            </w:r>
            <w:r w:rsidR="008E754E">
              <w:rPr>
                <w:b/>
                <w:lang w:val="fr-CH"/>
              </w:rPr>
              <w:t>3</w:t>
            </w:r>
            <w:r w:rsidR="00F66A26">
              <w:rPr>
                <w:b/>
                <w:lang w:val="fr-FR"/>
              </w:rPr>
              <w:t>/</w:t>
            </w:r>
            <w:r w:rsidR="0083440E">
              <w:rPr>
                <w:b/>
                <w:lang w:val="fr-FR"/>
              </w:rPr>
              <w:t>11</w:t>
            </w:r>
          </w:p>
        </w:tc>
      </w:tr>
      <w:tr w:rsidR="00AD3606" w:rsidRPr="00147C54" w14:paraId="163A5246" w14:textId="77777777" w:rsidTr="00AD3606">
        <w:trPr>
          <w:cantSplit/>
        </w:trPr>
        <w:tc>
          <w:tcPr>
            <w:tcW w:w="3969" w:type="dxa"/>
            <w:vMerge/>
          </w:tcPr>
          <w:p w14:paraId="041BC40E" w14:textId="77777777" w:rsidR="00AD3606" w:rsidRPr="00301AEE" w:rsidRDefault="00AD3606" w:rsidP="00AD3606">
            <w:pPr>
              <w:tabs>
                <w:tab w:val="left" w:pos="851"/>
              </w:tabs>
              <w:spacing w:line="240" w:lineRule="atLeast"/>
              <w:rPr>
                <w:b/>
                <w:lang w:val="fr-FR"/>
              </w:rPr>
            </w:pPr>
            <w:bookmarkStart w:id="6" w:name="ddate" w:colFirst="1" w:colLast="1"/>
            <w:bookmarkEnd w:id="0"/>
            <w:bookmarkEnd w:id="1"/>
          </w:p>
        </w:tc>
        <w:tc>
          <w:tcPr>
            <w:tcW w:w="5245" w:type="dxa"/>
          </w:tcPr>
          <w:p w14:paraId="383CF972" w14:textId="70CCB23D" w:rsidR="00AD3606" w:rsidRPr="00147C54" w:rsidRDefault="0083440E" w:rsidP="00AD3606">
            <w:pPr>
              <w:tabs>
                <w:tab w:val="left" w:pos="851"/>
              </w:tabs>
              <w:spacing w:before="0"/>
              <w:jc w:val="right"/>
              <w:rPr>
                <w:b/>
              </w:rPr>
            </w:pPr>
            <w:r>
              <w:rPr>
                <w:b/>
              </w:rPr>
              <w:t>25 August 2025</w:t>
            </w:r>
          </w:p>
        </w:tc>
      </w:tr>
      <w:tr w:rsidR="00AD3606" w:rsidRPr="00147C54" w14:paraId="79ABC834" w14:textId="77777777" w:rsidTr="00AD3606">
        <w:trPr>
          <w:cantSplit/>
          <w:trHeight w:val="23"/>
        </w:trPr>
        <w:tc>
          <w:tcPr>
            <w:tcW w:w="3969" w:type="dxa"/>
            <w:vMerge/>
          </w:tcPr>
          <w:p w14:paraId="56730253" w14:textId="77777777" w:rsidR="00AD3606" w:rsidRPr="00147C54" w:rsidRDefault="00AD3606" w:rsidP="00AD3606">
            <w:pPr>
              <w:tabs>
                <w:tab w:val="left" w:pos="851"/>
              </w:tabs>
              <w:spacing w:line="240" w:lineRule="atLeast"/>
              <w:rPr>
                <w:b/>
              </w:rPr>
            </w:pPr>
            <w:bookmarkStart w:id="7" w:name="dorlang" w:colFirst="1" w:colLast="1"/>
            <w:bookmarkEnd w:id="6"/>
          </w:p>
        </w:tc>
        <w:tc>
          <w:tcPr>
            <w:tcW w:w="5245" w:type="dxa"/>
          </w:tcPr>
          <w:p w14:paraId="152CFB27" w14:textId="77777777" w:rsidR="00AD3606" w:rsidRPr="00147C54" w:rsidRDefault="00891503" w:rsidP="00AD3606">
            <w:pPr>
              <w:tabs>
                <w:tab w:val="left" w:pos="851"/>
              </w:tabs>
              <w:spacing w:before="0" w:line="240" w:lineRule="atLeast"/>
              <w:jc w:val="right"/>
              <w:rPr>
                <w:b/>
              </w:rPr>
            </w:pPr>
            <w:r w:rsidRPr="00147C54">
              <w:rPr>
                <w:b/>
              </w:rPr>
              <w:t>English only</w:t>
            </w:r>
          </w:p>
        </w:tc>
      </w:tr>
      <w:tr w:rsidR="00472BAD" w:rsidRPr="00147C54" w14:paraId="474F5D65" w14:textId="77777777" w:rsidTr="00AD3606">
        <w:trPr>
          <w:cantSplit/>
          <w:trHeight w:val="23"/>
        </w:trPr>
        <w:tc>
          <w:tcPr>
            <w:tcW w:w="3969" w:type="dxa"/>
          </w:tcPr>
          <w:p w14:paraId="4E2C6634" w14:textId="77777777" w:rsidR="00472BAD" w:rsidRPr="00147C54" w:rsidRDefault="00472BAD" w:rsidP="00AD3606">
            <w:pPr>
              <w:tabs>
                <w:tab w:val="left" w:pos="851"/>
              </w:tabs>
              <w:spacing w:line="240" w:lineRule="atLeast"/>
              <w:rPr>
                <w:b/>
              </w:rPr>
            </w:pPr>
          </w:p>
        </w:tc>
        <w:tc>
          <w:tcPr>
            <w:tcW w:w="5245" w:type="dxa"/>
          </w:tcPr>
          <w:p w14:paraId="1859C7B6" w14:textId="77777777" w:rsidR="00472BAD" w:rsidRPr="00147C54" w:rsidRDefault="00472BAD" w:rsidP="00AD3606">
            <w:pPr>
              <w:tabs>
                <w:tab w:val="left" w:pos="851"/>
              </w:tabs>
              <w:spacing w:before="0" w:line="240" w:lineRule="atLeast"/>
              <w:jc w:val="right"/>
              <w:rPr>
                <w:b/>
              </w:rPr>
            </w:pPr>
          </w:p>
        </w:tc>
      </w:tr>
      <w:tr w:rsidR="00AD3606" w:rsidRPr="00147C54" w14:paraId="13288A08" w14:textId="77777777" w:rsidTr="00AD3606">
        <w:trPr>
          <w:cantSplit/>
        </w:trPr>
        <w:tc>
          <w:tcPr>
            <w:tcW w:w="9214" w:type="dxa"/>
            <w:gridSpan w:val="2"/>
            <w:tcMar>
              <w:left w:w="0" w:type="dxa"/>
            </w:tcMar>
          </w:tcPr>
          <w:p w14:paraId="4ABEC215" w14:textId="3CDA2FAB" w:rsidR="00AD3606" w:rsidRPr="00147C54" w:rsidRDefault="00006DB2" w:rsidP="00E4728B">
            <w:pPr>
              <w:pStyle w:val="Source"/>
              <w:framePr w:hSpace="0" w:wrap="auto" w:vAnchor="margin" w:hAnchor="text" w:xAlign="left" w:yAlign="inline"/>
            </w:pPr>
            <w:bookmarkStart w:id="8" w:name="dsource" w:colFirst="0" w:colLast="0"/>
            <w:bookmarkEnd w:id="7"/>
            <w:r w:rsidRPr="005E413D">
              <w:t xml:space="preserve">Contribution </w:t>
            </w:r>
            <w:r>
              <w:t>by</w:t>
            </w:r>
            <w:r w:rsidRPr="005E413D">
              <w:t xml:space="preserve"> </w:t>
            </w:r>
            <w:r w:rsidR="0083440E">
              <w:t>China (People’s Republic of)</w:t>
            </w:r>
          </w:p>
        </w:tc>
      </w:tr>
      <w:tr w:rsidR="00AD3606" w:rsidRPr="00147C54" w14:paraId="6D9AEDED" w14:textId="77777777" w:rsidTr="00AD3606">
        <w:trPr>
          <w:cantSplit/>
        </w:trPr>
        <w:tc>
          <w:tcPr>
            <w:tcW w:w="9214" w:type="dxa"/>
            <w:gridSpan w:val="2"/>
            <w:tcMar>
              <w:left w:w="0" w:type="dxa"/>
            </w:tcMar>
          </w:tcPr>
          <w:p w14:paraId="154405B0" w14:textId="58FB6DA1" w:rsidR="00AD3606" w:rsidRPr="00147C54" w:rsidRDefault="0083440E" w:rsidP="00E4728B">
            <w:pPr>
              <w:pStyle w:val="Subtitle"/>
              <w:framePr w:hSpace="0" w:wrap="auto" w:xAlign="left" w:yAlign="inline"/>
            </w:pPr>
            <w:bookmarkStart w:id="9" w:name="dtitle1" w:colFirst="0" w:colLast="0"/>
            <w:bookmarkEnd w:id="8"/>
            <w:r w:rsidRPr="0083440E">
              <w:t>COMMENTS ON THE ITU STRATEGIC AND FINANCIAL PLANS 2028-2031</w:t>
            </w:r>
          </w:p>
        </w:tc>
      </w:tr>
      <w:tr w:rsidR="00AD3606" w:rsidRPr="00147C54" w14:paraId="2C39B5D8" w14:textId="77777777" w:rsidTr="00AD3606">
        <w:trPr>
          <w:cantSplit/>
        </w:trPr>
        <w:tc>
          <w:tcPr>
            <w:tcW w:w="9214" w:type="dxa"/>
            <w:gridSpan w:val="2"/>
            <w:tcBorders>
              <w:top w:val="single" w:sz="4" w:space="0" w:color="auto"/>
              <w:bottom w:val="single" w:sz="4" w:space="0" w:color="auto"/>
            </w:tcBorders>
            <w:tcMar>
              <w:left w:w="0" w:type="dxa"/>
            </w:tcMar>
          </w:tcPr>
          <w:p w14:paraId="6BA697C1" w14:textId="77777777" w:rsidR="00AD3606" w:rsidRPr="00147C54" w:rsidRDefault="00F16BAB" w:rsidP="00F16BAB">
            <w:pPr>
              <w:spacing w:before="160"/>
              <w:rPr>
                <w:b/>
                <w:bCs/>
                <w:sz w:val="26"/>
                <w:szCs w:val="26"/>
              </w:rPr>
            </w:pPr>
            <w:r w:rsidRPr="00147C54">
              <w:rPr>
                <w:b/>
                <w:bCs/>
                <w:sz w:val="26"/>
                <w:szCs w:val="26"/>
              </w:rPr>
              <w:t>Purpose</w:t>
            </w:r>
          </w:p>
          <w:p w14:paraId="7118AE49" w14:textId="1F069629" w:rsidR="00AD3606" w:rsidRPr="0083440E" w:rsidRDefault="0083440E" w:rsidP="00F16BAB">
            <w:r w:rsidRPr="0083440E">
              <w:t>This contribution provides comments on the documents for strategic and financial plans 2028-2031 by the secretariat.</w:t>
            </w:r>
          </w:p>
          <w:p w14:paraId="5AE32B5E" w14:textId="77777777" w:rsidR="00AD3606" w:rsidRPr="0083440E" w:rsidRDefault="00AD3606" w:rsidP="00F16BAB">
            <w:pPr>
              <w:spacing w:before="160"/>
              <w:rPr>
                <w:b/>
                <w:bCs/>
                <w:sz w:val="26"/>
                <w:szCs w:val="26"/>
              </w:rPr>
            </w:pPr>
            <w:r w:rsidRPr="0083440E">
              <w:rPr>
                <w:b/>
                <w:bCs/>
                <w:sz w:val="26"/>
                <w:szCs w:val="26"/>
              </w:rPr>
              <w:t>Action required</w:t>
            </w:r>
          </w:p>
          <w:p w14:paraId="580390EF" w14:textId="7BBFC25D" w:rsidR="00B82C1B" w:rsidRPr="0083440E" w:rsidRDefault="0083440E" w:rsidP="0083440E">
            <w:pPr>
              <w:spacing w:before="160"/>
            </w:pPr>
            <w:r w:rsidRPr="0083440E">
              <w:t xml:space="preserve">The Council Working Group for strategic and financial plans 2028-2031 is invited to </w:t>
            </w:r>
            <w:r w:rsidRPr="0083440E">
              <w:rPr>
                <w:b/>
                <w:bCs/>
              </w:rPr>
              <w:t>consider</w:t>
            </w:r>
            <w:r w:rsidRPr="0083440E">
              <w:t xml:space="preserve"> this document.</w:t>
            </w:r>
          </w:p>
          <w:p w14:paraId="1BDC0E39" w14:textId="77777777" w:rsidR="00AD3606" w:rsidRPr="0083440E" w:rsidRDefault="00CD3C91" w:rsidP="00CD3C91">
            <w:r w:rsidRPr="0083440E">
              <w:t>_______________</w:t>
            </w:r>
          </w:p>
          <w:p w14:paraId="641A5BAC" w14:textId="0702E2F4" w:rsidR="00AD3606" w:rsidRPr="0083440E" w:rsidRDefault="00AD3606" w:rsidP="00663050">
            <w:pPr>
              <w:spacing w:before="160"/>
              <w:rPr>
                <w:sz w:val="26"/>
                <w:szCs w:val="26"/>
              </w:rPr>
            </w:pPr>
            <w:r w:rsidRPr="0083440E">
              <w:rPr>
                <w:b/>
                <w:bCs/>
                <w:sz w:val="26"/>
                <w:szCs w:val="26"/>
              </w:rPr>
              <w:t>References</w:t>
            </w:r>
          </w:p>
          <w:p w14:paraId="623BD3D0" w14:textId="6A98E7F3" w:rsidR="00AD3606" w:rsidRPr="00524E9C" w:rsidRDefault="0083440E" w:rsidP="0083440E">
            <w:pPr>
              <w:spacing w:after="160"/>
              <w:rPr>
                <w:i/>
                <w:iCs/>
                <w:sz w:val="22"/>
                <w:szCs w:val="22"/>
              </w:rPr>
            </w:pPr>
            <w:r w:rsidRPr="0083440E">
              <w:rPr>
                <w:rFonts w:hint="eastAsia"/>
                <w:i/>
                <w:iCs/>
                <w:sz w:val="22"/>
                <w:szCs w:val="22"/>
              </w:rPr>
              <w:t>Strategic plan for the Union for 2024-2027</w:t>
            </w:r>
            <w:r w:rsidRPr="0083440E">
              <w:rPr>
                <w:rFonts w:hint="eastAsia"/>
                <w:i/>
                <w:iCs/>
                <w:sz w:val="22"/>
                <w:szCs w:val="22"/>
                <w:lang w:val="en-US"/>
              </w:rPr>
              <w:t>(</w:t>
            </w:r>
            <w:hyperlink r:id="rId8" w:history="1">
              <w:r w:rsidRPr="0083440E">
                <w:rPr>
                  <w:rStyle w:val="Hyperlink"/>
                  <w:rFonts w:hint="eastAsia"/>
                  <w:i/>
                  <w:iCs/>
                  <w:sz w:val="22"/>
                  <w:szCs w:val="22"/>
                </w:rPr>
                <w:t>RESOLUTION 71</w:t>
              </w:r>
            </w:hyperlink>
            <w:r w:rsidRPr="0083440E">
              <w:rPr>
                <w:rFonts w:hint="eastAsia"/>
                <w:i/>
                <w:iCs/>
                <w:sz w:val="22"/>
                <w:szCs w:val="22"/>
                <w:lang w:val="en-US"/>
              </w:rPr>
              <w:t>); Establishment of the Council Working Group for strategic and financial plans for 2028-2031(</w:t>
            </w:r>
            <w:hyperlink r:id="rId9" w:history="1">
              <w:r w:rsidRPr="0083440E">
                <w:rPr>
                  <w:rStyle w:val="Hyperlink"/>
                  <w:rFonts w:hint="eastAsia"/>
                  <w:i/>
                  <w:iCs/>
                  <w:sz w:val="22"/>
                  <w:szCs w:val="22"/>
                  <w:lang w:val="en-US"/>
                </w:rPr>
                <w:t>RESOLUTION 1428</w:t>
              </w:r>
            </w:hyperlink>
            <w:r w:rsidRPr="0083440E">
              <w:rPr>
                <w:rFonts w:hint="eastAsia"/>
                <w:i/>
                <w:iCs/>
                <w:sz w:val="22"/>
                <w:szCs w:val="22"/>
                <w:lang w:val="en-US"/>
              </w:rPr>
              <w:t>); PROVISIONAL Summary record of the eighth and last Plenary meeting(</w:t>
            </w:r>
            <w:hyperlink r:id="rId10" w:history="1">
              <w:r w:rsidRPr="0083440E">
                <w:rPr>
                  <w:rStyle w:val="Hyperlink"/>
                  <w:rFonts w:hint="eastAsia"/>
                  <w:i/>
                  <w:iCs/>
                  <w:sz w:val="22"/>
                  <w:szCs w:val="22"/>
                  <w:lang w:val="en-US"/>
                </w:rPr>
                <w:t>C25/114</w:t>
              </w:r>
            </w:hyperlink>
            <w:r w:rsidRPr="0083440E">
              <w:rPr>
                <w:rFonts w:hint="eastAsia"/>
                <w:i/>
                <w:iCs/>
                <w:sz w:val="22"/>
                <w:szCs w:val="22"/>
                <w:lang w:val="en-US"/>
              </w:rPr>
              <w:t>); Situational analysis for the ITU strategic and financial plans 2028-2031(</w:t>
            </w:r>
            <w:hyperlink r:id="rId11" w:history="1">
              <w:r w:rsidRPr="0083440E">
                <w:rPr>
                  <w:rStyle w:val="Hyperlink"/>
                  <w:rFonts w:hint="eastAsia"/>
                  <w:i/>
                  <w:iCs/>
                  <w:sz w:val="22"/>
                  <w:szCs w:val="22"/>
                  <w:lang w:val="en-US"/>
                </w:rPr>
                <w:t>CWG-SFP-3/3</w:t>
              </w:r>
            </w:hyperlink>
            <w:r w:rsidRPr="0083440E">
              <w:rPr>
                <w:rFonts w:hint="eastAsia"/>
                <w:i/>
                <w:iCs/>
                <w:sz w:val="22"/>
                <w:szCs w:val="22"/>
                <w:lang w:val="en-US"/>
              </w:rPr>
              <w:t>); ITU strategic and financial plans: glossary of terms(</w:t>
            </w:r>
            <w:hyperlink r:id="rId12" w:history="1">
              <w:r w:rsidRPr="0083440E">
                <w:rPr>
                  <w:rStyle w:val="Hyperlink"/>
                  <w:rFonts w:hint="eastAsia"/>
                  <w:i/>
                  <w:iCs/>
                  <w:sz w:val="22"/>
                  <w:szCs w:val="22"/>
                  <w:lang w:val="en-US"/>
                </w:rPr>
                <w:t>CWG-SFP-3/4</w:t>
              </w:r>
            </w:hyperlink>
            <w:r w:rsidRPr="0083440E">
              <w:rPr>
                <w:rFonts w:hint="eastAsia"/>
                <w:i/>
                <w:iCs/>
                <w:sz w:val="22"/>
                <w:szCs w:val="22"/>
                <w:lang w:val="en-US"/>
              </w:rPr>
              <w:t>); Linking ITU strategic, financial and operational plans(</w:t>
            </w:r>
            <w:hyperlink r:id="rId13" w:history="1">
              <w:r w:rsidRPr="0083440E">
                <w:rPr>
                  <w:rStyle w:val="Hyperlink"/>
                  <w:rFonts w:hint="eastAsia"/>
                  <w:i/>
                  <w:iCs/>
                  <w:sz w:val="22"/>
                  <w:szCs w:val="22"/>
                  <w:lang w:val="en-US"/>
                </w:rPr>
                <w:t>CWG-SFP-3/6</w:t>
              </w:r>
            </w:hyperlink>
            <w:r w:rsidRPr="0083440E">
              <w:rPr>
                <w:rFonts w:hint="eastAsia"/>
                <w:i/>
                <w:iCs/>
                <w:sz w:val="22"/>
                <w:szCs w:val="22"/>
                <w:lang w:val="en-US"/>
              </w:rPr>
              <w:t>); Initial draft performance indicators for Strategic Plan 2028-2031(C</w:t>
            </w:r>
            <w:hyperlink r:id="rId14" w:history="1">
              <w:r w:rsidRPr="0083440E">
                <w:rPr>
                  <w:rStyle w:val="Hyperlink"/>
                  <w:rFonts w:hint="eastAsia"/>
                  <w:i/>
                  <w:iCs/>
                  <w:sz w:val="22"/>
                  <w:szCs w:val="22"/>
                  <w:lang w:val="en-US"/>
                </w:rPr>
                <w:t>WG-SFP-3/7</w:t>
              </w:r>
            </w:hyperlink>
            <w:r w:rsidRPr="0083440E">
              <w:rPr>
                <w:rFonts w:hint="eastAsia"/>
                <w:i/>
                <w:iCs/>
                <w:sz w:val="22"/>
                <w:szCs w:val="22"/>
                <w:lang w:val="en-US"/>
              </w:rPr>
              <w:t>)</w:t>
            </w:r>
          </w:p>
        </w:tc>
      </w:tr>
    </w:tbl>
    <w:p w14:paraId="3D01ECCC" w14:textId="77777777" w:rsidR="00E227F3" w:rsidRPr="00147C54" w:rsidRDefault="00E227F3">
      <w:pPr>
        <w:tabs>
          <w:tab w:val="clear" w:pos="567"/>
          <w:tab w:val="clear" w:pos="1134"/>
          <w:tab w:val="clear" w:pos="1701"/>
          <w:tab w:val="clear" w:pos="2268"/>
          <w:tab w:val="clear" w:pos="2835"/>
        </w:tabs>
        <w:overflowPunct/>
        <w:autoSpaceDE/>
        <w:autoSpaceDN/>
        <w:adjustRightInd/>
        <w:spacing w:before="0"/>
        <w:textAlignment w:val="auto"/>
      </w:pPr>
      <w:bookmarkStart w:id="10" w:name="_Hlk133421428"/>
      <w:bookmarkEnd w:id="2"/>
      <w:bookmarkEnd w:id="9"/>
    </w:p>
    <w:bookmarkEnd w:id="3"/>
    <w:bookmarkEnd w:id="4"/>
    <w:p w14:paraId="0DE612F9" w14:textId="77777777" w:rsidR="0090147A" w:rsidRPr="00147C54" w:rsidRDefault="0090147A">
      <w:pPr>
        <w:tabs>
          <w:tab w:val="clear" w:pos="567"/>
          <w:tab w:val="clear" w:pos="1134"/>
          <w:tab w:val="clear" w:pos="1701"/>
          <w:tab w:val="clear" w:pos="2268"/>
          <w:tab w:val="clear" w:pos="2835"/>
        </w:tabs>
        <w:overflowPunct/>
        <w:autoSpaceDE/>
        <w:autoSpaceDN/>
        <w:adjustRightInd/>
        <w:spacing w:before="0"/>
        <w:textAlignment w:val="auto"/>
        <w:rPr>
          <w:b/>
        </w:rPr>
      </w:pPr>
      <w:r w:rsidRPr="00147C54">
        <w:br w:type="page"/>
      </w:r>
    </w:p>
    <w:bookmarkEnd w:id="5"/>
    <w:bookmarkEnd w:id="10"/>
    <w:p w14:paraId="48047CA5" w14:textId="77777777" w:rsidR="0083440E" w:rsidRDefault="0083440E" w:rsidP="0083440E">
      <w:pPr>
        <w:pStyle w:val="Reasons"/>
        <w:numPr>
          <w:ilvl w:val="0"/>
          <w:numId w:val="2"/>
        </w:numPr>
        <w:spacing w:before="120" w:after="120"/>
        <w:rPr>
          <w:rFonts w:eastAsiaTheme="minorEastAsia" w:cs="Times New Roman"/>
          <w:b/>
          <w:bCs/>
          <w:sz w:val="28"/>
          <w:szCs w:val="21"/>
          <w:lang w:eastAsia="zh-CN"/>
        </w:rPr>
      </w:pPr>
      <w:r>
        <w:rPr>
          <w:rFonts w:eastAsiaTheme="minorEastAsia" w:cs="Times New Roman" w:hint="eastAsia"/>
          <w:b/>
          <w:bCs/>
          <w:sz w:val="28"/>
          <w:szCs w:val="21"/>
          <w:lang w:eastAsia="zh-CN"/>
        </w:rPr>
        <w:lastRenderedPageBreak/>
        <w:t>Background</w:t>
      </w:r>
    </w:p>
    <w:p w14:paraId="6D6F0DE6" w14:textId="77777777" w:rsidR="0083440E" w:rsidRDefault="0083440E" w:rsidP="0083440E">
      <w:pPr>
        <w:pStyle w:val="Reasons"/>
        <w:spacing w:before="240" w:after="120"/>
        <w:jc w:val="both"/>
        <w:rPr>
          <w:rFonts w:eastAsiaTheme="minorEastAsia" w:cs="Times New Roman"/>
          <w:lang w:eastAsia="zh-CN"/>
        </w:rPr>
      </w:pPr>
      <w:r>
        <w:rPr>
          <w:rFonts w:eastAsiaTheme="minorEastAsia" w:cs="Times New Roman"/>
          <w:lang w:eastAsia="zh-CN"/>
        </w:rPr>
        <w:t>ITU is the United Nations (UN) specialized agency for telecommunications/information and</w:t>
      </w:r>
      <w:r>
        <w:rPr>
          <w:rFonts w:eastAsiaTheme="minorEastAsia" w:cs="Times New Roman" w:hint="eastAsia"/>
          <w:lang w:eastAsia="zh-CN"/>
        </w:rPr>
        <w:t xml:space="preserve"> </w:t>
      </w:r>
      <w:r>
        <w:rPr>
          <w:rFonts w:eastAsiaTheme="minorEastAsia" w:cs="Times New Roman"/>
          <w:lang w:eastAsia="zh-CN"/>
        </w:rPr>
        <w:t>communication technologies (ICTs)</w:t>
      </w:r>
      <w:r>
        <w:rPr>
          <w:rFonts w:eastAsiaTheme="minorEastAsia" w:cs="Times New Roman" w:hint="eastAsia"/>
          <w:lang w:eastAsia="zh-CN"/>
        </w:rPr>
        <w:t xml:space="preserve">, plays a crucial role in </w:t>
      </w:r>
      <w:r>
        <w:rPr>
          <w:rFonts w:eastAsiaTheme="minorEastAsia" w:cs="Times New Roman"/>
          <w:lang w:eastAsia="zh-CN"/>
        </w:rPr>
        <w:t>allocat</w:t>
      </w:r>
      <w:r>
        <w:rPr>
          <w:rFonts w:eastAsiaTheme="minorEastAsia" w:cs="Times New Roman" w:hint="eastAsia"/>
          <w:lang w:eastAsia="zh-CN"/>
        </w:rPr>
        <w:t>ing</w:t>
      </w:r>
      <w:r>
        <w:rPr>
          <w:rFonts w:eastAsiaTheme="minorEastAsia" w:cs="Times New Roman"/>
          <w:lang w:eastAsia="zh-CN"/>
        </w:rPr>
        <w:t xml:space="preserve"> global radio-frequency spectrum and associated</w:t>
      </w:r>
      <w:r>
        <w:rPr>
          <w:rFonts w:eastAsiaTheme="minorEastAsia" w:cs="Times New Roman" w:hint="eastAsia"/>
          <w:lang w:eastAsia="zh-CN"/>
        </w:rPr>
        <w:t xml:space="preserve"> </w:t>
      </w:r>
      <w:r>
        <w:rPr>
          <w:rFonts w:eastAsiaTheme="minorEastAsia" w:cs="Times New Roman"/>
          <w:lang w:eastAsia="zh-CN"/>
        </w:rPr>
        <w:t>satellite-orbit resources, develop</w:t>
      </w:r>
      <w:r>
        <w:rPr>
          <w:rFonts w:eastAsiaTheme="minorEastAsia" w:cs="Times New Roman" w:hint="eastAsia"/>
          <w:lang w:eastAsia="zh-CN"/>
        </w:rPr>
        <w:t>ing</w:t>
      </w:r>
      <w:r>
        <w:rPr>
          <w:rFonts w:eastAsiaTheme="minorEastAsia" w:cs="Times New Roman"/>
          <w:lang w:eastAsia="zh-CN"/>
        </w:rPr>
        <w:t xml:space="preserve"> technical standards that ensure networks and technologies</w:t>
      </w:r>
      <w:r>
        <w:rPr>
          <w:rFonts w:eastAsiaTheme="minorEastAsia" w:cs="Times New Roman" w:hint="eastAsia"/>
          <w:lang w:eastAsia="zh-CN"/>
        </w:rPr>
        <w:t xml:space="preserve"> </w:t>
      </w:r>
      <w:r>
        <w:rPr>
          <w:rFonts w:eastAsiaTheme="minorEastAsia" w:cs="Times New Roman"/>
          <w:lang w:eastAsia="zh-CN"/>
        </w:rPr>
        <w:t>seamlessly interconnect, and striv</w:t>
      </w:r>
      <w:r>
        <w:rPr>
          <w:rFonts w:eastAsiaTheme="minorEastAsia" w:cs="Times New Roman" w:hint="eastAsia"/>
          <w:lang w:eastAsia="zh-CN"/>
        </w:rPr>
        <w:t>ing</w:t>
      </w:r>
      <w:r>
        <w:rPr>
          <w:rFonts w:eastAsiaTheme="minorEastAsia" w:cs="Times New Roman"/>
          <w:lang w:eastAsia="zh-CN"/>
        </w:rPr>
        <w:t xml:space="preserve"> to improve access to and use of telecommunications/ICTs</w:t>
      </w:r>
      <w:r>
        <w:rPr>
          <w:rFonts w:eastAsiaTheme="minorEastAsia" w:cs="Times New Roman" w:hint="eastAsia"/>
          <w:lang w:eastAsia="zh-CN"/>
        </w:rPr>
        <w:t xml:space="preserve"> </w:t>
      </w:r>
      <w:r>
        <w:rPr>
          <w:rFonts w:eastAsiaTheme="minorEastAsia" w:cs="Times New Roman"/>
          <w:lang w:eastAsia="zh-CN"/>
        </w:rPr>
        <w:t xml:space="preserve">for underserved communities worldwide. ITU </w:t>
      </w:r>
      <w:r>
        <w:rPr>
          <w:rFonts w:eastAsiaTheme="minorEastAsia" w:cs="Times New Roman" w:hint="eastAsia"/>
          <w:lang w:eastAsia="zh-CN"/>
        </w:rPr>
        <w:t>is</w:t>
      </w:r>
      <w:r>
        <w:rPr>
          <w:rFonts w:eastAsiaTheme="minorEastAsia" w:cs="Times New Roman"/>
          <w:lang w:eastAsia="zh-CN"/>
        </w:rPr>
        <w:t xml:space="preserve"> committed to connecting all the world</w:t>
      </w:r>
      <w:r>
        <w:t>’</w:t>
      </w:r>
      <w:r>
        <w:rPr>
          <w:rFonts w:eastAsiaTheme="minorEastAsia" w:cs="Times New Roman"/>
          <w:lang w:eastAsia="zh-CN"/>
        </w:rPr>
        <w:t>s people –wherever they live and whatever their means, leaving no one behind. ITU</w:t>
      </w:r>
      <w:r>
        <w:t>’</w:t>
      </w:r>
      <w:r>
        <w:rPr>
          <w:rFonts w:eastAsiaTheme="minorEastAsia" w:cs="Times New Roman"/>
          <w:lang w:eastAsia="zh-CN"/>
        </w:rPr>
        <w:t>s work aims to protect</w:t>
      </w:r>
      <w:r>
        <w:rPr>
          <w:rFonts w:eastAsiaTheme="minorEastAsia" w:cs="Times New Roman" w:hint="eastAsia"/>
          <w:lang w:eastAsia="zh-CN"/>
        </w:rPr>
        <w:t xml:space="preserve"> </w:t>
      </w:r>
      <w:r>
        <w:rPr>
          <w:rFonts w:eastAsiaTheme="minorEastAsia" w:cs="Times New Roman"/>
          <w:lang w:eastAsia="zh-CN"/>
        </w:rPr>
        <w:t>and support everyone</w:t>
      </w:r>
      <w:r>
        <w:t>’</w:t>
      </w:r>
      <w:r>
        <w:rPr>
          <w:rFonts w:eastAsiaTheme="minorEastAsia" w:cs="Times New Roman"/>
          <w:lang w:eastAsia="zh-CN"/>
        </w:rPr>
        <w:t>s fundamental right to communicate.</w:t>
      </w:r>
      <w:r>
        <w:rPr>
          <w:rFonts w:eastAsiaTheme="minorEastAsia" w:cs="Times New Roman" w:hint="eastAsia"/>
          <w:lang w:eastAsia="zh-CN"/>
        </w:rPr>
        <w:t xml:space="preserve"> </w:t>
      </w:r>
      <w:r>
        <w:rPr>
          <w:rFonts w:eastAsiaTheme="minorEastAsia" w:cs="Times New Roman"/>
          <w:lang w:eastAsia="zh-CN"/>
        </w:rPr>
        <w:t xml:space="preserve">The comprehensiveness and forward-looking nature of the ITU </w:t>
      </w:r>
      <w:r>
        <w:rPr>
          <w:rFonts w:eastAsiaTheme="minorEastAsia" w:cs="Times New Roman" w:hint="eastAsia"/>
          <w:lang w:eastAsia="zh-CN"/>
        </w:rPr>
        <w:t>s</w:t>
      </w:r>
      <w:r>
        <w:rPr>
          <w:rFonts w:eastAsiaTheme="minorEastAsia" w:cs="Times New Roman"/>
          <w:lang w:eastAsia="zh-CN"/>
        </w:rPr>
        <w:t xml:space="preserve">trategic and </w:t>
      </w:r>
      <w:r>
        <w:rPr>
          <w:rFonts w:eastAsiaTheme="minorEastAsia" w:cs="Times New Roman" w:hint="eastAsia"/>
          <w:lang w:eastAsia="zh-CN"/>
        </w:rPr>
        <w:t>f</w:t>
      </w:r>
      <w:r>
        <w:rPr>
          <w:rFonts w:eastAsiaTheme="minorEastAsia" w:cs="Times New Roman"/>
          <w:lang w:eastAsia="zh-CN"/>
        </w:rPr>
        <w:t xml:space="preserve">inancial </w:t>
      </w:r>
      <w:r>
        <w:rPr>
          <w:rFonts w:eastAsiaTheme="minorEastAsia" w:cs="Times New Roman" w:hint="eastAsia"/>
          <w:lang w:eastAsia="zh-CN"/>
        </w:rPr>
        <w:t>p</w:t>
      </w:r>
      <w:r>
        <w:rPr>
          <w:rFonts w:eastAsiaTheme="minorEastAsia" w:cs="Times New Roman"/>
          <w:lang w:eastAsia="zh-CN"/>
        </w:rPr>
        <w:t>lan</w:t>
      </w:r>
      <w:r>
        <w:rPr>
          <w:rFonts w:eastAsiaTheme="minorEastAsia" w:cs="Times New Roman" w:hint="eastAsia"/>
          <w:lang w:eastAsia="zh-CN"/>
        </w:rPr>
        <w:t xml:space="preserve">s </w:t>
      </w:r>
      <w:r>
        <w:rPr>
          <w:rFonts w:eastAsiaTheme="minorEastAsia" w:cs="Times New Roman"/>
          <w:lang w:eastAsia="zh-CN"/>
        </w:rPr>
        <w:t>2028–2031</w:t>
      </w:r>
      <w:r>
        <w:rPr>
          <w:rFonts w:eastAsiaTheme="minorEastAsia" w:cs="Times New Roman" w:hint="eastAsia"/>
          <w:lang w:eastAsia="zh-CN"/>
        </w:rPr>
        <w:t xml:space="preserve"> </w:t>
      </w:r>
      <w:r>
        <w:rPr>
          <w:rFonts w:eastAsiaTheme="minorEastAsia" w:cs="Times New Roman"/>
          <w:lang w:eastAsia="zh-CN"/>
        </w:rPr>
        <w:t>are crucial, laying a scientific and pragmatic foundation for the organization</w:t>
      </w:r>
      <w:r>
        <w:t>’</w:t>
      </w:r>
      <w:r>
        <w:rPr>
          <w:rFonts w:eastAsiaTheme="minorEastAsia" w:cs="Times New Roman"/>
          <w:lang w:eastAsia="zh-CN"/>
        </w:rPr>
        <w:t>s planning and operations in the next cycle.</w:t>
      </w:r>
    </w:p>
    <w:p w14:paraId="22359BBA" w14:textId="0E85C101" w:rsidR="0083440E" w:rsidRPr="0083440E" w:rsidRDefault="0083440E" w:rsidP="0083440E">
      <w:pPr>
        <w:pStyle w:val="Reasons"/>
        <w:spacing w:before="120" w:after="120"/>
        <w:jc w:val="both"/>
        <w:rPr>
          <w:rFonts w:eastAsiaTheme="minorEastAsia" w:cs="Times New Roman"/>
          <w:highlight w:val="yellow"/>
          <w:lang w:eastAsia="zh-CN"/>
        </w:rPr>
      </w:pPr>
      <w:r>
        <w:rPr>
          <w:rFonts w:eastAsiaTheme="minorEastAsia" w:cs="Times New Roman"/>
          <w:lang w:eastAsia="zh-CN"/>
        </w:rPr>
        <w:t xml:space="preserve">In August 2025, </w:t>
      </w:r>
      <w:r>
        <w:rPr>
          <w:rFonts w:eastAsiaTheme="minorEastAsia" w:cs="Times New Roman" w:hint="eastAsia"/>
          <w:lang w:eastAsia="zh-CN"/>
        </w:rPr>
        <w:t>t</w:t>
      </w:r>
      <w:r>
        <w:rPr>
          <w:rFonts w:eastAsiaTheme="minorEastAsia" w:cs="Times New Roman"/>
          <w:lang w:eastAsia="zh-CN"/>
        </w:rPr>
        <w:t xml:space="preserve">he </w:t>
      </w:r>
      <w:r>
        <w:rPr>
          <w:rFonts w:eastAsiaTheme="minorEastAsia" w:cs="Times New Roman" w:hint="eastAsia"/>
          <w:lang w:eastAsia="zh-CN"/>
        </w:rPr>
        <w:t xml:space="preserve">draft </w:t>
      </w:r>
      <w:r>
        <w:rPr>
          <w:rFonts w:eastAsiaTheme="minorEastAsia" w:cs="Times New Roman"/>
          <w:lang w:eastAsia="zh-CN"/>
        </w:rPr>
        <w:t>series of documents</w:t>
      </w:r>
      <w:r>
        <w:rPr>
          <w:rFonts w:eastAsiaTheme="minorEastAsia" w:cs="Times New Roman" w:hint="eastAsia"/>
          <w:lang w:eastAsia="zh-CN"/>
        </w:rPr>
        <w:t xml:space="preserve"> for s</w:t>
      </w:r>
      <w:r>
        <w:rPr>
          <w:rFonts w:eastAsiaTheme="minorEastAsia" w:cs="Times New Roman"/>
          <w:lang w:eastAsia="zh-CN"/>
        </w:rPr>
        <w:t xml:space="preserve">trategic and </w:t>
      </w:r>
      <w:r>
        <w:rPr>
          <w:rFonts w:eastAsiaTheme="minorEastAsia" w:cs="Times New Roman" w:hint="eastAsia"/>
          <w:lang w:eastAsia="zh-CN"/>
        </w:rPr>
        <w:t>f</w:t>
      </w:r>
      <w:r>
        <w:rPr>
          <w:rFonts w:eastAsiaTheme="minorEastAsia" w:cs="Times New Roman"/>
          <w:lang w:eastAsia="zh-CN"/>
        </w:rPr>
        <w:t xml:space="preserve">inancial </w:t>
      </w:r>
      <w:r>
        <w:rPr>
          <w:rFonts w:eastAsiaTheme="minorEastAsia" w:cs="Times New Roman" w:hint="eastAsia"/>
          <w:lang w:eastAsia="zh-CN"/>
        </w:rPr>
        <w:t>p</w:t>
      </w:r>
      <w:r>
        <w:rPr>
          <w:rFonts w:eastAsiaTheme="minorEastAsia" w:cs="Times New Roman"/>
          <w:lang w:eastAsia="zh-CN"/>
        </w:rPr>
        <w:t>lan</w:t>
      </w:r>
      <w:r>
        <w:rPr>
          <w:rFonts w:eastAsiaTheme="minorEastAsia" w:cs="Times New Roman" w:hint="eastAsia"/>
          <w:lang w:eastAsia="zh-CN"/>
        </w:rPr>
        <w:t>s</w:t>
      </w:r>
      <w:r>
        <w:rPr>
          <w:rFonts w:eastAsiaTheme="minorEastAsia" w:cs="Times New Roman"/>
          <w:lang w:eastAsia="zh-CN"/>
        </w:rPr>
        <w:t xml:space="preserve"> 2028–2031 </w:t>
      </w:r>
      <w:r>
        <w:rPr>
          <w:rFonts w:eastAsiaTheme="minorEastAsia" w:cs="Times New Roman" w:hint="eastAsia"/>
          <w:lang w:eastAsia="zh-CN"/>
        </w:rPr>
        <w:t xml:space="preserve">released </w:t>
      </w:r>
      <w:r>
        <w:rPr>
          <w:rFonts w:eastAsiaTheme="minorEastAsia" w:cs="Times New Roman"/>
          <w:lang w:eastAsia="zh-CN"/>
        </w:rPr>
        <w:t xml:space="preserve">by the </w:t>
      </w:r>
      <w:r>
        <w:rPr>
          <w:rFonts w:eastAsia="SimSun" w:hint="eastAsia"/>
          <w:lang w:eastAsia="zh-CN"/>
        </w:rPr>
        <w:t>Secretary-General</w:t>
      </w:r>
      <w:r>
        <w:rPr>
          <w:rFonts w:eastAsiaTheme="minorEastAsia" w:cs="Times New Roman"/>
          <w:lang w:eastAsia="zh-CN"/>
        </w:rPr>
        <w:t xml:space="preserve">, </w:t>
      </w:r>
      <w:r>
        <w:rPr>
          <w:rFonts w:eastAsiaTheme="minorEastAsia" w:cs="Times New Roman" w:hint="eastAsia"/>
          <w:lang w:eastAsia="zh-CN"/>
        </w:rPr>
        <w:t xml:space="preserve">are </w:t>
      </w:r>
      <w:r>
        <w:rPr>
          <w:rFonts w:eastAsiaTheme="minorEastAsia" w:cs="Times New Roman"/>
          <w:lang w:eastAsia="zh-CN"/>
        </w:rPr>
        <w:t xml:space="preserve">useful for CWG-SFP discussions. However, </w:t>
      </w:r>
      <w:r>
        <w:rPr>
          <w:rFonts w:eastAsiaTheme="minorEastAsia" w:cs="Times New Roman" w:hint="eastAsia"/>
          <w:lang w:eastAsia="zh-CN"/>
        </w:rPr>
        <w:t xml:space="preserve">there </w:t>
      </w:r>
      <w:r>
        <w:rPr>
          <w:rFonts w:eastAsiaTheme="minorEastAsia" w:cs="Times New Roman"/>
          <w:lang w:eastAsia="zh-CN"/>
        </w:rPr>
        <w:t>is</w:t>
      </w:r>
      <w:r>
        <w:rPr>
          <w:rFonts w:eastAsiaTheme="minorEastAsia" w:cs="Times New Roman" w:hint="eastAsia"/>
          <w:lang w:eastAsia="zh-CN"/>
        </w:rPr>
        <w:t xml:space="preserve"> still some room for improvement</w:t>
      </w:r>
      <w:r>
        <w:rPr>
          <w:rFonts w:eastAsiaTheme="minorEastAsia" w:cs="Times New Roman"/>
          <w:lang w:eastAsia="zh-CN"/>
        </w:rPr>
        <w:t xml:space="preserve"> in terms of the </w:t>
      </w:r>
      <w:r>
        <w:rPr>
          <w:rFonts w:eastAsiaTheme="minorEastAsia" w:cs="Times New Roman" w:hint="eastAsia"/>
          <w:lang w:eastAsia="zh-CN"/>
        </w:rPr>
        <w:t xml:space="preserve">logic of </w:t>
      </w:r>
      <w:r>
        <w:rPr>
          <w:rFonts w:eastAsiaTheme="minorEastAsia" w:cs="Times New Roman"/>
          <w:lang w:eastAsia="zh-CN"/>
        </w:rPr>
        <w:t xml:space="preserve">drafting, linking strategic, financial and operational plans, and situational analysis. </w:t>
      </w:r>
      <w:r>
        <w:rPr>
          <w:rFonts w:eastAsiaTheme="minorEastAsia" w:cs="Times New Roman" w:hint="eastAsia"/>
          <w:lang w:eastAsia="zh-CN"/>
        </w:rPr>
        <w:t>A</w:t>
      </w:r>
      <w:r>
        <w:rPr>
          <w:rFonts w:eastAsiaTheme="minorEastAsia" w:cs="Times New Roman"/>
          <w:lang w:eastAsia="zh-CN"/>
        </w:rPr>
        <w:t>mid the rapidly evolving global ICT landscape</w:t>
      </w:r>
      <w:r>
        <w:rPr>
          <w:rFonts w:eastAsiaTheme="minorEastAsia" w:cs="Times New Roman" w:hint="eastAsia"/>
          <w:lang w:eastAsia="zh-CN"/>
        </w:rPr>
        <w:t>, addressing these points would facilitate the Union</w:t>
      </w:r>
      <w:r>
        <w:rPr>
          <w:rFonts w:eastAsiaTheme="minorEastAsia" w:cs="Times New Roman"/>
          <w:lang w:eastAsia="zh-CN"/>
        </w:rPr>
        <w:t xml:space="preserve"> </w:t>
      </w:r>
      <w:r>
        <w:rPr>
          <w:rFonts w:eastAsiaTheme="minorEastAsia" w:cs="Times New Roman" w:hint="eastAsia"/>
          <w:lang w:eastAsia="zh-CN"/>
        </w:rPr>
        <w:t>in</w:t>
      </w:r>
      <w:r>
        <w:rPr>
          <w:rFonts w:eastAsiaTheme="minorEastAsia" w:cs="Times New Roman"/>
          <w:lang w:eastAsia="zh-CN"/>
        </w:rPr>
        <w:t xml:space="preserve"> balanc</w:t>
      </w:r>
      <w:r>
        <w:rPr>
          <w:rFonts w:eastAsiaTheme="minorEastAsia" w:cs="Times New Roman" w:hint="eastAsia"/>
          <w:lang w:eastAsia="zh-CN"/>
        </w:rPr>
        <w:t>ing</w:t>
      </w:r>
      <w:r>
        <w:rPr>
          <w:rFonts w:eastAsiaTheme="minorEastAsia" w:cs="Times New Roman"/>
          <w:lang w:eastAsia="zh-CN"/>
        </w:rPr>
        <w:t xml:space="preserve"> the organization</w:t>
      </w:r>
      <w:r>
        <w:t>’</w:t>
      </w:r>
      <w:r>
        <w:rPr>
          <w:rFonts w:eastAsiaTheme="minorEastAsia" w:cs="Times New Roman"/>
          <w:lang w:eastAsia="zh-CN"/>
        </w:rPr>
        <w:t xml:space="preserve">s limited resources </w:t>
      </w:r>
      <w:r>
        <w:rPr>
          <w:rFonts w:eastAsiaTheme="minorEastAsia" w:cs="Times New Roman" w:hint="eastAsia"/>
          <w:lang w:eastAsia="zh-CN"/>
        </w:rPr>
        <w:t>and</w:t>
      </w:r>
      <w:r>
        <w:rPr>
          <w:rFonts w:eastAsiaTheme="minorEastAsia" w:cs="Times New Roman"/>
          <w:lang w:eastAsia="zh-CN"/>
        </w:rPr>
        <w:t xml:space="preserve"> the growing demands of </w:t>
      </w:r>
      <w:r>
        <w:rPr>
          <w:rFonts w:eastAsiaTheme="minorEastAsia" w:cs="Times New Roman" w:hint="eastAsia"/>
          <w:lang w:eastAsia="zh-CN"/>
        </w:rPr>
        <w:t>M</w:t>
      </w:r>
      <w:r>
        <w:rPr>
          <w:rFonts w:eastAsiaTheme="minorEastAsia" w:cs="Times New Roman"/>
          <w:lang w:eastAsia="zh-CN"/>
        </w:rPr>
        <w:t xml:space="preserve">ember </w:t>
      </w:r>
      <w:r>
        <w:rPr>
          <w:rFonts w:eastAsiaTheme="minorEastAsia" w:cs="Times New Roman" w:hint="eastAsia"/>
          <w:lang w:eastAsia="zh-CN"/>
        </w:rPr>
        <w:t>S</w:t>
      </w:r>
      <w:r>
        <w:rPr>
          <w:rFonts w:eastAsiaTheme="minorEastAsia" w:cs="Times New Roman"/>
          <w:lang w:eastAsia="zh-CN"/>
        </w:rPr>
        <w:t>tates.</w:t>
      </w:r>
    </w:p>
    <w:p w14:paraId="1570FD86" w14:textId="77777777" w:rsidR="0083440E" w:rsidRDefault="0083440E" w:rsidP="0083440E">
      <w:pPr>
        <w:pStyle w:val="Reasons"/>
        <w:numPr>
          <w:ilvl w:val="0"/>
          <w:numId w:val="2"/>
        </w:numPr>
        <w:spacing w:before="480" w:after="120"/>
        <w:rPr>
          <w:rFonts w:eastAsiaTheme="minorEastAsia" w:cs="Times New Roman"/>
          <w:b/>
          <w:bCs/>
          <w:sz w:val="28"/>
          <w:szCs w:val="21"/>
          <w:lang w:eastAsia="zh-CN"/>
        </w:rPr>
      </w:pPr>
      <w:r>
        <w:rPr>
          <w:rFonts w:eastAsiaTheme="minorEastAsia" w:cs="Times New Roman" w:hint="eastAsia"/>
          <w:b/>
          <w:bCs/>
          <w:sz w:val="28"/>
          <w:szCs w:val="21"/>
          <w:lang w:eastAsia="zh-CN"/>
        </w:rPr>
        <w:t>Proposals</w:t>
      </w:r>
    </w:p>
    <w:p w14:paraId="56FD1F45" w14:textId="77777777" w:rsidR="0083440E" w:rsidRDefault="0083440E" w:rsidP="0083440E">
      <w:pPr>
        <w:pStyle w:val="Reasons"/>
        <w:spacing w:before="240" w:after="120"/>
        <w:jc w:val="both"/>
        <w:rPr>
          <w:b/>
          <w:bCs/>
          <w:lang w:eastAsia="zh-CN"/>
        </w:rPr>
      </w:pPr>
      <w:r>
        <w:rPr>
          <w:rFonts w:eastAsiaTheme="minorEastAsia" w:cs="Times New Roman" w:hint="eastAsia"/>
          <w:lang w:eastAsia="zh-CN"/>
        </w:rPr>
        <w:t>We encourage more ITU M</w:t>
      </w:r>
      <w:r>
        <w:rPr>
          <w:rFonts w:eastAsiaTheme="minorEastAsia" w:cs="Times New Roman"/>
          <w:lang w:eastAsia="zh-CN"/>
        </w:rPr>
        <w:t xml:space="preserve">ember </w:t>
      </w:r>
      <w:r>
        <w:rPr>
          <w:rFonts w:eastAsiaTheme="minorEastAsia" w:cs="Times New Roman" w:hint="eastAsia"/>
          <w:lang w:eastAsia="zh-CN"/>
        </w:rPr>
        <w:t>S</w:t>
      </w:r>
      <w:r>
        <w:rPr>
          <w:rFonts w:eastAsiaTheme="minorEastAsia" w:cs="Times New Roman"/>
          <w:lang w:eastAsia="zh-CN"/>
        </w:rPr>
        <w:t>tates</w:t>
      </w:r>
      <w:r>
        <w:rPr>
          <w:rFonts w:eastAsiaTheme="minorEastAsia" w:cs="Times New Roman" w:hint="eastAsia"/>
          <w:lang w:eastAsia="zh-CN"/>
        </w:rPr>
        <w:t xml:space="preserve"> to actively participate in discussions, adhere to the Constitution and Convention of ITU, and relevant resolutions of the 2022 Plenipotentiary Conference, jointly refine the contents, and complete the draft strategic and financial plans in a timely and efficient manner to ensure the ITU moves in the right direction. To this end, we propose the following recommendations:</w:t>
      </w:r>
    </w:p>
    <w:p w14:paraId="356CEE23" w14:textId="133F09B9" w:rsidR="0083440E" w:rsidRDefault="0083440E" w:rsidP="0083440E">
      <w:pPr>
        <w:pStyle w:val="Reasons"/>
        <w:numPr>
          <w:ilvl w:val="0"/>
          <w:numId w:val="3"/>
        </w:numPr>
        <w:spacing w:before="240" w:after="120"/>
        <w:jc w:val="both"/>
        <w:rPr>
          <w:lang w:eastAsia="zh-CN"/>
        </w:rPr>
      </w:pPr>
      <w:r>
        <w:rPr>
          <w:rFonts w:hint="eastAsia"/>
          <w:b/>
          <w:bCs/>
          <w:lang w:eastAsia="zh-CN"/>
        </w:rPr>
        <w:t>Regarding the logic of drafting.</w:t>
      </w:r>
      <w:r>
        <w:rPr>
          <w:rFonts w:hint="eastAsia"/>
          <w:lang w:eastAsia="zh-CN"/>
        </w:rPr>
        <w:t xml:space="preserve"> Since the strategic plans provide overarching guidance for the ITU</w:t>
      </w:r>
      <w:r>
        <w:t>’</w:t>
      </w:r>
      <w:r>
        <w:rPr>
          <w:rFonts w:hint="eastAsia"/>
          <w:lang w:eastAsia="zh-CN"/>
        </w:rPr>
        <w:t>s work in the next cycle, the drafting process should first clarify the vision, mission, strategic goals, and thematic priorities, with primary focus on discussing the substantive content of the strategic plans before addressing glossary of terms and performance indicators. Furthermore, given the highly specialized nature of ITU</w:t>
      </w:r>
      <w:r>
        <w:t>’</w:t>
      </w:r>
      <w:r>
        <w:rPr>
          <w:rFonts w:hint="eastAsia"/>
          <w:lang w:eastAsia="zh-CN"/>
        </w:rPr>
        <w:t>s work and the relatively independent responsibilities of its three Bureau</w:t>
      </w:r>
      <w:r>
        <w:rPr>
          <w:lang w:eastAsia="zh-CN"/>
        </w:rPr>
        <w:t>x</w:t>
      </w:r>
      <w:r>
        <w:rPr>
          <w:rFonts w:hint="eastAsia"/>
          <w:lang w:eastAsia="zh-CN"/>
        </w:rPr>
        <w:t>, it is recommended to consider previous</w:t>
      </w:r>
      <w:r>
        <w:rPr>
          <w:lang w:eastAsia="zh-CN"/>
        </w:rPr>
        <w:t xml:space="preserve"> </w:t>
      </w:r>
      <w:r>
        <w:rPr>
          <w:rFonts w:hint="eastAsia"/>
          <w:lang w:eastAsia="zh-CN"/>
        </w:rPr>
        <w:t>experience by having each Bureau propose its own performance indicators for CWG-SFP to review. Alternatively, the General Secretariat could collaborate with the three Bureau</w:t>
      </w:r>
      <w:r>
        <w:rPr>
          <w:lang w:eastAsia="zh-CN"/>
        </w:rPr>
        <w:t>x</w:t>
      </w:r>
      <w:r>
        <w:rPr>
          <w:rFonts w:hint="eastAsia"/>
          <w:lang w:eastAsia="zh-CN"/>
        </w:rPr>
        <w:t xml:space="preserve"> to draft performance indicators, for CWG-SFP </w:t>
      </w:r>
      <w:r>
        <w:rPr>
          <w:lang w:eastAsia="zh-CN"/>
        </w:rPr>
        <w:t>discussion</w:t>
      </w:r>
      <w:r>
        <w:rPr>
          <w:rFonts w:hint="eastAsia"/>
          <w:lang w:eastAsia="zh-CN"/>
        </w:rPr>
        <w:t xml:space="preserve"> and for CWG-SFP to solicit feedback from the Advisory Groups through liaison letter</w:t>
      </w:r>
    </w:p>
    <w:p w14:paraId="11172889" w14:textId="77777777" w:rsidR="0083440E" w:rsidRDefault="0083440E" w:rsidP="0083440E">
      <w:pPr>
        <w:pStyle w:val="Reasons"/>
        <w:numPr>
          <w:ilvl w:val="0"/>
          <w:numId w:val="3"/>
        </w:numPr>
        <w:spacing w:before="120" w:after="120"/>
        <w:jc w:val="both"/>
        <w:rPr>
          <w:lang w:eastAsia="zh-CN"/>
        </w:rPr>
      </w:pPr>
      <w:r>
        <w:rPr>
          <w:rFonts w:hint="eastAsia"/>
          <w:b/>
          <w:bCs/>
          <w:lang w:eastAsia="zh-CN"/>
        </w:rPr>
        <w:t>Regarding the linkage between the strategic, financial and operational plans (</w:t>
      </w:r>
      <w:hyperlink r:id="rId15" w:history="1">
        <w:r>
          <w:rPr>
            <w:rStyle w:val="Hyperlink"/>
            <w:rFonts w:hint="eastAsia"/>
            <w:b/>
            <w:bCs/>
            <w:lang w:eastAsia="zh-CN"/>
          </w:rPr>
          <w:t>CWG-SFP-3/6</w:t>
        </w:r>
      </w:hyperlink>
      <w:r>
        <w:rPr>
          <w:rFonts w:hint="eastAsia"/>
          <w:b/>
          <w:bCs/>
          <w:lang w:eastAsia="zh-CN"/>
        </w:rPr>
        <w:t>)</w:t>
      </w:r>
      <w:r>
        <w:rPr>
          <w:rFonts w:hint="eastAsia"/>
          <w:lang w:eastAsia="zh-CN"/>
        </w:rPr>
        <w:t>.The strategic plans 2028</w:t>
      </w:r>
      <w:r>
        <w:rPr>
          <w:rFonts w:eastAsiaTheme="minorEastAsia" w:cs="Times New Roman"/>
          <w:lang w:eastAsia="zh-CN"/>
        </w:rPr>
        <w:t>–</w:t>
      </w:r>
      <w:r>
        <w:rPr>
          <w:rFonts w:hint="eastAsia"/>
          <w:lang w:eastAsia="zh-CN"/>
        </w:rPr>
        <w:t>2031 adopt a results-based management (RBM) framework to set out the organization</w:t>
      </w:r>
      <w:r>
        <w:t>’</w:t>
      </w:r>
      <w:r>
        <w:rPr>
          <w:rFonts w:hint="eastAsia"/>
          <w:lang w:eastAsia="zh-CN"/>
        </w:rPr>
        <w:t>s strategic goals and objectives. Given current financial constraints, greater focus must be placed to e</w:t>
      </w:r>
      <w:r>
        <w:rPr>
          <w:lang w:eastAsia="zh-CN"/>
        </w:rPr>
        <w:t xml:space="preserve">nsure that resource allocation supports </w:t>
      </w:r>
      <w:r>
        <w:rPr>
          <w:rFonts w:hint="eastAsia"/>
          <w:lang w:eastAsia="zh-CN"/>
        </w:rPr>
        <w:t>ITU</w:t>
      </w:r>
      <w:r>
        <w:rPr>
          <w:lang w:eastAsia="zh-CN"/>
        </w:rPr>
        <w:t>’</w:t>
      </w:r>
      <w:r>
        <w:rPr>
          <w:rFonts w:hint="eastAsia"/>
          <w:lang w:eastAsia="zh-CN"/>
        </w:rPr>
        <w:t>s</w:t>
      </w:r>
      <w:r>
        <w:rPr>
          <w:lang w:eastAsia="zh-CN"/>
        </w:rPr>
        <w:t xml:space="preserve"> priorities</w:t>
      </w:r>
      <w:r>
        <w:rPr>
          <w:rFonts w:hint="eastAsia"/>
          <w:lang w:eastAsia="zh-CN"/>
        </w:rPr>
        <w:t>. ITU Member States have repeatedly requested the secretariat to clearly articulate the connection between outputs and thematic priorities, towards the end of strengthening the alignment among the strategic, financial and operational plans. We propose that, building upon previous experience, CWG-SFP should clearly specify the outputs, thereby better facilitating subsequent monitoring and evaluation work.</w:t>
      </w:r>
    </w:p>
    <w:p w14:paraId="42F13EEB" w14:textId="77777777" w:rsidR="0083440E" w:rsidRDefault="0083440E" w:rsidP="0083440E">
      <w:pPr>
        <w:pStyle w:val="Reasons"/>
        <w:numPr>
          <w:ilvl w:val="0"/>
          <w:numId w:val="3"/>
        </w:numPr>
        <w:spacing w:before="120" w:after="120"/>
        <w:jc w:val="both"/>
        <w:rPr>
          <w:lang w:eastAsia="zh-CN"/>
        </w:rPr>
      </w:pPr>
      <w:r>
        <w:rPr>
          <w:rFonts w:hint="eastAsia"/>
          <w:b/>
          <w:bCs/>
          <w:lang w:eastAsia="zh-CN"/>
        </w:rPr>
        <w:lastRenderedPageBreak/>
        <w:t>Regarding the situational analysis (</w:t>
      </w:r>
      <w:hyperlink r:id="rId16" w:history="1">
        <w:r>
          <w:rPr>
            <w:rStyle w:val="Hyperlink"/>
            <w:rFonts w:hint="eastAsia"/>
            <w:b/>
            <w:bCs/>
            <w:lang w:eastAsia="zh-CN"/>
          </w:rPr>
          <w:t>CWG-SFP-3/3</w:t>
        </w:r>
      </w:hyperlink>
      <w:r>
        <w:rPr>
          <w:rFonts w:hint="eastAsia"/>
          <w:b/>
          <w:bCs/>
          <w:lang w:eastAsia="zh-CN"/>
        </w:rPr>
        <w:t>)</w:t>
      </w:r>
      <w:r>
        <w:rPr>
          <w:rFonts w:hint="eastAsia"/>
          <w:lang w:eastAsia="zh-CN"/>
        </w:rPr>
        <w:t xml:space="preserve">. According to Resolution 71 that was approved by the 2022 </w:t>
      </w:r>
      <w:r>
        <w:rPr>
          <w:rFonts w:eastAsiaTheme="minorEastAsia" w:cs="Times New Roman" w:hint="eastAsia"/>
          <w:lang w:eastAsia="zh-CN"/>
        </w:rPr>
        <w:t>Plenipotentiary</w:t>
      </w:r>
      <w:r>
        <w:rPr>
          <w:rFonts w:hint="eastAsia"/>
          <w:lang w:eastAsia="zh-CN"/>
        </w:rPr>
        <w:t xml:space="preserve"> Conference, </w:t>
      </w:r>
      <w:r>
        <w:rPr>
          <w:lang w:eastAsia="zh-CN"/>
        </w:rPr>
        <w:t>“</w:t>
      </w:r>
      <w:r>
        <w:rPr>
          <w:rFonts w:hint="eastAsia"/>
          <w:lang w:eastAsia="zh-CN"/>
        </w:rPr>
        <w:t xml:space="preserve">the SWOT analysis will be </w:t>
      </w:r>
      <w:r>
        <w:rPr>
          <w:lang w:eastAsia="zh-CN"/>
        </w:rPr>
        <w:t>considered and reflected in the organization</w:t>
      </w:r>
      <w:r>
        <w:t>’</w:t>
      </w:r>
      <w:r>
        <w:rPr>
          <w:lang w:eastAsia="zh-CN"/>
        </w:rPr>
        <w:t>s overall risk-management framework”</w:t>
      </w:r>
      <w:r>
        <w:rPr>
          <w:rFonts w:hint="eastAsia"/>
          <w:lang w:eastAsia="zh-CN"/>
        </w:rPr>
        <w:t>. A comprehensive understanding of ITU</w:t>
      </w:r>
      <w:r>
        <w:t>’</w:t>
      </w:r>
      <w:r>
        <w:rPr>
          <w:rFonts w:hint="eastAsia"/>
          <w:lang w:eastAsia="zh-CN"/>
        </w:rPr>
        <w:t xml:space="preserve">s overall risk profile is essential for conducting </w:t>
      </w:r>
      <w:proofErr w:type="gramStart"/>
      <w:r>
        <w:rPr>
          <w:rFonts w:hint="eastAsia"/>
          <w:lang w:eastAsia="zh-CN"/>
        </w:rPr>
        <w:t>a SWOT</w:t>
      </w:r>
      <w:proofErr w:type="gramEnd"/>
      <w:r>
        <w:rPr>
          <w:rFonts w:hint="eastAsia"/>
          <w:lang w:eastAsia="zh-CN"/>
        </w:rPr>
        <w:t xml:space="preserve"> analysis. During previous Council sessions, ITU Member States expressed concerns about various organizational risks, including those associated with the new Headquarters building project, ASHI liabilities, and challenges facing ITU as the global lead agency for global digital development. Furthermore, the 2025 Council session (</w:t>
      </w:r>
      <w:hyperlink r:id="rId17" w:history="1">
        <w:r>
          <w:rPr>
            <w:rStyle w:val="Hyperlink"/>
            <w:rFonts w:hint="eastAsia"/>
            <w:lang w:eastAsia="zh-CN"/>
          </w:rPr>
          <w:t>C25/114</w:t>
        </w:r>
      </w:hyperlink>
      <w:r>
        <w:rPr>
          <w:rFonts w:hint="eastAsia"/>
          <w:lang w:eastAsia="zh-CN"/>
        </w:rPr>
        <w:t xml:space="preserve">) requested the secretariat to </w:t>
      </w:r>
      <w:proofErr w:type="gramStart"/>
      <w:r>
        <w:rPr>
          <w:rFonts w:hint="eastAsia"/>
          <w:lang w:eastAsia="zh-CN"/>
        </w:rPr>
        <w:t>provide to</w:t>
      </w:r>
      <w:proofErr w:type="gramEnd"/>
      <w:r>
        <w:rPr>
          <w:rFonts w:hint="eastAsia"/>
          <w:lang w:eastAsia="zh-CN"/>
        </w:rPr>
        <w:t xml:space="preserve"> CWG-FHR and CWG-</w:t>
      </w:r>
      <w:proofErr w:type="gramStart"/>
      <w:r>
        <w:rPr>
          <w:rFonts w:hint="eastAsia"/>
          <w:lang w:eastAsia="zh-CN"/>
        </w:rPr>
        <w:t>SFP</w:t>
      </w:r>
      <w:proofErr w:type="gramEnd"/>
      <w:r>
        <w:rPr>
          <w:rFonts w:hint="eastAsia"/>
          <w:lang w:eastAsia="zh-CN"/>
        </w:rPr>
        <w:t xml:space="preserve"> a complete list of risks. Accordingly, we propose that the secretariat submit to CWG-SFP a consolidated list of all organizational risks identified by ITU Member States from 2023 to 2025, which should then serve as the foundation for the SWOT analysis.</w:t>
      </w:r>
    </w:p>
    <w:p w14:paraId="52307FAD" w14:textId="448B302D" w:rsidR="00586214" w:rsidRPr="00586214" w:rsidRDefault="00586214" w:rsidP="0083440E">
      <w:pPr>
        <w:spacing w:before="600"/>
        <w:jc w:val="center"/>
      </w:pPr>
      <w:r>
        <w:t>______________</w:t>
      </w:r>
    </w:p>
    <w:sectPr w:rsidR="00586214" w:rsidRPr="00586214" w:rsidSect="00AD3606">
      <w:footerReference w:type="default" r:id="rId18"/>
      <w:headerReference w:type="first" r:id="rId19"/>
      <w:footerReference w:type="first" r:id="rId20"/>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804EF2" w14:textId="77777777" w:rsidR="005D79AA" w:rsidRDefault="005D79AA">
      <w:r>
        <w:separator/>
      </w:r>
    </w:p>
  </w:endnote>
  <w:endnote w:type="continuationSeparator" w:id="0">
    <w:p w14:paraId="1DC7E31B" w14:textId="77777777" w:rsidR="005D79AA" w:rsidRDefault="005D79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venir Nxt2 W1G Medium">
    <w:altName w:val="Calibri"/>
    <w:panose1 w:val="00000000000000000000"/>
    <w:charset w:val="00"/>
    <w:family w:val="swiss"/>
    <w:notTrueType/>
    <w:pitch w:val="variable"/>
    <w:sig w:usb0="A00002EF"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870C17" w14:paraId="0BF54078" w14:textId="77777777" w:rsidTr="0042469C">
      <w:trPr>
        <w:jc w:val="center"/>
      </w:trPr>
      <w:tc>
        <w:tcPr>
          <w:tcW w:w="1803" w:type="dxa"/>
          <w:vAlign w:val="center"/>
        </w:tcPr>
        <w:p w14:paraId="41765902" w14:textId="77777777" w:rsidR="00EE49E8" w:rsidRDefault="00EE49E8" w:rsidP="00EE49E8">
          <w:pPr>
            <w:pStyle w:val="Header"/>
            <w:jc w:val="left"/>
            <w:rPr>
              <w:noProof/>
            </w:rPr>
          </w:pPr>
        </w:p>
      </w:tc>
      <w:tc>
        <w:tcPr>
          <w:tcW w:w="8261" w:type="dxa"/>
        </w:tcPr>
        <w:p w14:paraId="7441660F" w14:textId="1ED0351C" w:rsidR="00EE49E8" w:rsidRPr="00877BF2" w:rsidRDefault="00EE49E8" w:rsidP="00B82C1B">
          <w:pPr>
            <w:pStyle w:val="Header"/>
            <w:tabs>
              <w:tab w:val="left" w:pos="6451"/>
              <w:tab w:val="right" w:pos="8505"/>
              <w:tab w:val="right" w:pos="9639"/>
            </w:tabs>
            <w:jc w:val="left"/>
            <w:rPr>
              <w:rFonts w:ascii="Arial" w:hAnsi="Arial" w:cs="Arial"/>
              <w:b/>
              <w:bCs/>
              <w:szCs w:val="18"/>
              <w:lang w:val="es-ES"/>
            </w:rPr>
          </w:pPr>
          <w:r w:rsidRPr="005C13D4">
            <w:rPr>
              <w:bCs/>
              <w:lang w:val="fr-CH"/>
            </w:rPr>
            <w:tab/>
          </w:r>
          <w:r w:rsidR="00B82C1B">
            <w:rPr>
              <w:bCs/>
              <w:lang w:val="es-ES"/>
            </w:rPr>
            <w:t>CWG-SFP</w:t>
          </w:r>
          <w:r w:rsidR="00B82C1B" w:rsidRPr="00870C17">
            <w:rPr>
              <w:bCs/>
              <w:lang w:val="es-ES"/>
            </w:rPr>
            <w:t>-</w:t>
          </w:r>
          <w:r w:rsidR="008E754E">
            <w:rPr>
              <w:bCs/>
              <w:lang w:val="es-ES"/>
            </w:rPr>
            <w:t>3</w:t>
          </w:r>
          <w:r w:rsidR="00B82C1B">
            <w:rPr>
              <w:bCs/>
              <w:lang w:val="es-ES"/>
            </w:rPr>
            <w:t>/</w:t>
          </w:r>
          <w:r w:rsidR="0083440E">
            <w:rPr>
              <w:bCs/>
              <w:lang w:val="es-ES"/>
            </w:rPr>
            <w:t>11</w:t>
          </w:r>
          <w:r w:rsidR="00A52C84" w:rsidRPr="00877BF2">
            <w:rPr>
              <w:bCs/>
              <w:lang w:val="es-ES"/>
            </w:rPr>
            <w:t>-E</w:t>
          </w:r>
          <w:r w:rsidRPr="00877BF2">
            <w:rPr>
              <w:bCs/>
              <w:lang w:val="es-ES"/>
            </w:rPr>
            <w:tab/>
          </w:r>
          <w:r>
            <w:fldChar w:fldCharType="begin"/>
          </w:r>
          <w:r w:rsidRPr="00877BF2">
            <w:rPr>
              <w:lang w:val="es-ES"/>
            </w:rPr>
            <w:instrText>PAGE</w:instrText>
          </w:r>
          <w:r>
            <w:fldChar w:fldCharType="separate"/>
          </w:r>
          <w:r w:rsidRPr="00877BF2">
            <w:rPr>
              <w:lang w:val="es-ES"/>
            </w:rPr>
            <w:t>1</w:t>
          </w:r>
          <w:r>
            <w:rPr>
              <w:noProof/>
            </w:rPr>
            <w:fldChar w:fldCharType="end"/>
          </w:r>
        </w:p>
      </w:tc>
    </w:tr>
  </w:tbl>
  <w:p w14:paraId="5AB6E82D" w14:textId="77777777" w:rsidR="00EE49E8" w:rsidRPr="00877BF2" w:rsidRDefault="00EE49E8" w:rsidP="00EE49E8">
    <w:pPr>
      <w:pStyle w:val="Header"/>
      <w:tabs>
        <w:tab w:val="left" w:pos="8080"/>
        <w:tab w:val="right" w:pos="9072"/>
      </w:tabs>
      <w:jc w:val="left"/>
      <w:rPr>
        <w:bCs/>
        <w:lang w:val="es-E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7"/>
      <w:gridCol w:w="6957"/>
    </w:tblGrid>
    <w:tr w:rsidR="00EE49E8" w:rsidRPr="00870C17" w14:paraId="3DCAF440" w14:textId="77777777" w:rsidTr="00A52C84">
      <w:trPr>
        <w:jc w:val="center"/>
      </w:trPr>
      <w:tc>
        <w:tcPr>
          <w:tcW w:w="3107" w:type="dxa"/>
          <w:vAlign w:val="center"/>
        </w:tcPr>
        <w:p w14:paraId="08202109" w14:textId="708B0218" w:rsidR="00EE49E8" w:rsidRPr="0025570E" w:rsidRDefault="0025570E" w:rsidP="00EE49E8">
          <w:pPr>
            <w:pStyle w:val="Header"/>
            <w:jc w:val="left"/>
            <w:rPr>
              <w:noProof/>
              <w:u w:val="single"/>
            </w:rPr>
          </w:pPr>
          <w:hyperlink r:id="rId1" w:history="1">
            <w:r w:rsidRPr="0025570E">
              <w:rPr>
                <w:rStyle w:val="Hyperlink"/>
              </w:rPr>
              <w:t>council.itu.int/working-groups</w:t>
            </w:r>
          </w:hyperlink>
        </w:p>
      </w:tc>
      <w:tc>
        <w:tcPr>
          <w:tcW w:w="6957" w:type="dxa"/>
        </w:tcPr>
        <w:p w14:paraId="53A00ACB" w14:textId="327E4E6D" w:rsidR="00EE49E8" w:rsidRPr="000F6AB8" w:rsidRDefault="00EE49E8" w:rsidP="00B82C1B">
          <w:pPr>
            <w:pStyle w:val="Header"/>
            <w:tabs>
              <w:tab w:val="left" w:pos="5150"/>
              <w:tab w:val="right" w:pos="8505"/>
              <w:tab w:val="right" w:pos="9639"/>
            </w:tabs>
            <w:jc w:val="left"/>
            <w:rPr>
              <w:rFonts w:ascii="Arial" w:hAnsi="Arial" w:cs="Arial"/>
              <w:b/>
              <w:bCs/>
              <w:szCs w:val="18"/>
              <w:lang w:val="es-ES"/>
            </w:rPr>
          </w:pPr>
          <w:r>
            <w:rPr>
              <w:bCs/>
            </w:rPr>
            <w:tab/>
          </w:r>
          <w:r w:rsidR="00B82C1B">
            <w:rPr>
              <w:bCs/>
              <w:lang w:val="es-ES"/>
            </w:rPr>
            <w:t>CWG-SFP</w:t>
          </w:r>
          <w:r w:rsidR="00F73B2C" w:rsidRPr="00870C17">
            <w:rPr>
              <w:bCs/>
              <w:lang w:val="es-ES"/>
            </w:rPr>
            <w:t>-</w:t>
          </w:r>
          <w:r w:rsidR="008E754E">
            <w:rPr>
              <w:bCs/>
              <w:lang w:val="es-ES"/>
            </w:rPr>
            <w:t>3</w:t>
          </w:r>
          <w:r w:rsidR="00205D4E">
            <w:rPr>
              <w:bCs/>
              <w:lang w:val="es-ES"/>
            </w:rPr>
            <w:t>/</w:t>
          </w:r>
          <w:r w:rsidR="0083440E">
            <w:rPr>
              <w:bCs/>
              <w:lang w:val="es-ES"/>
            </w:rPr>
            <w:t>11</w:t>
          </w:r>
          <w:r w:rsidRPr="000F6AB8">
            <w:rPr>
              <w:bCs/>
              <w:lang w:val="es-ES"/>
            </w:rPr>
            <w:t>-E</w:t>
          </w:r>
          <w:r w:rsidRPr="000F6AB8">
            <w:rPr>
              <w:bCs/>
              <w:lang w:val="es-ES"/>
            </w:rPr>
            <w:tab/>
          </w:r>
          <w:r>
            <w:fldChar w:fldCharType="begin"/>
          </w:r>
          <w:r w:rsidRPr="000F6AB8">
            <w:rPr>
              <w:lang w:val="es-ES"/>
            </w:rPr>
            <w:instrText>PAGE</w:instrText>
          </w:r>
          <w:r>
            <w:fldChar w:fldCharType="separate"/>
          </w:r>
          <w:r w:rsidRPr="000F6AB8">
            <w:rPr>
              <w:lang w:val="es-ES"/>
            </w:rPr>
            <w:t>1</w:t>
          </w:r>
          <w:r>
            <w:rPr>
              <w:noProof/>
            </w:rPr>
            <w:fldChar w:fldCharType="end"/>
          </w:r>
        </w:p>
      </w:tc>
    </w:tr>
  </w:tbl>
  <w:p w14:paraId="2E09014F" w14:textId="77777777" w:rsidR="00A514A4" w:rsidRPr="000F6AB8" w:rsidRDefault="00A514A4" w:rsidP="00EE49E8">
    <w:pPr>
      <w:pStyle w:val="Header"/>
      <w:tabs>
        <w:tab w:val="left" w:pos="8080"/>
        <w:tab w:val="right" w:pos="9072"/>
      </w:tabs>
      <w:jc w:val="right"/>
      <w:rPr>
        <w:bCs/>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B32293" w14:textId="77777777" w:rsidR="005D79AA" w:rsidRDefault="005D79AA">
      <w:r>
        <w:t>____________________</w:t>
      </w:r>
    </w:p>
  </w:footnote>
  <w:footnote w:type="continuationSeparator" w:id="0">
    <w:p w14:paraId="6B16372A" w14:textId="77777777" w:rsidR="005D79AA" w:rsidRDefault="005D79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46"/>
      <w:gridCol w:w="3474"/>
    </w:tblGrid>
    <w:tr w:rsidR="00B676E3" w:rsidRPr="00784011" w14:paraId="4D3A47B1" w14:textId="77777777" w:rsidTr="002F314B">
      <w:trPr>
        <w:trHeight w:val="1304"/>
        <w:jc w:val="center"/>
      </w:trPr>
      <w:tc>
        <w:tcPr>
          <w:tcW w:w="6546" w:type="dxa"/>
        </w:tcPr>
        <w:p w14:paraId="01988454" w14:textId="77777777" w:rsidR="00B676E3" w:rsidRPr="009621F8" w:rsidRDefault="00B676E3" w:rsidP="00B676E3">
          <w:pPr>
            <w:pStyle w:val="Header"/>
            <w:jc w:val="left"/>
            <w:rPr>
              <w:rFonts w:ascii="Arial" w:hAnsi="Arial" w:cs="Arial"/>
              <w:b/>
              <w:bCs/>
              <w:color w:val="009CD6"/>
              <w:sz w:val="36"/>
              <w:szCs w:val="36"/>
            </w:rPr>
          </w:pPr>
          <w:bookmarkStart w:id="11" w:name="_Hlk133422111"/>
          <w:r w:rsidRPr="00130599">
            <w:rPr>
              <w:rFonts w:ascii="Arial" w:hAnsi="Arial" w:cs="Arial"/>
              <w:b/>
              <w:bCs/>
              <w:noProof/>
              <w:color w:val="009CD6"/>
              <w:szCs w:val="18"/>
            </w:rPr>
            <mc:AlternateContent>
              <mc:Choice Requires="wps">
                <w:drawing>
                  <wp:anchor distT="0" distB="0" distL="114300" distR="114300" simplePos="0" relativeHeight="251660288" behindDoc="0" locked="0" layoutInCell="1" allowOverlap="1" wp14:anchorId="72850FFC" wp14:editId="75C3212B">
                    <wp:simplePos x="0" y="0"/>
                    <wp:positionH relativeFrom="column">
                      <wp:posOffset>1428645</wp:posOffset>
                    </wp:positionH>
                    <wp:positionV relativeFrom="paragraph">
                      <wp:posOffset>2540</wp:posOffset>
                    </wp:positionV>
                    <wp:extent cx="3999230" cy="471170"/>
                    <wp:effectExtent l="0" t="0" r="1270"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9230" cy="471170"/>
                            </a:xfrm>
                            <a:prstGeom prst="rect">
                              <a:avLst/>
                            </a:prstGeom>
                            <a:solidFill>
                              <a:schemeClr val="bg1"/>
                            </a:solidFill>
                            <a:ln w="9525">
                              <a:noFill/>
                              <a:miter lim="800000"/>
                              <a:headEnd/>
                              <a:tailEnd/>
                            </a:ln>
                          </wps:spPr>
                          <wps:txbx>
                            <w:txbxContent>
                              <w:p w14:paraId="1AC48E6C" w14:textId="5AA28D0F" w:rsidR="00B676E3" w:rsidRDefault="00B676E3" w:rsidP="00B676E3">
                                <w:pPr>
                                  <w:spacing w:before="0"/>
                                  <w:ind w:left="-57"/>
                                </w:pPr>
                                <w:r w:rsidRPr="00F74694">
                                  <w:rPr>
                                    <w:b/>
                                    <w:bCs/>
                                    <w:szCs w:val="24"/>
                                  </w:rPr>
                                  <w:t xml:space="preserve">Council Working Group </w:t>
                                </w:r>
                                <w:r w:rsidRPr="00F74694">
                                  <w:rPr>
                                    <w:b/>
                                    <w:bCs/>
                                    <w:szCs w:val="24"/>
                                  </w:rPr>
                                  <w:br/>
                                </w:r>
                                <w:r>
                                  <w:rPr>
                                    <w:b/>
                                    <w:bCs/>
                                    <w:szCs w:val="24"/>
                                  </w:rPr>
                                  <w:t>for strategic and financial plans 2028-2031</w:t>
                                </w:r>
                                <w:r>
                                  <w:br/>
                                </w:r>
                                <w:r w:rsidR="008E754E">
                                  <w:rPr>
                                    <w:sz w:val="20"/>
                                  </w:rPr>
                                  <w:t>Third</w:t>
                                </w:r>
                                <w:r>
                                  <w:rPr>
                                    <w:sz w:val="20"/>
                                  </w:rPr>
                                  <w:t xml:space="preserve"> </w:t>
                                </w:r>
                                <w:r w:rsidRPr="00130599">
                                  <w:rPr>
                                    <w:sz w:val="20"/>
                                  </w:rPr>
                                  <w:t xml:space="preserve">meeting </w:t>
                                </w:r>
                                <w:r>
                                  <w:rPr>
                                    <w:sz w:val="20"/>
                                  </w:rPr>
                                  <w:t xml:space="preserve">– </w:t>
                                </w:r>
                                <w:r w:rsidR="00993174" w:rsidRPr="00A23844">
                                  <w:rPr>
                                    <w:sz w:val="20"/>
                                  </w:rPr>
                                  <w:t xml:space="preserve">From 8 to </w:t>
                                </w:r>
                                <w:r w:rsidR="00710C06">
                                  <w:rPr>
                                    <w:sz w:val="20"/>
                                  </w:rPr>
                                  <w:t>10 (a.m.)</w:t>
                                </w:r>
                                <w:r w:rsidR="00993174" w:rsidRPr="00A23844">
                                  <w:rPr>
                                    <w:sz w:val="20"/>
                                  </w:rPr>
                                  <w:t xml:space="preserve"> September 2025</w:t>
                                </w:r>
                              </w:p>
                            </w:txbxContent>
                          </wps:txbx>
                          <wps:bodyPr rot="0" vert="horz" wrap="square" lIns="3600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72850FFC" id="_x0000_t202" coordsize="21600,21600" o:spt="202" path="m,l,21600r21600,l21600,xe">
                    <v:stroke joinstyle="miter"/>
                    <v:path gradientshapeok="t" o:connecttype="rect"/>
                  </v:shapetype>
                  <v:shape id="Text Box 2" o:spid="_x0000_s1026" type="#_x0000_t202" style="position:absolute;margin-left:112.5pt;margin-top:.2pt;width:314.9pt;height:37.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" fillcolor="white [3212]" stroked="f">
                    <v:textbox style="mso-fit-shape-to-text:t" inset="1mm">
                      <w:txbxContent>
                        <w:p w14:paraId="1AC48E6C" w14:textId="5AA28D0F" w:rsidR="00B676E3" w:rsidRDefault="00B676E3" w:rsidP="00B676E3">
                          <w:pPr>
                            <w:spacing w:before="0"/>
                            <w:ind w:left="-57"/>
                          </w:pPr>
                          <w:r w:rsidRPr="00F74694">
                            <w:rPr>
                              <w:b/>
                              <w:bCs/>
                              <w:szCs w:val="24"/>
                            </w:rPr>
                            <w:t xml:space="preserve">Council Working Group </w:t>
                          </w:r>
                          <w:r w:rsidRPr="00F74694">
                            <w:rPr>
                              <w:b/>
                              <w:bCs/>
                              <w:szCs w:val="24"/>
                            </w:rPr>
                            <w:br/>
                          </w:r>
                          <w:r>
                            <w:rPr>
                              <w:b/>
                              <w:bCs/>
                              <w:szCs w:val="24"/>
                            </w:rPr>
                            <w:t>for strategic and financial plans 2028-2031</w:t>
                          </w:r>
                          <w:r>
                            <w:br/>
                          </w:r>
                          <w:r w:rsidR="008E754E">
                            <w:rPr>
                              <w:sz w:val="20"/>
                            </w:rPr>
                            <w:t>Third</w:t>
                          </w:r>
                          <w:r>
                            <w:rPr>
                              <w:sz w:val="20"/>
                            </w:rPr>
                            <w:t xml:space="preserve"> </w:t>
                          </w:r>
                          <w:r w:rsidRPr="00130599">
                            <w:rPr>
                              <w:sz w:val="20"/>
                            </w:rPr>
                            <w:t xml:space="preserve">meeting </w:t>
                          </w:r>
                          <w:r>
                            <w:rPr>
                              <w:sz w:val="20"/>
                            </w:rPr>
                            <w:t xml:space="preserve">– </w:t>
                          </w:r>
                          <w:r w:rsidR="00993174" w:rsidRPr="00A23844">
                            <w:rPr>
                              <w:sz w:val="20"/>
                            </w:rPr>
                            <w:t xml:space="preserve">From 8 to </w:t>
                          </w:r>
                          <w:r w:rsidR="00710C06">
                            <w:rPr>
                              <w:sz w:val="20"/>
                            </w:rPr>
                            <w:t>10 (a.m.)</w:t>
                          </w:r>
                          <w:r w:rsidR="00993174" w:rsidRPr="00A23844">
                            <w:rPr>
                              <w:sz w:val="20"/>
                            </w:rPr>
                            <w:t xml:space="preserve"> September 2025</w:t>
                          </w:r>
                        </w:p>
                      </w:txbxContent>
                    </v:textbox>
                  </v:shape>
                </w:pict>
              </mc:Fallback>
            </mc:AlternateContent>
          </w:r>
          <w:r>
            <w:rPr>
              <w:rFonts w:ascii="Arial" w:hAnsi="Arial" w:cs="Arial"/>
              <w:b/>
              <w:bCs/>
              <w:noProof/>
              <w:color w:val="009CD6"/>
              <w:sz w:val="36"/>
              <w:szCs w:val="36"/>
            </w:rPr>
            <w:drawing>
              <wp:inline distT="0" distB="0" distL="0" distR="0" wp14:anchorId="59DC5ABE" wp14:editId="7592090E">
                <wp:extent cx="3671597" cy="612000"/>
                <wp:effectExtent l="0" t="0" r="0" b="0"/>
                <wp:docPr id="1218191505" name="Picture 2"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191505" name="Picture 2" descr="A black background with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671597" cy="612000"/>
                        </a:xfrm>
                        <a:prstGeom prst="rect">
                          <a:avLst/>
                        </a:prstGeom>
                      </pic:spPr>
                    </pic:pic>
                  </a:graphicData>
                </a:graphic>
              </wp:inline>
            </w:drawing>
          </w:r>
        </w:p>
      </w:tc>
      <w:tc>
        <w:tcPr>
          <w:tcW w:w="3474" w:type="dxa"/>
        </w:tcPr>
        <w:p w14:paraId="53193BBE" w14:textId="77777777" w:rsidR="00B676E3" w:rsidRDefault="00B676E3" w:rsidP="00B676E3">
          <w:pPr>
            <w:pStyle w:val="Header"/>
            <w:jc w:val="right"/>
            <w:rPr>
              <w:rFonts w:ascii="Arial" w:hAnsi="Arial" w:cs="Arial"/>
              <w:b/>
              <w:bCs/>
              <w:color w:val="009CD6"/>
              <w:szCs w:val="18"/>
            </w:rPr>
          </w:pPr>
        </w:p>
        <w:p w14:paraId="0A15CED4" w14:textId="77777777" w:rsidR="00B676E3" w:rsidRDefault="00B676E3" w:rsidP="00B676E3">
          <w:pPr>
            <w:pStyle w:val="Header"/>
            <w:jc w:val="right"/>
            <w:rPr>
              <w:rFonts w:ascii="Arial" w:hAnsi="Arial" w:cs="Arial"/>
              <w:b/>
              <w:bCs/>
              <w:color w:val="009CD6"/>
              <w:szCs w:val="18"/>
            </w:rPr>
          </w:pPr>
        </w:p>
        <w:p w14:paraId="01AC620D" w14:textId="77777777" w:rsidR="00B676E3" w:rsidRPr="00784011" w:rsidRDefault="00B676E3" w:rsidP="00B676E3">
          <w:pPr>
            <w:pStyle w:val="Header"/>
            <w:jc w:val="right"/>
            <w:rPr>
              <w:rFonts w:ascii="Arial" w:hAnsi="Arial" w:cs="Arial"/>
              <w:color w:val="009CD6"/>
              <w:szCs w:val="18"/>
            </w:rPr>
          </w:pPr>
          <w:r w:rsidRPr="00BC6276">
            <w:rPr>
              <w:rFonts w:ascii="Arial" w:hAnsi="Arial" w:cs="Arial"/>
              <w:b/>
              <w:bCs/>
              <w:color w:val="009CD6"/>
              <w:szCs w:val="18"/>
            </w:rPr>
            <w:t xml:space="preserve"> </w:t>
          </w:r>
        </w:p>
      </w:tc>
    </w:tr>
  </w:tbl>
  <w:bookmarkEnd w:id="11"/>
  <w:p w14:paraId="301649F6" w14:textId="424112FC" w:rsidR="00AD3606" w:rsidRPr="00B676E3" w:rsidRDefault="00B676E3" w:rsidP="00B676E3">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9264" behindDoc="0" locked="0" layoutInCell="1" allowOverlap="1" wp14:anchorId="7E725CB6" wp14:editId="045BB16D">
              <wp:simplePos x="0" y="0"/>
              <wp:positionH relativeFrom="page">
                <wp:posOffset>14605</wp:posOffset>
              </wp:positionH>
              <wp:positionV relativeFrom="topMargin">
                <wp:posOffset>555625</wp:posOffset>
              </wp:positionV>
              <wp:extent cx="93345" cy="431800"/>
              <wp:effectExtent l="0" t="0" r="1905" b="63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43180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1544C8" id="Rectangle 5" o:spid="_x0000_s1026" style="position:absolute;margin-left:1.15pt;margin-top:43.75pt;width:7.35pt;height:3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" fillcolor="#009cd5" stroked="f">
              <w10:wrap anchorx="page"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FB50CEA"/>
    <w:multiLevelType w:val="singleLevel"/>
    <w:tmpl w:val="CFB50CEA"/>
    <w:lvl w:ilvl="0">
      <w:start w:val="1"/>
      <w:numFmt w:val="decimal"/>
      <w:lvlText w:val="%1"/>
      <w:lvlJc w:val="left"/>
    </w:lvl>
  </w:abstractNum>
  <w:abstractNum w:abstractNumId="1"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7BD863F8"/>
    <w:multiLevelType w:val="singleLevel"/>
    <w:tmpl w:val="7BD863F8"/>
    <w:lvl w:ilvl="0">
      <w:start w:val="1"/>
      <w:numFmt w:val="bullet"/>
      <w:lvlText w:val=""/>
      <w:lvlJc w:val="left"/>
      <w:pPr>
        <w:ind w:left="420" w:hanging="420"/>
      </w:pPr>
      <w:rPr>
        <w:rFonts w:ascii="Wingdings" w:hAnsi="Wingdings" w:hint="default"/>
      </w:rPr>
    </w:lvl>
  </w:abstractNum>
  <w:num w:numId="1" w16cid:durableId="1374816267">
    <w:abstractNumId w:val="1"/>
  </w:num>
  <w:num w:numId="2" w16cid:durableId="1525285592">
    <w:abstractNumId w:val="0"/>
  </w:num>
  <w:num w:numId="3" w16cid:durableId="18338392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09"/>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9AA"/>
    <w:rsid w:val="00003A6D"/>
    <w:rsid w:val="000041A9"/>
    <w:rsid w:val="00004C8C"/>
    <w:rsid w:val="00006DB2"/>
    <w:rsid w:val="000120E4"/>
    <w:rsid w:val="000210D4"/>
    <w:rsid w:val="00046146"/>
    <w:rsid w:val="000525A1"/>
    <w:rsid w:val="00063016"/>
    <w:rsid w:val="00066795"/>
    <w:rsid w:val="00076AF6"/>
    <w:rsid w:val="000820A8"/>
    <w:rsid w:val="00085CF2"/>
    <w:rsid w:val="00092A1B"/>
    <w:rsid w:val="000A1525"/>
    <w:rsid w:val="000B1705"/>
    <w:rsid w:val="000D75B2"/>
    <w:rsid w:val="000F6AB8"/>
    <w:rsid w:val="001121F5"/>
    <w:rsid w:val="00130599"/>
    <w:rsid w:val="00131E18"/>
    <w:rsid w:val="001400DC"/>
    <w:rsid w:val="00140CE1"/>
    <w:rsid w:val="00147C54"/>
    <w:rsid w:val="0016259B"/>
    <w:rsid w:val="0017390F"/>
    <w:rsid w:val="0017539C"/>
    <w:rsid w:val="00175AC2"/>
    <w:rsid w:val="0017609F"/>
    <w:rsid w:val="001A7D1D"/>
    <w:rsid w:val="001B0595"/>
    <w:rsid w:val="001B51DD"/>
    <w:rsid w:val="001C628E"/>
    <w:rsid w:val="001D62DF"/>
    <w:rsid w:val="001E0F7B"/>
    <w:rsid w:val="001E0FBE"/>
    <w:rsid w:val="001E5FE7"/>
    <w:rsid w:val="00205D4E"/>
    <w:rsid w:val="002119FD"/>
    <w:rsid w:val="002130E0"/>
    <w:rsid w:val="00227AAB"/>
    <w:rsid w:val="00244F7F"/>
    <w:rsid w:val="0025570E"/>
    <w:rsid w:val="002608B7"/>
    <w:rsid w:val="00264425"/>
    <w:rsid w:val="00265875"/>
    <w:rsid w:val="0027303B"/>
    <w:rsid w:val="0028109B"/>
    <w:rsid w:val="002A2188"/>
    <w:rsid w:val="002B1F58"/>
    <w:rsid w:val="002C1C7A"/>
    <w:rsid w:val="002C54E2"/>
    <w:rsid w:val="002E0AC3"/>
    <w:rsid w:val="002F2D06"/>
    <w:rsid w:val="0030160F"/>
    <w:rsid w:val="00301AEE"/>
    <w:rsid w:val="003145DF"/>
    <w:rsid w:val="00320223"/>
    <w:rsid w:val="00322D0D"/>
    <w:rsid w:val="00361465"/>
    <w:rsid w:val="003877F5"/>
    <w:rsid w:val="003942D4"/>
    <w:rsid w:val="0039514F"/>
    <w:rsid w:val="003958A8"/>
    <w:rsid w:val="003B29C2"/>
    <w:rsid w:val="003C20CA"/>
    <w:rsid w:val="003C2533"/>
    <w:rsid w:val="003D2E43"/>
    <w:rsid w:val="003D5A7F"/>
    <w:rsid w:val="003D635C"/>
    <w:rsid w:val="003D71D8"/>
    <w:rsid w:val="004016E2"/>
    <w:rsid w:val="0040435A"/>
    <w:rsid w:val="00416A24"/>
    <w:rsid w:val="00416A30"/>
    <w:rsid w:val="0042059E"/>
    <w:rsid w:val="00431D9E"/>
    <w:rsid w:val="00433CE8"/>
    <w:rsid w:val="00434A5C"/>
    <w:rsid w:val="004544D9"/>
    <w:rsid w:val="00472BAD"/>
    <w:rsid w:val="00484009"/>
    <w:rsid w:val="00490E72"/>
    <w:rsid w:val="00491157"/>
    <w:rsid w:val="004921C8"/>
    <w:rsid w:val="00495B0B"/>
    <w:rsid w:val="004A1B8B"/>
    <w:rsid w:val="004B51C8"/>
    <w:rsid w:val="004D1851"/>
    <w:rsid w:val="004D599D"/>
    <w:rsid w:val="004E06D1"/>
    <w:rsid w:val="004E2EA5"/>
    <w:rsid w:val="004E3AEB"/>
    <w:rsid w:val="00500CA4"/>
    <w:rsid w:val="0050223C"/>
    <w:rsid w:val="00507750"/>
    <w:rsid w:val="005170FD"/>
    <w:rsid w:val="005243FF"/>
    <w:rsid w:val="00524E9C"/>
    <w:rsid w:val="005311D6"/>
    <w:rsid w:val="00536422"/>
    <w:rsid w:val="0054526E"/>
    <w:rsid w:val="005536C2"/>
    <w:rsid w:val="00564FBC"/>
    <w:rsid w:val="005800BC"/>
    <w:rsid w:val="00582442"/>
    <w:rsid w:val="00586214"/>
    <w:rsid w:val="005A335D"/>
    <w:rsid w:val="005B0869"/>
    <w:rsid w:val="005C13D4"/>
    <w:rsid w:val="005C77C0"/>
    <w:rsid w:val="005D79AA"/>
    <w:rsid w:val="005E2BD5"/>
    <w:rsid w:val="005E4F47"/>
    <w:rsid w:val="005F3269"/>
    <w:rsid w:val="005F7BEB"/>
    <w:rsid w:val="00612123"/>
    <w:rsid w:val="00615961"/>
    <w:rsid w:val="00623AE3"/>
    <w:rsid w:val="006261F4"/>
    <w:rsid w:val="0064737F"/>
    <w:rsid w:val="006535F1"/>
    <w:rsid w:val="0065557D"/>
    <w:rsid w:val="00657B21"/>
    <w:rsid w:val="00660D50"/>
    <w:rsid w:val="00662984"/>
    <w:rsid w:val="00663050"/>
    <w:rsid w:val="006716BB"/>
    <w:rsid w:val="006973C8"/>
    <w:rsid w:val="006A4862"/>
    <w:rsid w:val="006B1859"/>
    <w:rsid w:val="006B6680"/>
    <w:rsid w:val="006B6DCC"/>
    <w:rsid w:val="006D725C"/>
    <w:rsid w:val="00701C70"/>
    <w:rsid w:val="00702DEF"/>
    <w:rsid w:val="00706861"/>
    <w:rsid w:val="00710C06"/>
    <w:rsid w:val="007247CF"/>
    <w:rsid w:val="00726B8C"/>
    <w:rsid w:val="00727C44"/>
    <w:rsid w:val="0075051B"/>
    <w:rsid w:val="0077110E"/>
    <w:rsid w:val="00775655"/>
    <w:rsid w:val="007849D5"/>
    <w:rsid w:val="00793188"/>
    <w:rsid w:val="00794D34"/>
    <w:rsid w:val="00806E3C"/>
    <w:rsid w:val="00813E5E"/>
    <w:rsid w:val="00816C2C"/>
    <w:rsid w:val="0083440E"/>
    <w:rsid w:val="0083581B"/>
    <w:rsid w:val="00860EED"/>
    <w:rsid w:val="00863874"/>
    <w:rsid w:val="00864AFF"/>
    <w:rsid w:val="00865925"/>
    <w:rsid w:val="00870C17"/>
    <w:rsid w:val="00872B5C"/>
    <w:rsid w:val="00875FD1"/>
    <w:rsid w:val="00877BF2"/>
    <w:rsid w:val="00884F3A"/>
    <w:rsid w:val="00891503"/>
    <w:rsid w:val="008A2F06"/>
    <w:rsid w:val="008B4A6A"/>
    <w:rsid w:val="008C7E27"/>
    <w:rsid w:val="008E754E"/>
    <w:rsid w:val="008F3822"/>
    <w:rsid w:val="008F7448"/>
    <w:rsid w:val="0090147A"/>
    <w:rsid w:val="0090389B"/>
    <w:rsid w:val="009173EF"/>
    <w:rsid w:val="00926B90"/>
    <w:rsid w:val="00932906"/>
    <w:rsid w:val="00961860"/>
    <w:rsid w:val="00961B0B"/>
    <w:rsid w:val="00962D33"/>
    <w:rsid w:val="00993174"/>
    <w:rsid w:val="009B38C3"/>
    <w:rsid w:val="009B44BD"/>
    <w:rsid w:val="009E09F2"/>
    <w:rsid w:val="009E17BD"/>
    <w:rsid w:val="009E485A"/>
    <w:rsid w:val="00A04CEC"/>
    <w:rsid w:val="00A27F92"/>
    <w:rsid w:val="00A32257"/>
    <w:rsid w:val="00A36D20"/>
    <w:rsid w:val="00A43C03"/>
    <w:rsid w:val="00A46CD0"/>
    <w:rsid w:val="00A514A4"/>
    <w:rsid w:val="00A52C84"/>
    <w:rsid w:val="00A55622"/>
    <w:rsid w:val="00A83502"/>
    <w:rsid w:val="00AD15B3"/>
    <w:rsid w:val="00AD3606"/>
    <w:rsid w:val="00AD4A3D"/>
    <w:rsid w:val="00AF6E49"/>
    <w:rsid w:val="00B03310"/>
    <w:rsid w:val="00B04A67"/>
    <w:rsid w:val="00B0583C"/>
    <w:rsid w:val="00B248BC"/>
    <w:rsid w:val="00B358B2"/>
    <w:rsid w:val="00B40A81"/>
    <w:rsid w:val="00B44910"/>
    <w:rsid w:val="00B676E3"/>
    <w:rsid w:val="00B72267"/>
    <w:rsid w:val="00B73DD1"/>
    <w:rsid w:val="00B76EB6"/>
    <w:rsid w:val="00B7737B"/>
    <w:rsid w:val="00B824C8"/>
    <w:rsid w:val="00B82C1B"/>
    <w:rsid w:val="00B849D3"/>
    <w:rsid w:val="00B84B9D"/>
    <w:rsid w:val="00BA3A51"/>
    <w:rsid w:val="00BC251A"/>
    <w:rsid w:val="00BD032B"/>
    <w:rsid w:val="00BD0614"/>
    <w:rsid w:val="00BD094B"/>
    <w:rsid w:val="00BE2640"/>
    <w:rsid w:val="00C01189"/>
    <w:rsid w:val="00C374DE"/>
    <w:rsid w:val="00C47AD4"/>
    <w:rsid w:val="00C52D81"/>
    <w:rsid w:val="00C55198"/>
    <w:rsid w:val="00C725C6"/>
    <w:rsid w:val="00C922C7"/>
    <w:rsid w:val="00CA6393"/>
    <w:rsid w:val="00CB18FF"/>
    <w:rsid w:val="00CB24AA"/>
    <w:rsid w:val="00CD0C08"/>
    <w:rsid w:val="00CD3C91"/>
    <w:rsid w:val="00CE03FB"/>
    <w:rsid w:val="00CE433C"/>
    <w:rsid w:val="00CF0161"/>
    <w:rsid w:val="00CF33F3"/>
    <w:rsid w:val="00D06183"/>
    <w:rsid w:val="00D143DF"/>
    <w:rsid w:val="00D22C42"/>
    <w:rsid w:val="00D45669"/>
    <w:rsid w:val="00D464CC"/>
    <w:rsid w:val="00D522F6"/>
    <w:rsid w:val="00D65041"/>
    <w:rsid w:val="00D6505E"/>
    <w:rsid w:val="00D67039"/>
    <w:rsid w:val="00D86E6C"/>
    <w:rsid w:val="00DB00D5"/>
    <w:rsid w:val="00DB1936"/>
    <w:rsid w:val="00DB384B"/>
    <w:rsid w:val="00DF0189"/>
    <w:rsid w:val="00E06FD5"/>
    <w:rsid w:val="00E10E80"/>
    <w:rsid w:val="00E124F0"/>
    <w:rsid w:val="00E227F3"/>
    <w:rsid w:val="00E4728B"/>
    <w:rsid w:val="00E50654"/>
    <w:rsid w:val="00E545C6"/>
    <w:rsid w:val="00E60F04"/>
    <w:rsid w:val="00E63EFF"/>
    <w:rsid w:val="00E65B24"/>
    <w:rsid w:val="00E854E4"/>
    <w:rsid w:val="00E85B67"/>
    <w:rsid w:val="00E86DBF"/>
    <w:rsid w:val="00EB0D6F"/>
    <w:rsid w:val="00EB2232"/>
    <w:rsid w:val="00EC5337"/>
    <w:rsid w:val="00EC7C07"/>
    <w:rsid w:val="00EE49E8"/>
    <w:rsid w:val="00F0343E"/>
    <w:rsid w:val="00F10B59"/>
    <w:rsid w:val="00F119DF"/>
    <w:rsid w:val="00F16BAB"/>
    <w:rsid w:val="00F2150A"/>
    <w:rsid w:val="00F231D8"/>
    <w:rsid w:val="00F44C00"/>
    <w:rsid w:val="00F45D2C"/>
    <w:rsid w:val="00F46C5F"/>
    <w:rsid w:val="00F632C0"/>
    <w:rsid w:val="00F66A26"/>
    <w:rsid w:val="00F73B2C"/>
    <w:rsid w:val="00F74694"/>
    <w:rsid w:val="00F86596"/>
    <w:rsid w:val="00F93FD4"/>
    <w:rsid w:val="00F94A63"/>
    <w:rsid w:val="00FA1C28"/>
    <w:rsid w:val="00FB1279"/>
    <w:rsid w:val="00FB6B76"/>
    <w:rsid w:val="00FB7596"/>
    <w:rsid w:val="00FE4077"/>
    <w:rsid w:val="00FE500D"/>
    <w:rsid w:val="00FE77D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CF96A3"/>
  <w15:docId w15:val="{D6520694-F117-490E-9306-DFA45E271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4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813E5E"/>
    <w:pPr>
      <w:keepNext/>
      <w:keepLines/>
      <w:spacing w:before="480"/>
      <w:ind w:left="567" w:hanging="567"/>
      <w:outlineLvl w:val="0"/>
    </w:pPr>
    <w:rPr>
      <w:b/>
      <w:sz w:val="28"/>
    </w:rPr>
  </w:style>
  <w:style w:type="paragraph" w:styleId="Heading2">
    <w:name w:val="heading 2"/>
    <w:basedOn w:val="Heading1"/>
    <w:next w:val="Normal"/>
    <w:qFormat/>
    <w:rsid w:val="00813E5E"/>
    <w:pPr>
      <w:spacing w:before="320"/>
      <w:outlineLvl w:val="1"/>
    </w:pPr>
    <w:rPr>
      <w:sz w:val="24"/>
    </w:rPr>
  </w:style>
  <w:style w:type="paragraph" w:styleId="Heading3">
    <w:name w:val="heading 3"/>
    <w:basedOn w:val="Heading1"/>
    <w:next w:val="Normal"/>
    <w:qFormat/>
    <w:rsid w:val="00813E5E"/>
    <w:pPr>
      <w:spacing w:before="200"/>
      <w:outlineLvl w:val="2"/>
    </w:pPr>
    <w:rPr>
      <w:sz w:val="24"/>
    </w:rPr>
  </w:style>
  <w:style w:type="paragraph" w:styleId="Heading4">
    <w:name w:val="heading 4"/>
    <w:basedOn w:val="Heading3"/>
    <w:next w:val="Normal"/>
    <w:qFormat/>
    <w:rsid w:val="00813E5E"/>
    <w:pPr>
      <w:ind w:left="1134" w:hanging="1134"/>
      <w:outlineLvl w:val="3"/>
    </w:pPr>
  </w:style>
  <w:style w:type="paragraph" w:styleId="Heading5">
    <w:name w:val="heading 5"/>
    <w:basedOn w:val="Heading4"/>
    <w:next w:val="Normal"/>
    <w:qFormat/>
    <w:rsid w:val="00813E5E"/>
    <w:pPr>
      <w:outlineLvl w:val="4"/>
    </w:pPr>
  </w:style>
  <w:style w:type="paragraph" w:styleId="Heading6">
    <w:name w:val="heading 6"/>
    <w:basedOn w:val="Heading4"/>
    <w:next w:val="Normal"/>
    <w:qFormat/>
    <w:rsid w:val="00813E5E"/>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813E5E"/>
    <w:pPr>
      <w:ind w:left="1701" w:hanging="1701"/>
      <w:outlineLvl w:val="7"/>
    </w:pPr>
  </w:style>
  <w:style w:type="paragraph" w:styleId="Heading9">
    <w:name w:val="heading 9"/>
    <w:basedOn w:val="Heading4"/>
    <w:next w:val="Normal"/>
    <w:qFormat/>
    <w:rsid w:val="00813E5E"/>
    <w:pPr>
      <w:ind w:left="1701" w:hanging="1701"/>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4D1851"/>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rsid w:val="00813E5E"/>
    <w:pPr>
      <w:keepLines/>
      <w:tabs>
        <w:tab w:val="left" w:pos="256"/>
      </w:tabs>
      <w:ind w:left="256" w:hanging="256"/>
    </w:pPr>
  </w:style>
  <w:style w:type="paragraph" w:styleId="NormalIndent">
    <w:name w:val="Normal Indent"/>
    <w:basedOn w:val="Normal"/>
    <w:rsid w:val="00813E5E"/>
    <w:pPr>
      <w:ind w:left="567"/>
    </w:pPr>
  </w:style>
  <w:style w:type="paragraph" w:customStyle="1" w:styleId="enumlev1">
    <w:name w:val="enumlev1"/>
    <w:basedOn w:val="Normal"/>
    <w:rsid w:val="00813E5E"/>
    <w:pPr>
      <w:spacing w:before="86"/>
      <w:ind w:left="567" w:hanging="567"/>
    </w:pPr>
  </w:style>
  <w:style w:type="paragraph" w:customStyle="1" w:styleId="enumlev2">
    <w:name w:val="enumlev2"/>
    <w:basedOn w:val="enumlev1"/>
    <w:rsid w:val="00813E5E"/>
    <w:pPr>
      <w:ind w:left="1134"/>
    </w:pPr>
  </w:style>
  <w:style w:type="paragraph" w:customStyle="1" w:styleId="enumlev3">
    <w:name w:val="enumlev3"/>
    <w:basedOn w:val="enumlev2"/>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E4728B"/>
    <w:pPr>
      <w:framePr w:hSpace="180" w:wrap="around" w:vAnchor="page" w:hAnchor="page" w:x="1821" w:y="2317"/>
      <w:spacing w:before="840"/>
    </w:pPr>
    <w:rPr>
      <w:b/>
      <w:sz w:val="32"/>
      <w:szCs w:val="32"/>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qFormat/>
    <w:rsid w:val="00484009"/>
    <w:rPr>
      <w:color w:val="0563C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813E5E"/>
    <w:pPr>
      <w:spacing w:before="16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rsid w:val="00813E5E"/>
    <w:pPr>
      <w:spacing w:before="720"/>
      <w:jc w:val="center"/>
    </w:pPr>
    <w:rPr>
      <w:caps/>
      <w:sz w:val="28"/>
    </w:rPr>
  </w:style>
  <w:style w:type="paragraph" w:customStyle="1" w:styleId="Annextitle">
    <w:name w:val="Annex_title"/>
    <w:basedOn w:val="Normal"/>
    <w:next w:val="Normal"/>
    <w:rsid w:val="00813E5E"/>
    <w:pPr>
      <w:spacing w:before="240" w:after="240"/>
      <w:jc w:val="center"/>
    </w:pPr>
    <w:rPr>
      <w:b/>
      <w:sz w:val="28"/>
    </w:rPr>
  </w:style>
  <w:style w:type="paragraph" w:customStyle="1" w:styleId="Annexref">
    <w:name w:val="Annex_ref"/>
    <w:basedOn w:val="Normal"/>
    <w:next w:val="Annextitle"/>
    <w:rsid w:val="00813E5E"/>
    <w:pPr>
      <w:jc w:val="center"/>
    </w:pPr>
  </w:style>
  <w:style w:type="paragraph" w:customStyle="1" w:styleId="AppendixNo">
    <w:name w:val="Appendix_No"/>
    <w:basedOn w:val="AnnexNo"/>
    <w:next w:val="Appendixref"/>
    <w:rsid w:val="00813E5E"/>
  </w:style>
  <w:style w:type="paragraph" w:customStyle="1" w:styleId="Appendixtitle">
    <w:name w:val="Appendix_title"/>
    <w:basedOn w:val="Annextitle"/>
    <w:next w:val="Normal"/>
    <w:rsid w:val="00813E5E"/>
  </w:style>
  <w:style w:type="paragraph" w:customStyle="1" w:styleId="Appendixref">
    <w:name w:val="Appendix_ref"/>
    <w:basedOn w:val="Annexref"/>
    <w:next w:val="Appendixtitle"/>
    <w:rsid w:val="00813E5E"/>
  </w:style>
  <w:style w:type="paragraph" w:customStyle="1" w:styleId="Call">
    <w:name w:val="Call"/>
    <w:basedOn w:val="Normal"/>
    <w:next w:val="Normal"/>
    <w:rsid w:val="00813E5E"/>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rsid w:val="00DF0189"/>
    <w:pPr>
      <w:framePr w:wrap="around" w:vAnchor="margin" w:hAnchor="text"/>
      <w:spacing w:before="120" w:after="160"/>
    </w:pPr>
  </w:style>
  <w:style w:type="paragraph" w:customStyle="1" w:styleId="Figure">
    <w:name w:val="Figure"/>
    <w:basedOn w:val="Normal"/>
    <w:next w:val="Figuretitle"/>
    <w:rsid w:val="00C922C7"/>
    <w:pPr>
      <w:spacing w:after="240"/>
      <w:jc w:val="center"/>
    </w:pPr>
  </w:style>
  <w:style w:type="paragraph" w:customStyle="1" w:styleId="Figuretitle">
    <w:name w:val="Figure_title"/>
    <w:basedOn w:val="Tabletitle"/>
    <w:next w:val="Normalaftertitle"/>
    <w:rsid w:val="00C922C7"/>
  </w:style>
  <w:style w:type="paragraph" w:customStyle="1" w:styleId="Tabletitle">
    <w:name w:val="Table_title"/>
    <w:basedOn w:val="TableNo"/>
    <w:next w:val="Tabletext"/>
    <w:rsid w:val="00961860"/>
    <w:pPr>
      <w:tabs>
        <w:tab w:val="clear" w:pos="567"/>
        <w:tab w:val="clear" w:pos="1134"/>
        <w:tab w:val="clear" w:pos="1701"/>
        <w:tab w:val="clear" w:pos="2268"/>
        <w:tab w:val="clear" w:pos="2835"/>
        <w:tab w:val="left" w:pos="2948"/>
        <w:tab w:val="left" w:pos="4082"/>
      </w:tabs>
      <w:spacing w:before="120" w:after="120"/>
    </w:pPr>
    <w:rPr>
      <w:b/>
      <w:caps w:val="0"/>
    </w:rPr>
  </w:style>
  <w:style w:type="paragraph" w:customStyle="1" w:styleId="TableNo">
    <w:name w:val="Table_No"/>
    <w:basedOn w:val="Normal"/>
    <w:next w:val="Tabletitle"/>
    <w:rsid w:val="00C922C7"/>
    <w:pPr>
      <w:keepNext/>
      <w:keepLines/>
      <w:spacing w:before="480"/>
      <w:jc w:val="center"/>
    </w:pPr>
    <w:rPr>
      <w:caps/>
    </w:rPr>
  </w:style>
  <w:style w:type="paragraph" w:customStyle="1" w:styleId="Tabletext">
    <w:name w:val="Table_text"/>
    <w:basedOn w:val="Normal"/>
    <w:rsid w:val="00961860"/>
    <w:pPr>
      <w:tabs>
        <w:tab w:val="clear" w:pos="1134"/>
        <w:tab w:val="clear" w:pos="1701"/>
        <w:tab w:val="clear" w:pos="2268"/>
        <w:tab w:val="clear" w:pos="2835"/>
        <w:tab w:val="left" w:pos="284"/>
        <w:tab w:val="left" w:pos="851"/>
      </w:tabs>
      <w:spacing w:before="40" w:after="40"/>
    </w:pPr>
    <w:rPr>
      <w:sz w:val="22"/>
    </w:rPr>
  </w:style>
  <w:style w:type="paragraph" w:customStyle="1" w:styleId="Figurelegend">
    <w:name w:val="Figure_legend"/>
    <w:basedOn w:val="Normal"/>
    <w:rsid w:val="004D1851"/>
    <w:pPr>
      <w:keepNext/>
      <w:keepLines/>
      <w:spacing w:before="20" w:after="20"/>
    </w:pPr>
    <w:rPr>
      <w:sz w:val="18"/>
    </w:rPr>
  </w:style>
  <w:style w:type="paragraph" w:customStyle="1" w:styleId="FigureNo">
    <w:name w:val="Figure_No"/>
    <w:basedOn w:val="Normal"/>
    <w:next w:val="Figuretitle"/>
    <w:rsid w:val="00C922C7"/>
    <w:pPr>
      <w:keepNext/>
      <w:keepLines/>
      <w:spacing w:before="480"/>
      <w:jc w:val="center"/>
    </w:pPr>
    <w:rPr>
      <w:caps/>
    </w:rPr>
  </w:style>
  <w:style w:type="paragraph" w:customStyle="1" w:styleId="Figurewithouttitle">
    <w:name w:val="Figure_without_title"/>
    <w:basedOn w:val="Figure"/>
    <w:next w:val="Normalaftertitle"/>
    <w:rsid w:val="004D1851"/>
  </w:style>
  <w:style w:type="paragraph" w:customStyle="1" w:styleId="Headingi">
    <w:name w:val="Heading_i"/>
    <w:basedOn w:val="Heading3"/>
    <w:next w:val="Normal"/>
    <w:rsid w:val="00813E5E"/>
    <w:pPr>
      <w:spacing w:before="16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961860"/>
    <w:pPr>
      <w:spacing w:before="80" w:after="80"/>
      <w:jc w:val="center"/>
    </w:pPr>
    <w:rPr>
      <w:b/>
    </w:rPr>
  </w:style>
  <w:style w:type="paragraph" w:customStyle="1" w:styleId="Tablelegend">
    <w:name w:val="Table_legend"/>
    <w:basedOn w:val="Tabletext"/>
    <w:rsid w:val="00961860"/>
    <w:rPr>
      <w:sz w:val="20"/>
    </w:r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rsid w:val="00813E5E"/>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813E5E"/>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813E5E"/>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813E5E"/>
  </w:style>
  <w:style w:type="paragraph" w:customStyle="1" w:styleId="Chaptitle">
    <w:name w:val="Chap_title"/>
    <w:basedOn w:val="Arttitle"/>
    <w:next w:val="Normal"/>
    <w:rsid w:val="00813E5E"/>
  </w:style>
  <w:style w:type="character" w:styleId="UnresolvedMention">
    <w:name w:val="Unresolved Mention"/>
    <w:basedOn w:val="DefaultParagraphFont"/>
    <w:uiPriority w:val="99"/>
    <w:semiHidden/>
    <w:unhideWhenUsed/>
    <w:rsid w:val="00806E3C"/>
    <w:rPr>
      <w:color w:val="605E5C"/>
      <w:shd w:val="clear" w:color="auto" w:fill="E1DFDD"/>
    </w:rPr>
  </w:style>
  <w:style w:type="character" w:styleId="PlaceholderText">
    <w:name w:val="Placeholder Text"/>
    <w:basedOn w:val="DefaultParagraphFont"/>
    <w:uiPriority w:val="99"/>
    <w:semiHidden/>
    <w:rsid w:val="00875FD1"/>
    <w:rPr>
      <w:color w:val="666666"/>
    </w:rPr>
  </w:style>
  <w:style w:type="paragraph" w:customStyle="1" w:styleId="Reasons">
    <w:name w:val="Reasons"/>
    <w:basedOn w:val="Normal"/>
    <w:qFormat/>
    <w:rsid w:val="00586214"/>
    <w:pPr>
      <w:tabs>
        <w:tab w:val="clear" w:pos="567"/>
        <w:tab w:val="clear" w:pos="1134"/>
        <w:tab w:val="clear" w:pos="1701"/>
        <w:tab w:val="clear" w:pos="2268"/>
        <w:tab w:val="clear" w:pos="2835"/>
      </w:tabs>
      <w:overflowPunct/>
      <w:autoSpaceDE/>
      <w:autoSpaceDN/>
      <w:adjustRightInd/>
      <w:spacing w:before="0"/>
      <w:textAlignment w:val="auto"/>
    </w:pPr>
    <w:rPr>
      <w:rFonts w:asciiTheme="minorHAnsi" w:hAnsiTheme="minorHAnsi" w:cstheme="minorHAns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dms_pub/itu-s/opb/conf/S-CONF-ACTF-2022-PDF-E.pdf" TargetMode="External"/><Relationship Id="rId13" Type="http://schemas.openxmlformats.org/officeDocument/2006/relationships/hyperlink" Target="https://www.itu.int/md/S25-CWGSFP3-C-0006/en"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itu.int/md/S25-CWGSFP3-C-0004/en" TargetMode="External"/><Relationship Id="rId17" Type="http://schemas.openxmlformats.org/officeDocument/2006/relationships/hyperlink" Target="https://www.itu.int/md/S25-CL-C-0114/en" TargetMode="External"/><Relationship Id="rId2" Type="http://schemas.openxmlformats.org/officeDocument/2006/relationships/numbering" Target="numbering.xml"/><Relationship Id="rId16" Type="http://schemas.openxmlformats.org/officeDocument/2006/relationships/hyperlink" Target="https://www.itu.int/md/S25-CWGSFP3-C-0003/en"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md/S25-CWGSFP3-C-0003/en" TargetMode="External"/><Relationship Id="rId5" Type="http://schemas.openxmlformats.org/officeDocument/2006/relationships/webSettings" Target="webSettings.xml"/><Relationship Id="rId15" Type="http://schemas.openxmlformats.org/officeDocument/2006/relationships/hyperlink" Target="https://www.itu.int/md/S25-CWGSFP3-C-0006/en" TargetMode="External"/><Relationship Id="rId10" Type="http://schemas.openxmlformats.org/officeDocument/2006/relationships/hyperlink" Target="https://www.itu.int/md/S25-CL-C-0114/en"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itu.int/md/S24-CL-C-0139/en" TargetMode="External"/><Relationship Id="rId14" Type="http://schemas.openxmlformats.org/officeDocument/2006/relationships/hyperlink" Target="https://www.itu.int/md/S25-CWGSFP3-C-0007/en"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working-group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02B4DE-FC73-46C6-BFF6-6457901D3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745</Words>
  <Characters>5322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6055</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Contribution by China - Comments on the ITU strategic and financial plans 2028-2031</dc:title>
  <dc:subject>ITU Council Working Group for strategic and financial plans 2028-2031</dc:subject>
  <dc:creator>GBS</dc:creator>
  <cp:keywords>CWG-SFP</cp:keywords>
  <dc:description/>
  <cp:lastModifiedBy>GBS</cp:lastModifiedBy>
  <cp:revision>2</cp:revision>
  <dcterms:created xsi:type="dcterms:W3CDTF">2025-08-26T10:57:00Z</dcterms:created>
  <dcterms:modified xsi:type="dcterms:W3CDTF">2025-08-26T10:57:00Z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51ca6e47695135fe617d7cbf5e52ede5bbca86dc743a373bdb6c804284e448d9</vt:lpwstr>
  </property>
</Properties>
</file>