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551C3C" w14:paraId="3337F0C0" w14:textId="77777777" w:rsidTr="00AD3606">
        <w:trPr>
          <w:cantSplit/>
          <w:trHeight w:val="23"/>
        </w:trPr>
        <w:tc>
          <w:tcPr>
            <w:tcW w:w="3969" w:type="dxa"/>
            <w:vMerge w:val="restart"/>
            <w:tcMar>
              <w:left w:w="0" w:type="dxa"/>
            </w:tcMar>
          </w:tcPr>
          <w:p w14:paraId="21304257"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36DB7FB" w14:textId="715788A8" w:rsidR="00AD3606" w:rsidRPr="00551C3C" w:rsidRDefault="00E85B67" w:rsidP="00472BAD">
            <w:pPr>
              <w:tabs>
                <w:tab w:val="left" w:pos="851"/>
              </w:tabs>
              <w:spacing w:before="0" w:line="240" w:lineRule="atLeast"/>
              <w:jc w:val="right"/>
              <w:rPr>
                <w:b/>
                <w:lang w:val="fr-FR"/>
              </w:rPr>
            </w:pPr>
            <w:r w:rsidRPr="00551C3C">
              <w:rPr>
                <w:b/>
                <w:lang w:val="fr-CH"/>
              </w:rPr>
              <w:t xml:space="preserve">Document </w:t>
            </w:r>
            <w:r w:rsidR="00612123" w:rsidRPr="00551C3C">
              <w:rPr>
                <w:b/>
                <w:lang w:val="fr-CH"/>
              </w:rPr>
              <w:t>CWG-SFP</w:t>
            </w:r>
            <w:r w:rsidR="00524E9C" w:rsidRPr="00551C3C">
              <w:rPr>
                <w:b/>
                <w:lang w:val="fr-CH"/>
              </w:rPr>
              <w:t>-</w:t>
            </w:r>
            <w:r w:rsidR="008E754E" w:rsidRPr="00551C3C">
              <w:rPr>
                <w:b/>
                <w:lang w:val="fr-CH"/>
              </w:rPr>
              <w:t>3</w:t>
            </w:r>
            <w:r w:rsidR="00F66A26" w:rsidRPr="00551C3C">
              <w:rPr>
                <w:b/>
                <w:lang w:val="fr-FR"/>
              </w:rPr>
              <w:t>/</w:t>
            </w:r>
            <w:r w:rsidR="008C0828">
              <w:rPr>
                <w:b/>
                <w:lang w:val="fr-FR"/>
              </w:rPr>
              <w:t>9</w:t>
            </w:r>
          </w:p>
        </w:tc>
      </w:tr>
      <w:tr w:rsidR="00AD3606" w:rsidRPr="00147C54" w14:paraId="163A5246" w14:textId="77777777" w:rsidTr="00AD3606">
        <w:trPr>
          <w:cantSplit/>
        </w:trPr>
        <w:tc>
          <w:tcPr>
            <w:tcW w:w="3969" w:type="dxa"/>
            <w:vMerge/>
          </w:tcPr>
          <w:p w14:paraId="041BC40E"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383CF972" w14:textId="2DCA6F4C" w:rsidR="00AD3606" w:rsidRPr="00147C54" w:rsidRDefault="00DA77FB" w:rsidP="00AD3606">
            <w:pPr>
              <w:tabs>
                <w:tab w:val="left" w:pos="851"/>
              </w:tabs>
              <w:spacing w:before="0"/>
              <w:jc w:val="right"/>
              <w:rPr>
                <w:b/>
              </w:rPr>
            </w:pPr>
            <w:r>
              <w:rPr>
                <w:b/>
              </w:rPr>
              <w:t>22 August 2025</w:t>
            </w:r>
          </w:p>
        </w:tc>
      </w:tr>
      <w:tr w:rsidR="00AD3606" w:rsidRPr="00147C54" w14:paraId="79ABC834" w14:textId="77777777" w:rsidTr="00AD3606">
        <w:trPr>
          <w:cantSplit/>
          <w:trHeight w:val="23"/>
        </w:trPr>
        <w:tc>
          <w:tcPr>
            <w:tcW w:w="3969" w:type="dxa"/>
            <w:vMerge/>
          </w:tcPr>
          <w:p w14:paraId="56730253"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152CFB27"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74F5D65" w14:textId="77777777" w:rsidTr="00AD3606">
        <w:trPr>
          <w:cantSplit/>
          <w:trHeight w:val="23"/>
        </w:trPr>
        <w:tc>
          <w:tcPr>
            <w:tcW w:w="3969" w:type="dxa"/>
          </w:tcPr>
          <w:p w14:paraId="4E2C6634" w14:textId="77777777" w:rsidR="00472BAD" w:rsidRPr="00147C54" w:rsidRDefault="00472BAD" w:rsidP="00AD3606">
            <w:pPr>
              <w:tabs>
                <w:tab w:val="left" w:pos="851"/>
              </w:tabs>
              <w:spacing w:line="240" w:lineRule="atLeast"/>
              <w:rPr>
                <w:b/>
              </w:rPr>
            </w:pPr>
          </w:p>
        </w:tc>
        <w:tc>
          <w:tcPr>
            <w:tcW w:w="5245" w:type="dxa"/>
          </w:tcPr>
          <w:p w14:paraId="1859C7B6" w14:textId="77777777" w:rsidR="00472BAD" w:rsidRPr="00147C54" w:rsidRDefault="00472BAD" w:rsidP="00AD3606">
            <w:pPr>
              <w:tabs>
                <w:tab w:val="left" w:pos="851"/>
              </w:tabs>
              <w:spacing w:before="0" w:line="240" w:lineRule="atLeast"/>
              <w:jc w:val="right"/>
              <w:rPr>
                <w:b/>
              </w:rPr>
            </w:pPr>
          </w:p>
        </w:tc>
      </w:tr>
      <w:tr w:rsidR="00AD3606" w:rsidRPr="00147C54" w14:paraId="13288A08" w14:textId="77777777" w:rsidTr="00AD3606">
        <w:trPr>
          <w:cantSplit/>
        </w:trPr>
        <w:tc>
          <w:tcPr>
            <w:tcW w:w="9214" w:type="dxa"/>
            <w:gridSpan w:val="2"/>
            <w:tcMar>
              <w:left w:w="0" w:type="dxa"/>
            </w:tcMar>
          </w:tcPr>
          <w:p w14:paraId="4ABEC215" w14:textId="19A9FADF" w:rsidR="00AD3606" w:rsidRPr="00147C54" w:rsidRDefault="00006DB2" w:rsidP="00C00DA7">
            <w:pPr>
              <w:pStyle w:val="Source"/>
              <w:framePr w:hSpace="0" w:wrap="auto" w:vAnchor="margin" w:hAnchor="text" w:xAlign="left" w:yAlign="inline"/>
            </w:pPr>
            <w:bookmarkStart w:id="8" w:name="dsource" w:colFirst="0" w:colLast="0"/>
            <w:bookmarkEnd w:id="7"/>
            <w:r w:rsidRPr="00551C3C">
              <w:t>Contribution</w:t>
            </w:r>
            <w:r w:rsidRPr="005E413D">
              <w:t xml:space="preserve"> </w:t>
            </w:r>
            <w:r>
              <w:t>by</w:t>
            </w:r>
            <w:r w:rsidRPr="005E413D">
              <w:t xml:space="preserve"> </w:t>
            </w:r>
            <w:r w:rsidR="002B7117" w:rsidRPr="002B7117">
              <w:t>Australia</w:t>
            </w:r>
            <w:r w:rsidR="00DA77FB">
              <w:t xml:space="preserve">, </w:t>
            </w:r>
            <w:r w:rsidR="009C4AE5">
              <w:t>Bulgaria (</w:t>
            </w:r>
            <w:r w:rsidR="0046384B">
              <w:t>Republic of</w:t>
            </w:r>
            <w:r w:rsidR="009C4AE5">
              <w:t>)</w:t>
            </w:r>
            <w:r w:rsidR="002B7117">
              <w:t xml:space="preserve">, </w:t>
            </w:r>
            <w:r w:rsidR="002B7117" w:rsidRPr="002B7117">
              <w:t>Canada</w:t>
            </w:r>
            <w:r w:rsidR="00C00DA7">
              <w:t xml:space="preserve">, </w:t>
            </w:r>
            <w:r w:rsidR="00C00DA7" w:rsidRPr="00C00DA7">
              <w:t>Czech Republic</w:t>
            </w:r>
            <w:r w:rsidR="00FC71DC">
              <w:t xml:space="preserve">, </w:t>
            </w:r>
            <w:r w:rsidR="009C4AE5">
              <w:t>Denmark</w:t>
            </w:r>
            <w:r w:rsidR="001E35C0">
              <w:t xml:space="preserve">, </w:t>
            </w:r>
            <w:r w:rsidR="00DA77FB">
              <w:t>France,</w:t>
            </w:r>
            <w:r w:rsidR="001E35C0">
              <w:t xml:space="preserve"> </w:t>
            </w:r>
            <w:r w:rsidR="00446F1C">
              <w:t xml:space="preserve">Greece, </w:t>
            </w:r>
            <w:r w:rsidR="001E35C0">
              <w:t>and Romania</w:t>
            </w:r>
          </w:p>
        </w:tc>
      </w:tr>
      <w:tr w:rsidR="00AD3606" w:rsidRPr="00147C54" w14:paraId="6D9AEDED" w14:textId="77777777" w:rsidTr="00AD3606">
        <w:trPr>
          <w:cantSplit/>
        </w:trPr>
        <w:tc>
          <w:tcPr>
            <w:tcW w:w="9214" w:type="dxa"/>
            <w:gridSpan w:val="2"/>
            <w:tcMar>
              <w:left w:w="0" w:type="dxa"/>
            </w:tcMar>
          </w:tcPr>
          <w:p w14:paraId="154405B0" w14:textId="43F54D65" w:rsidR="00AD3606" w:rsidRPr="00147C54" w:rsidRDefault="00DA77FB" w:rsidP="00551C3C">
            <w:pPr>
              <w:pStyle w:val="Subtitle"/>
              <w:framePr w:hSpace="0" w:wrap="auto" w:xAlign="left" w:yAlign="inline"/>
            </w:pPr>
            <w:bookmarkStart w:id="9" w:name="dtitle1" w:colFirst="0" w:colLast="0"/>
            <w:bookmarkEnd w:id="8"/>
            <w:r w:rsidRPr="00CA378A">
              <w:t xml:space="preserve">REQUEST </w:t>
            </w:r>
            <w:r>
              <w:t xml:space="preserve">TO </w:t>
            </w:r>
            <w:r w:rsidRPr="00CA378A">
              <w:t xml:space="preserve">THE SECRETARIAT TO PROVIDE DETAILED INFORMATION </w:t>
            </w:r>
            <w:r w:rsidRPr="00DA77FB">
              <w:rPr>
                <w:spacing w:val="-2"/>
              </w:rPr>
              <w:t>ON THE RESOURCES FOR THE ACTIVITIES OF THE GENERAL SECRETARIAT</w:t>
            </w:r>
            <w:r w:rsidRPr="00CA378A">
              <w:t xml:space="preserve"> AND THE THREE </w:t>
            </w:r>
            <w:r>
              <w:t>S</w:t>
            </w:r>
            <w:r w:rsidRPr="00CA378A">
              <w:t>ECTORS RELATED TO</w:t>
            </w:r>
            <w:r>
              <w:t xml:space="preserve"> IMPLEMENTING RESOLUTIONS ON SIMILAR TOPICS</w:t>
            </w:r>
          </w:p>
        </w:tc>
      </w:tr>
      <w:tr w:rsidR="00AD3606" w:rsidRPr="00147C54" w14:paraId="2C39B5D8" w14:textId="77777777" w:rsidTr="00AD3606">
        <w:trPr>
          <w:cantSplit/>
        </w:trPr>
        <w:tc>
          <w:tcPr>
            <w:tcW w:w="9214" w:type="dxa"/>
            <w:gridSpan w:val="2"/>
            <w:tcBorders>
              <w:top w:val="single" w:sz="4" w:space="0" w:color="auto"/>
              <w:bottom w:val="single" w:sz="4" w:space="0" w:color="auto"/>
            </w:tcBorders>
            <w:tcMar>
              <w:left w:w="0" w:type="dxa"/>
            </w:tcMar>
          </w:tcPr>
          <w:p w14:paraId="6BA697C1" w14:textId="074ABE86" w:rsidR="00AD3606" w:rsidRDefault="00F16BAB" w:rsidP="00551C3C">
            <w:pPr>
              <w:spacing w:before="160"/>
              <w:jc w:val="both"/>
              <w:rPr>
                <w:b/>
                <w:bCs/>
                <w:sz w:val="26"/>
                <w:szCs w:val="26"/>
              </w:rPr>
            </w:pPr>
            <w:r w:rsidRPr="00147C54">
              <w:rPr>
                <w:b/>
                <w:bCs/>
                <w:sz w:val="26"/>
                <w:szCs w:val="26"/>
              </w:rPr>
              <w:t>Purpose</w:t>
            </w:r>
          </w:p>
          <w:p w14:paraId="597BE0F6" w14:textId="731BB86E" w:rsidR="0046384B" w:rsidRPr="0046384B" w:rsidRDefault="0046384B" w:rsidP="00551C3C">
            <w:pPr>
              <w:spacing w:before="160"/>
              <w:jc w:val="both"/>
              <w:rPr>
                <w:bCs/>
                <w:sz w:val="26"/>
                <w:szCs w:val="26"/>
              </w:rPr>
            </w:pPr>
            <w:r w:rsidRPr="0046384B">
              <w:rPr>
                <w:bCs/>
                <w:szCs w:val="24"/>
              </w:rPr>
              <w:t xml:space="preserve">This contribution invites the Council Working Group on Strategic and Financial Plans </w:t>
            </w:r>
            <w:r>
              <w:rPr>
                <w:bCs/>
                <w:szCs w:val="24"/>
              </w:rPr>
              <w:t xml:space="preserve">2028-2031 </w:t>
            </w:r>
            <w:r w:rsidRPr="0046384B">
              <w:rPr>
                <w:bCs/>
                <w:szCs w:val="24"/>
              </w:rPr>
              <w:t xml:space="preserve">to </w:t>
            </w:r>
            <w:r>
              <w:rPr>
                <w:bCs/>
                <w:szCs w:val="24"/>
              </w:rPr>
              <w:t xml:space="preserve">request the Secretariat to provide detailed information on the resources – currently provided and those deemed necessary – </w:t>
            </w:r>
            <w:r w:rsidR="00CA378A">
              <w:rPr>
                <w:bCs/>
                <w:szCs w:val="24"/>
              </w:rPr>
              <w:t>for</w:t>
            </w:r>
            <w:r>
              <w:rPr>
                <w:bCs/>
                <w:szCs w:val="24"/>
              </w:rPr>
              <w:t xml:space="preserve"> the activities of the General Secretariat and the three </w:t>
            </w:r>
            <w:r w:rsidR="00DA77FB">
              <w:rPr>
                <w:bCs/>
                <w:szCs w:val="24"/>
              </w:rPr>
              <w:t>S</w:t>
            </w:r>
            <w:r>
              <w:rPr>
                <w:bCs/>
                <w:szCs w:val="24"/>
              </w:rPr>
              <w:t xml:space="preserve">ectors related to PP resolutions and </w:t>
            </w:r>
            <w:r w:rsidRPr="0046384B">
              <w:rPr>
                <w:bCs/>
                <w:szCs w:val="24"/>
              </w:rPr>
              <w:t xml:space="preserve">sectoral resolutions </w:t>
            </w:r>
            <w:r>
              <w:rPr>
                <w:bCs/>
                <w:szCs w:val="24"/>
              </w:rPr>
              <w:t>on</w:t>
            </w:r>
            <w:r w:rsidRPr="0046384B">
              <w:rPr>
                <w:bCs/>
                <w:szCs w:val="24"/>
              </w:rPr>
              <w:t xml:space="preserve"> similar</w:t>
            </w:r>
            <w:r>
              <w:rPr>
                <w:bCs/>
                <w:szCs w:val="24"/>
              </w:rPr>
              <w:t xml:space="preserve"> topics</w:t>
            </w:r>
            <w:r w:rsidRPr="0046384B">
              <w:rPr>
                <w:bCs/>
                <w:sz w:val="26"/>
                <w:szCs w:val="26"/>
              </w:rPr>
              <w:t>.</w:t>
            </w:r>
          </w:p>
          <w:p w14:paraId="5AE32B5E" w14:textId="77777777" w:rsidR="00AD3606" w:rsidRPr="00147C54" w:rsidRDefault="00AD3606" w:rsidP="00551C3C">
            <w:pPr>
              <w:spacing w:before="160"/>
              <w:jc w:val="both"/>
              <w:rPr>
                <w:b/>
                <w:bCs/>
                <w:sz w:val="26"/>
                <w:szCs w:val="26"/>
              </w:rPr>
            </w:pPr>
            <w:r w:rsidRPr="00147C54">
              <w:rPr>
                <w:b/>
                <w:bCs/>
                <w:sz w:val="26"/>
                <w:szCs w:val="26"/>
              </w:rPr>
              <w:t>Action required</w:t>
            </w:r>
          </w:p>
          <w:p w14:paraId="580390EF" w14:textId="2C4CF0A3" w:rsidR="00B82C1B" w:rsidRDefault="00006DB2" w:rsidP="00551C3C">
            <w:pPr>
              <w:spacing w:before="160"/>
              <w:jc w:val="both"/>
            </w:pPr>
            <w:r>
              <w:t>The</w:t>
            </w:r>
            <w:r w:rsidRPr="00273D16">
              <w:t xml:space="preserve"> Council Working Group </w:t>
            </w:r>
            <w:r>
              <w:t xml:space="preserve">for strategic and financial plans 2028-2031 is invited </w:t>
            </w:r>
            <w:r w:rsidRPr="0046384B">
              <w:t xml:space="preserve">to </w:t>
            </w:r>
            <w:r w:rsidRPr="0046384B">
              <w:rPr>
                <w:b/>
                <w:bCs/>
              </w:rPr>
              <w:t>consider</w:t>
            </w:r>
            <w:r w:rsidRPr="0046384B">
              <w:t xml:space="preserve"> this document.</w:t>
            </w:r>
          </w:p>
          <w:p w14:paraId="1BDC0E39" w14:textId="77777777" w:rsidR="00AD3606" w:rsidRPr="00CD3C91" w:rsidRDefault="00CD3C91" w:rsidP="00551C3C">
            <w:pPr>
              <w:jc w:val="both"/>
            </w:pPr>
            <w:r>
              <w:t>_______________</w:t>
            </w:r>
          </w:p>
          <w:p w14:paraId="5251784F" w14:textId="77777777" w:rsidR="00AD3606" w:rsidRDefault="00AD3606" w:rsidP="00551C3C">
            <w:pPr>
              <w:spacing w:before="160"/>
              <w:jc w:val="both"/>
              <w:rPr>
                <w:b/>
                <w:bCs/>
                <w:sz w:val="26"/>
                <w:szCs w:val="26"/>
              </w:rPr>
            </w:pPr>
            <w:r w:rsidRPr="00147C54">
              <w:rPr>
                <w:b/>
                <w:bCs/>
                <w:sz w:val="26"/>
                <w:szCs w:val="26"/>
              </w:rPr>
              <w:t>References</w:t>
            </w:r>
            <w:r w:rsidR="00301AEE">
              <w:rPr>
                <w:b/>
                <w:bCs/>
                <w:sz w:val="26"/>
                <w:szCs w:val="26"/>
              </w:rPr>
              <w:t xml:space="preserve"> </w:t>
            </w:r>
          </w:p>
          <w:p w14:paraId="623BD3D0" w14:textId="7EB3E3D6" w:rsidR="0046384B" w:rsidRPr="00524E9C" w:rsidRDefault="0046384B" w:rsidP="00DA77FB">
            <w:pPr>
              <w:spacing w:before="160" w:after="120"/>
              <w:jc w:val="both"/>
              <w:rPr>
                <w:i/>
                <w:iCs/>
                <w:sz w:val="22"/>
                <w:szCs w:val="22"/>
              </w:rPr>
            </w:pPr>
            <w:hyperlink r:id="rId11" w:history="1">
              <w:r w:rsidRPr="00DA77FB">
                <w:rPr>
                  <w:rStyle w:val="Hyperlink"/>
                  <w:i/>
                  <w:iCs/>
                  <w:sz w:val="22"/>
                  <w:szCs w:val="22"/>
                </w:rPr>
                <w:t>Council Resolution 1428 (C24)</w:t>
              </w:r>
            </w:hyperlink>
            <w:r>
              <w:rPr>
                <w:i/>
                <w:iCs/>
                <w:sz w:val="22"/>
                <w:szCs w:val="22"/>
              </w:rPr>
              <w:t>;</w:t>
            </w:r>
            <w:r w:rsidRPr="0046384B">
              <w:rPr>
                <w:i/>
                <w:iCs/>
                <w:sz w:val="22"/>
                <w:szCs w:val="22"/>
              </w:rPr>
              <w:t xml:space="preserve"> </w:t>
            </w:r>
            <w:hyperlink r:id="rId12" w:history="1">
              <w:r w:rsidRPr="00DA77FB">
                <w:rPr>
                  <w:rStyle w:val="Hyperlink"/>
                  <w:i/>
                  <w:iCs/>
                  <w:sz w:val="22"/>
                  <w:szCs w:val="22"/>
                </w:rPr>
                <w:t>Document C25/27</w:t>
              </w:r>
            </w:hyperlink>
            <w:r w:rsidRPr="0046384B">
              <w:rPr>
                <w:i/>
                <w:iCs/>
                <w:sz w:val="22"/>
                <w:szCs w:val="22"/>
              </w:rPr>
              <w:t xml:space="preserve">; </w:t>
            </w:r>
            <w:hyperlink r:id="rId13" w:history="1">
              <w:r w:rsidRPr="00DA77FB">
                <w:rPr>
                  <w:rStyle w:val="Hyperlink"/>
                  <w:i/>
                  <w:iCs/>
                  <w:sz w:val="22"/>
                  <w:szCs w:val="22"/>
                </w:rPr>
                <w:t>ISCG mapping table of resolutions of PP, RA &amp; WRC, WTSA and WTDC</w:t>
              </w:r>
            </w:hyperlink>
            <w:r>
              <w:rPr>
                <w:i/>
                <w:iCs/>
                <w:sz w:val="22"/>
                <w:szCs w:val="22"/>
              </w:rPr>
              <w:t>;</w:t>
            </w:r>
            <w:r w:rsidRPr="0046384B">
              <w:rPr>
                <w:i/>
                <w:iCs/>
                <w:sz w:val="22"/>
                <w:szCs w:val="22"/>
              </w:rPr>
              <w:t xml:space="preserve"> Intersectoral Coordination: Secretariat's Focal Points</w:t>
            </w:r>
          </w:p>
        </w:tc>
      </w:tr>
    </w:tbl>
    <w:p w14:paraId="3D01ECCC" w14:textId="77777777" w:rsidR="00E227F3" w:rsidRPr="00147C54" w:rsidRDefault="00E227F3" w:rsidP="00551C3C">
      <w:pPr>
        <w:tabs>
          <w:tab w:val="clear" w:pos="567"/>
          <w:tab w:val="clear" w:pos="1134"/>
          <w:tab w:val="clear" w:pos="1701"/>
          <w:tab w:val="clear" w:pos="2268"/>
          <w:tab w:val="clear" w:pos="2835"/>
        </w:tabs>
        <w:overflowPunct/>
        <w:autoSpaceDE/>
        <w:autoSpaceDN/>
        <w:adjustRightInd/>
        <w:spacing w:before="0"/>
        <w:jc w:val="both"/>
        <w:textAlignment w:val="auto"/>
      </w:pPr>
      <w:bookmarkStart w:id="10" w:name="_Hlk133421428"/>
      <w:bookmarkEnd w:id="2"/>
      <w:bookmarkEnd w:id="9"/>
    </w:p>
    <w:bookmarkEnd w:id="3"/>
    <w:bookmarkEnd w:id="4"/>
    <w:p w14:paraId="0DE612F9"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4E728B29" w14:textId="27896087" w:rsidR="00A514A4" w:rsidRPr="0046384B" w:rsidRDefault="0046384B" w:rsidP="004B51C8">
      <w:pPr>
        <w:rPr>
          <w:b/>
          <w:i/>
          <w:iCs/>
        </w:rPr>
      </w:pPr>
      <w:r w:rsidRPr="0046384B">
        <w:rPr>
          <w:b/>
          <w:i/>
          <w:iCs/>
        </w:rPr>
        <w:lastRenderedPageBreak/>
        <w:t>Introduction</w:t>
      </w:r>
    </w:p>
    <w:p w14:paraId="4B4E13FD" w14:textId="77777777" w:rsidR="00A00D3D" w:rsidRPr="00A00D3D" w:rsidRDefault="00A00D3D" w:rsidP="00A00D3D">
      <w:pPr>
        <w:jc w:val="both"/>
        <w:rPr>
          <w:iCs/>
        </w:rPr>
      </w:pPr>
      <w:r w:rsidRPr="00A00D3D">
        <w:rPr>
          <w:iCs/>
        </w:rPr>
        <w:t>Council Resolution 1428 (C24) established the Council Working Group for strategic and financial plans 2028-2031 (CWG-SFP) and defined its terms of reference. One of its tasks is to continue the mapping exercise of resolutions and decisions to harmonize the outcomes of the Plenipotentiary Conference (PP).</w:t>
      </w:r>
    </w:p>
    <w:p w14:paraId="0D61B265" w14:textId="7EB44727" w:rsidR="00A00D3D" w:rsidRPr="00A00D3D" w:rsidRDefault="00A00D3D" w:rsidP="00A00D3D">
      <w:pPr>
        <w:jc w:val="both"/>
        <w:rPr>
          <w:iCs/>
        </w:rPr>
      </w:pPr>
      <w:r w:rsidRPr="00A00D3D">
        <w:rPr>
          <w:iCs/>
        </w:rPr>
        <w:t>The Inter-Sector Coordination Group (ISCG) on issues of mutual interest works to identify subjects common to the three Sectors and mechanisms to enhance cooperation and collaboration in all Sectors on matters of mutual interest, in order to avoid duplication of effort and optimize the use of resources of the Union. One of its areas of interest in that regard is the mapping of resolutions of PP, RA &amp; WRC, WTSA and WTDC on similar topics.</w:t>
      </w:r>
    </w:p>
    <w:p w14:paraId="78058C3A" w14:textId="77777777" w:rsidR="00A00D3D" w:rsidRPr="00A00D3D" w:rsidRDefault="00A00D3D" w:rsidP="00A00D3D">
      <w:pPr>
        <w:jc w:val="both"/>
        <w:rPr>
          <w:iCs/>
        </w:rPr>
      </w:pPr>
      <w:r w:rsidRPr="00A00D3D">
        <w:rPr>
          <w:iCs/>
        </w:rPr>
        <w:t xml:space="preserve">The mapping of resolutions, which illustrates the linkage between resolutions of ITU world conferences and assemblies, is currently available on the Intersectoral Coordination webpage. The ISCG mapping table of resolutions of PP, RA &amp; WRC, WTSA and WTDC gives examples of a number of PP resolutions, having similar sectoral resolutions in all of the three sectors. In addition to that, there is a list of themes calling for intersectoral coordination together with the Focal Points appointed by the Sectors and the General Secretariat published on the webpage. </w:t>
      </w:r>
    </w:p>
    <w:p w14:paraId="5C48EAEA" w14:textId="07E18E7A" w:rsidR="0046384B" w:rsidRPr="00A00D3D" w:rsidRDefault="00A00D3D" w:rsidP="00A00D3D">
      <w:pPr>
        <w:jc w:val="both"/>
        <w:rPr>
          <w:iCs/>
        </w:rPr>
      </w:pPr>
      <w:r w:rsidRPr="00A00D3D">
        <w:rPr>
          <w:iCs/>
        </w:rPr>
        <w:t xml:space="preserve">Many Sectoral resolutions are based on relevant PP resolutions. Large parts of the documents are similar and in many cases, sectorial resolutions contain repetitions and/or detailed operational element(s) of the similar PP resolution on the topic. It </w:t>
      </w:r>
      <w:proofErr w:type="gramStart"/>
      <w:r w:rsidRPr="00A00D3D">
        <w:rPr>
          <w:iCs/>
        </w:rPr>
        <w:t>has to</w:t>
      </w:r>
      <w:proofErr w:type="gramEnd"/>
      <w:r w:rsidRPr="00A00D3D">
        <w:rPr>
          <w:iCs/>
        </w:rPr>
        <w:t xml:space="preserve"> be noted however that the PP resolutions often do not include provisions that reflect details specific for the </w:t>
      </w:r>
      <w:proofErr w:type="gramStart"/>
      <w:r w:rsidRPr="00A00D3D">
        <w:rPr>
          <w:iCs/>
        </w:rPr>
        <w:t>particular ITU</w:t>
      </w:r>
      <w:proofErr w:type="gramEnd"/>
      <w:r w:rsidRPr="00A00D3D">
        <w:rPr>
          <w:iCs/>
        </w:rPr>
        <w:t xml:space="preserve"> Sector.</w:t>
      </w:r>
    </w:p>
    <w:p w14:paraId="6E7FA4F0" w14:textId="4B8C9657" w:rsidR="0046384B" w:rsidRPr="0046384B" w:rsidRDefault="0046384B" w:rsidP="008C0828">
      <w:pPr>
        <w:spacing w:before="240"/>
        <w:rPr>
          <w:b/>
          <w:i/>
          <w:iCs/>
        </w:rPr>
      </w:pPr>
      <w:r w:rsidRPr="0046384B">
        <w:rPr>
          <w:b/>
          <w:i/>
          <w:iCs/>
        </w:rPr>
        <w:t>Proposal</w:t>
      </w:r>
    </w:p>
    <w:p w14:paraId="502760F8" w14:textId="5C0CC45E" w:rsidR="004078B0" w:rsidRPr="00551C3C" w:rsidRDefault="00A00D3D" w:rsidP="006E0FE1">
      <w:pPr>
        <w:pStyle w:val="Reasons"/>
        <w:spacing w:before="120"/>
        <w:jc w:val="both"/>
        <w:rPr>
          <w:rFonts w:ascii="Calibri" w:hAnsi="Calibri" w:cs="Calibri"/>
        </w:rPr>
      </w:pPr>
      <w:r w:rsidRPr="00551C3C">
        <w:rPr>
          <w:rFonts w:ascii="Calibri" w:hAnsi="Calibri" w:cs="Calibri"/>
        </w:rPr>
        <w:t xml:space="preserve">The streamlining of resolutions is </w:t>
      </w:r>
      <w:r w:rsidR="008C0828" w:rsidRPr="00551C3C">
        <w:rPr>
          <w:rFonts w:ascii="Calibri" w:hAnsi="Calibri" w:cs="Calibri"/>
        </w:rPr>
        <w:t xml:space="preserve">Member States </w:t>
      </w:r>
      <w:r w:rsidRPr="00551C3C">
        <w:rPr>
          <w:rFonts w:ascii="Calibri" w:hAnsi="Calibri" w:cs="Calibri"/>
        </w:rPr>
        <w:t xml:space="preserve">driven process and </w:t>
      </w:r>
      <w:r w:rsidR="00C35E95" w:rsidRPr="00551C3C">
        <w:rPr>
          <w:rFonts w:ascii="Calibri" w:hAnsi="Calibri" w:cs="Calibri"/>
        </w:rPr>
        <w:t>is based</w:t>
      </w:r>
      <w:r w:rsidRPr="00551C3C">
        <w:rPr>
          <w:rFonts w:ascii="Calibri" w:hAnsi="Calibri" w:cs="Calibri"/>
        </w:rPr>
        <w:t xml:space="preserve"> on the interest and the contributions of the </w:t>
      </w:r>
      <w:r w:rsidR="008C0828" w:rsidRPr="00551C3C">
        <w:rPr>
          <w:rFonts w:ascii="Calibri" w:hAnsi="Calibri" w:cs="Calibri"/>
        </w:rPr>
        <w:t>Member States</w:t>
      </w:r>
      <w:r w:rsidRPr="00551C3C">
        <w:rPr>
          <w:rFonts w:ascii="Calibri" w:hAnsi="Calibri" w:cs="Calibri"/>
        </w:rPr>
        <w:t>. The aim to enhance the cooperation and collaboration in all Sectors</w:t>
      </w:r>
      <w:r w:rsidR="004078B0" w:rsidRPr="00551C3C">
        <w:rPr>
          <w:rFonts w:ascii="Calibri" w:hAnsi="Calibri" w:cs="Calibri"/>
        </w:rPr>
        <w:t xml:space="preserve"> on matters of mutual interest and </w:t>
      </w:r>
      <w:r w:rsidRPr="00551C3C">
        <w:rPr>
          <w:rFonts w:ascii="Calibri" w:hAnsi="Calibri" w:cs="Calibri"/>
        </w:rPr>
        <w:t xml:space="preserve">to avoid duplication of efforts and optimize the use of resources of the Union, cannot be efficiently achieved without considering the currently invested resources and those deemed necessary for the activities of the General Secretariat and the three </w:t>
      </w:r>
      <w:r w:rsidR="008C0828" w:rsidRPr="00551C3C">
        <w:rPr>
          <w:rFonts w:ascii="Calibri" w:hAnsi="Calibri" w:cs="Calibri"/>
        </w:rPr>
        <w:t>S</w:t>
      </w:r>
      <w:r w:rsidRPr="00551C3C">
        <w:rPr>
          <w:rFonts w:ascii="Calibri" w:hAnsi="Calibri" w:cs="Calibri"/>
        </w:rPr>
        <w:t xml:space="preserve">ectors related to </w:t>
      </w:r>
      <w:r w:rsidR="004078B0" w:rsidRPr="00551C3C">
        <w:rPr>
          <w:rFonts w:ascii="Calibri" w:hAnsi="Calibri" w:cs="Calibri"/>
        </w:rPr>
        <w:t xml:space="preserve">the implementation of </w:t>
      </w:r>
      <w:r w:rsidRPr="00551C3C">
        <w:rPr>
          <w:rFonts w:ascii="Calibri" w:hAnsi="Calibri" w:cs="Calibri"/>
        </w:rPr>
        <w:t xml:space="preserve">PP resolutions and sectoral resolutions on similar topics. </w:t>
      </w:r>
    </w:p>
    <w:p w14:paraId="4060E906" w14:textId="3C33AF48" w:rsidR="00A00D3D" w:rsidRPr="00551C3C" w:rsidRDefault="002200C1" w:rsidP="006E0FE1">
      <w:pPr>
        <w:pStyle w:val="Reasons"/>
        <w:spacing w:before="120"/>
        <w:jc w:val="both"/>
        <w:rPr>
          <w:rFonts w:ascii="Calibri" w:hAnsi="Calibri" w:cs="Calibri"/>
        </w:rPr>
      </w:pPr>
      <w:r w:rsidRPr="00551C3C">
        <w:rPr>
          <w:rFonts w:ascii="Calibri" w:hAnsi="Calibri" w:cs="Calibri"/>
        </w:rPr>
        <w:t xml:space="preserve">The </w:t>
      </w:r>
      <w:r w:rsidR="00C35E95" w:rsidRPr="00551C3C">
        <w:rPr>
          <w:rFonts w:ascii="Calibri" w:hAnsi="Calibri" w:cs="Calibri"/>
        </w:rPr>
        <w:t xml:space="preserve">current </w:t>
      </w:r>
      <w:r w:rsidRPr="00551C3C">
        <w:rPr>
          <w:rFonts w:ascii="Calibri" w:hAnsi="Calibri" w:cs="Calibri"/>
        </w:rPr>
        <w:t xml:space="preserve">streamlining process needs to be supplemented by a review and analysis of </w:t>
      </w:r>
      <w:r w:rsidR="00C35E95" w:rsidRPr="00551C3C">
        <w:rPr>
          <w:rFonts w:ascii="Calibri" w:hAnsi="Calibri" w:cs="Calibri"/>
        </w:rPr>
        <w:t>the</w:t>
      </w:r>
      <w:r w:rsidRPr="00551C3C">
        <w:rPr>
          <w:rFonts w:ascii="Calibri" w:hAnsi="Calibri" w:cs="Calibri"/>
        </w:rPr>
        <w:t xml:space="preserve"> implementation</w:t>
      </w:r>
      <w:r w:rsidR="00C35E95" w:rsidRPr="00551C3C">
        <w:rPr>
          <w:rFonts w:ascii="Calibri" w:hAnsi="Calibri" w:cs="Calibri"/>
        </w:rPr>
        <w:t xml:space="preserve"> of the resolutions</w:t>
      </w:r>
      <w:r w:rsidRPr="00551C3C">
        <w:rPr>
          <w:rFonts w:ascii="Calibri" w:hAnsi="Calibri" w:cs="Calibri"/>
        </w:rPr>
        <w:t xml:space="preserve">, including the human and financial resources allocated to similar activities in the three </w:t>
      </w:r>
      <w:proofErr w:type="spellStart"/>
      <w:r w:rsidRPr="00551C3C">
        <w:rPr>
          <w:rFonts w:ascii="Calibri" w:hAnsi="Calibri" w:cs="Calibri"/>
        </w:rPr>
        <w:t>bureaux</w:t>
      </w:r>
      <w:proofErr w:type="spellEnd"/>
      <w:r w:rsidRPr="00551C3C">
        <w:rPr>
          <w:rFonts w:ascii="Calibri" w:hAnsi="Calibri" w:cs="Calibri"/>
        </w:rPr>
        <w:t xml:space="preserve"> and the General Secretariat. </w:t>
      </w:r>
      <w:r w:rsidR="00A00D3D" w:rsidRPr="00551C3C">
        <w:rPr>
          <w:rFonts w:ascii="Calibri" w:hAnsi="Calibri" w:cs="Calibri"/>
        </w:rPr>
        <w:t>For a meaningful streamlining of the resolutions that would not impact the ongoing sectorial activities but would contribute to avoiding duplication of efforts and optimizing the limited financial and human resources of the Union there is a need for that specific information, which can only be provided by the Secretariat.</w:t>
      </w:r>
    </w:p>
    <w:p w14:paraId="60D8677D" w14:textId="54742DC5" w:rsidR="00A00D3D" w:rsidRPr="00551C3C" w:rsidRDefault="00A00D3D" w:rsidP="006E0FE1">
      <w:pPr>
        <w:pStyle w:val="Reasons"/>
        <w:spacing w:before="120"/>
        <w:jc w:val="both"/>
        <w:rPr>
          <w:rFonts w:ascii="Calibri" w:hAnsi="Calibri" w:cs="Calibri"/>
        </w:rPr>
      </w:pPr>
      <w:r w:rsidRPr="00551C3C">
        <w:rPr>
          <w:rFonts w:ascii="Calibri" w:hAnsi="Calibri" w:cs="Calibri"/>
        </w:rPr>
        <w:t xml:space="preserve">The information would complement the task of the Inter-Sector Coordination Group and </w:t>
      </w:r>
      <w:r w:rsidR="004078B0" w:rsidRPr="00551C3C">
        <w:rPr>
          <w:rFonts w:ascii="Calibri" w:hAnsi="Calibri" w:cs="Calibri"/>
        </w:rPr>
        <w:t xml:space="preserve">would assist </w:t>
      </w:r>
      <w:r w:rsidRPr="00551C3C">
        <w:rPr>
          <w:rFonts w:ascii="Calibri" w:hAnsi="Calibri" w:cs="Calibri"/>
        </w:rPr>
        <w:t xml:space="preserve">the </w:t>
      </w:r>
      <w:r w:rsidR="008C0828" w:rsidRPr="00551C3C">
        <w:rPr>
          <w:rFonts w:ascii="Calibri" w:hAnsi="Calibri" w:cs="Calibri"/>
        </w:rPr>
        <w:t xml:space="preserve">Member States </w:t>
      </w:r>
      <w:r w:rsidRPr="00551C3C">
        <w:rPr>
          <w:rFonts w:ascii="Calibri" w:hAnsi="Calibri" w:cs="Calibri"/>
        </w:rPr>
        <w:t xml:space="preserve">in their preparatory process towards PP-26 and the efforts to harmonize the outcomes of the Plenipotentiary Conference. It would also facilitate the preparations for RA-27, WTSA-28 and WTDC-29, </w:t>
      </w:r>
      <w:proofErr w:type="gramStart"/>
      <w:r w:rsidRPr="00551C3C">
        <w:rPr>
          <w:rFonts w:ascii="Calibri" w:hAnsi="Calibri" w:cs="Calibri"/>
        </w:rPr>
        <w:t>in order to</w:t>
      </w:r>
      <w:proofErr w:type="gramEnd"/>
      <w:r w:rsidRPr="00551C3C">
        <w:rPr>
          <w:rFonts w:ascii="Calibri" w:hAnsi="Calibri" w:cs="Calibri"/>
        </w:rPr>
        <w:t xml:space="preserve"> further streamline PP and Sectoral resolutions.</w:t>
      </w:r>
    </w:p>
    <w:p w14:paraId="65830021" w14:textId="1F9829F9" w:rsidR="002200C1" w:rsidRPr="00551C3C" w:rsidRDefault="00A00D3D" w:rsidP="008C0828">
      <w:pPr>
        <w:pStyle w:val="Reasons"/>
        <w:spacing w:before="120" w:after="120"/>
        <w:jc w:val="both"/>
        <w:rPr>
          <w:rFonts w:ascii="Calibri" w:hAnsi="Calibri" w:cs="Calibri"/>
        </w:rPr>
      </w:pPr>
      <w:r w:rsidRPr="00551C3C">
        <w:rPr>
          <w:rFonts w:ascii="Calibri" w:hAnsi="Calibri" w:cs="Calibri"/>
        </w:rPr>
        <w:lastRenderedPageBreak/>
        <w:t xml:space="preserve">Taking into account the information provided above, the undersigned administration requests the Secretariat </w:t>
      </w:r>
      <w:r w:rsidR="002200C1" w:rsidRPr="00551C3C">
        <w:rPr>
          <w:rFonts w:ascii="Calibri" w:hAnsi="Calibri" w:cs="Calibri"/>
        </w:rPr>
        <w:t>to prepare a review of the existing resolutions and decisions, considering the activities of the</w:t>
      </w:r>
      <w:r w:rsidR="006E0FE1" w:rsidRPr="00551C3C">
        <w:rPr>
          <w:rFonts w:ascii="Calibri" w:hAnsi="Calibri" w:cs="Calibri"/>
        </w:rPr>
        <w:t xml:space="preserve"> General secretariat and the</w:t>
      </w:r>
      <w:r w:rsidR="002200C1" w:rsidRPr="00551C3C">
        <w:rPr>
          <w:rFonts w:ascii="Calibri" w:hAnsi="Calibri" w:cs="Calibri"/>
        </w:rPr>
        <w:t xml:space="preserve"> three </w:t>
      </w:r>
      <w:r w:rsidR="00C35E95" w:rsidRPr="00551C3C">
        <w:rPr>
          <w:rFonts w:ascii="Calibri" w:hAnsi="Calibri" w:cs="Calibri"/>
        </w:rPr>
        <w:t>sectors</w:t>
      </w:r>
      <w:r w:rsidR="00E53461" w:rsidRPr="00551C3C">
        <w:rPr>
          <w:rFonts w:ascii="Calibri" w:hAnsi="Calibri" w:cs="Calibri"/>
        </w:rPr>
        <w:t>,</w:t>
      </w:r>
      <w:r w:rsidR="002200C1" w:rsidRPr="00551C3C">
        <w:rPr>
          <w:rFonts w:ascii="Calibri" w:hAnsi="Calibri" w:cs="Calibri"/>
        </w:rPr>
        <w:t xml:space="preserve"> and focusing on:</w:t>
      </w:r>
    </w:p>
    <w:p w14:paraId="6DA8CEAC" w14:textId="297EFF36" w:rsidR="002200C1" w:rsidRPr="00551C3C" w:rsidRDefault="002200C1" w:rsidP="006E0FE1">
      <w:pPr>
        <w:pStyle w:val="Reasons"/>
        <w:ind w:firstLine="284"/>
        <w:jc w:val="both"/>
        <w:rPr>
          <w:rFonts w:ascii="Calibri" w:hAnsi="Calibri" w:cs="Calibri"/>
        </w:rPr>
      </w:pPr>
      <w:r w:rsidRPr="00551C3C">
        <w:rPr>
          <w:rFonts w:ascii="Calibri" w:hAnsi="Calibri" w:cs="Calibri"/>
        </w:rPr>
        <w:t>-</w:t>
      </w:r>
      <w:r w:rsidRPr="00551C3C">
        <w:rPr>
          <w:rFonts w:ascii="Calibri" w:hAnsi="Calibri" w:cs="Calibri"/>
        </w:rPr>
        <w:tab/>
      </w:r>
      <w:r w:rsidR="00E53461" w:rsidRPr="00551C3C">
        <w:rPr>
          <w:rFonts w:ascii="Calibri" w:hAnsi="Calibri" w:cs="Calibri"/>
        </w:rPr>
        <w:t xml:space="preserve">summarizing </w:t>
      </w:r>
      <w:r w:rsidRPr="00551C3C">
        <w:rPr>
          <w:rFonts w:ascii="Calibri" w:hAnsi="Calibri" w:cs="Calibri"/>
        </w:rPr>
        <w:t>the status of their implementation;</w:t>
      </w:r>
    </w:p>
    <w:p w14:paraId="000D90C7" w14:textId="40F13646" w:rsidR="002200C1" w:rsidRPr="00551C3C" w:rsidRDefault="002200C1" w:rsidP="006E0FE1">
      <w:pPr>
        <w:pStyle w:val="Reasons"/>
        <w:ind w:firstLine="284"/>
        <w:jc w:val="both"/>
        <w:rPr>
          <w:rFonts w:ascii="Calibri" w:hAnsi="Calibri" w:cs="Calibri"/>
        </w:rPr>
      </w:pPr>
      <w:r w:rsidRPr="00551C3C">
        <w:rPr>
          <w:rFonts w:ascii="Calibri" w:hAnsi="Calibri" w:cs="Calibri"/>
        </w:rPr>
        <w:t>-</w:t>
      </w:r>
      <w:r w:rsidRPr="00551C3C">
        <w:rPr>
          <w:rFonts w:ascii="Calibri" w:hAnsi="Calibri" w:cs="Calibri"/>
        </w:rPr>
        <w:tab/>
      </w:r>
      <w:r w:rsidR="00E53461" w:rsidRPr="00551C3C">
        <w:rPr>
          <w:rFonts w:ascii="Calibri" w:hAnsi="Calibri" w:cs="Calibri"/>
        </w:rPr>
        <w:t xml:space="preserve">detailing </w:t>
      </w:r>
      <w:r w:rsidRPr="00551C3C">
        <w:rPr>
          <w:rFonts w:ascii="Calibri" w:hAnsi="Calibri" w:cs="Calibri"/>
        </w:rPr>
        <w:t>the allocated financial resources;</w:t>
      </w:r>
    </w:p>
    <w:p w14:paraId="2377D22D" w14:textId="1399D357" w:rsidR="002200C1" w:rsidRPr="00551C3C" w:rsidRDefault="002200C1" w:rsidP="006E0FE1">
      <w:pPr>
        <w:pStyle w:val="Reasons"/>
        <w:ind w:firstLine="284"/>
        <w:jc w:val="both"/>
        <w:rPr>
          <w:rFonts w:ascii="Calibri" w:hAnsi="Calibri" w:cs="Calibri"/>
        </w:rPr>
      </w:pPr>
      <w:r w:rsidRPr="00551C3C">
        <w:rPr>
          <w:rFonts w:ascii="Calibri" w:hAnsi="Calibri" w:cs="Calibri"/>
        </w:rPr>
        <w:t>-</w:t>
      </w:r>
      <w:r w:rsidRPr="00551C3C">
        <w:rPr>
          <w:rFonts w:ascii="Calibri" w:hAnsi="Calibri" w:cs="Calibri"/>
        </w:rPr>
        <w:tab/>
      </w:r>
      <w:r w:rsidR="00E53461" w:rsidRPr="00551C3C">
        <w:rPr>
          <w:rFonts w:ascii="Calibri" w:hAnsi="Calibri" w:cs="Calibri"/>
        </w:rPr>
        <w:t xml:space="preserve">detailing </w:t>
      </w:r>
      <w:r w:rsidRPr="00551C3C">
        <w:rPr>
          <w:rFonts w:ascii="Calibri" w:hAnsi="Calibri" w:cs="Calibri"/>
        </w:rPr>
        <w:t>the allocated human resources engaged for their implementation;</w:t>
      </w:r>
    </w:p>
    <w:p w14:paraId="658C6336" w14:textId="0971C36F" w:rsidR="002200C1" w:rsidRPr="00551C3C" w:rsidRDefault="002200C1" w:rsidP="008C0828">
      <w:pPr>
        <w:pStyle w:val="Reasons"/>
        <w:ind w:left="709" w:hanging="425"/>
        <w:jc w:val="both"/>
        <w:rPr>
          <w:rFonts w:ascii="Calibri" w:hAnsi="Calibri" w:cs="Calibri"/>
        </w:rPr>
      </w:pPr>
      <w:r w:rsidRPr="00551C3C">
        <w:rPr>
          <w:rFonts w:ascii="Calibri" w:hAnsi="Calibri" w:cs="Calibri"/>
        </w:rPr>
        <w:t>-</w:t>
      </w:r>
      <w:r w:rsidRPr="00551C3C">
        <w:rPr>
          <w:rFonts w:ascii="Calibri" w:hAnsi="Calibri" w:cs="Calibri"/>
        </w:rPr>
        <w:tab/>
        <w:t>identif</w:t>
      </w:r>
      <w:r w:rsidR="00E53461" w:rsidRPr="00551C3C">
        <w:rPr>
          <w:rFonts w:ascii="Calibri" w:hAnsi="Calibri" w:cs="Calibri"/>
        </w:rPr>
        <w:t>ying and detailing</w:t>
      </w:r>
      <w:r w:rsidRPr="00551C3C">
        <w:rPr>
          <w:rFonts w:ascii="Calibri" w:hAnsi="Calibri" w:cs="Calibri"/>
        </w:rPr>
        <w:t xml:space="preserve"> </w:t>
      </w:r>
      <w:r w:rsidR="00E53461" w:rsidRPr="00551C3C">
        <w:rPr>
          <w:rFonts w:ascii="Calibri" w:hAnsi="Calibri" w:cs="Calibri"/>
        </w:rPr>
        <w:t xml:space="preserve">any </w:t>
      </w:r>
      <w:r w:rsidRPr="00551C3C">
        <w:rPr>
          <w:rFonts w:ascii="Calibri" w:hAnsi="Calibri" w:cs="Calibri"/>
        </w:rPr>
        <w:t>duplication of activities</w:t>
      </w:r>
      <w:r w:rsidR="006E0FE1" w:rsidRPr="00551C3C">
        <w:rPr>
          <w:rFonts w:ascii="Calibri" w:hAnsi="Calibri" w:cs="Calibri"/>
        </w:rPr>
        <w:t xml:space="preserve"> among the General Secretariat and the three </w:t>
      </w:r>
      <w:proofErr w:type="gramStart"/>
      <w:r w:rsidR="008C0828" w:rsidRPr="00551C3C">
        <w:rPr>
          <w:rFonts w:ascii="Calibri" w:hAnsi="Calibri" w:cs="Calibri"/>
        </w:rPr>
        <w:t>Sectors</w:t>
      </w:r>
      <w:r w:rsidRPr="00551C3C">
        <w:rPr>
          <w:rFonts w:ascii="Calibri" w:hAnsi="Calibri" w:cs="Calibri"/>
        </w:rPr>
        <w:t>;</w:t>
      </w:r>
      <w:proofErr w:type="gramEnd"/>
    </w:p>
    <w:p w14:paraId="299EE2F2" w14:textId="32E00FF9" w:rsidR="00586214" w:rsidRPr="00551C3C" w:rsidRDefault="002200C1" w:rsidP="008C0828">
      <w:pPr>
        <w:pStyle w:val="Reasons"/>
        <w:ind w:left="709" w:hanging="425"/>
        <w:jc w:val="both"/>
        <w:rPr>
          <w:rFonts w:ascii="Calibri" w:hAnsi="Calibri" w:cs="Calibri"/>
        </w:rPr>
      </w:pPr>
      <w:r w:rsidRPr="00551C3C">
        <w:rPr>
          <w:rFonts w:ascii="Calibri" w:hAnsi="Calibri" w:cs="Calibri"/>
        </w:rPr>
        <w:t>-</w:t>
      </w:r>
      <w:r w:rsidRPr="00551C3C">
        <w:rPr>
          <w:rFonts w:ascii="Calibri" w:hAnsi="Calibri" w:cs="Calibri"/>
        </w:rPr>
        <w:tab/>
      </w:r>
      <w:r w:rsidR="00E53461" w:rsidRPr="00551C3C">
        <w:rPr>
          <w:rFonts w:ascii="Calibri" w:hAnsi="Calibri" w:cs="Calibri"/>
        </w:rPr>
        <w:t xml:space="preserve">identifying and detailing any </w:t>
      </w:r>
      <w:r w:rsidRPr="00551C3C">
        <w:rPr>
          <w:rFonts w:ascii="Calibri" w:hAnsi="Calibri" w:cs="Calibri"/>
        </w:rPr>
        <w:t>divergence in the implementation of similar activities among</w:t>
      </w:r>
      <w:r w:rsidR="00C35E95" w:rsidRPr="00551C3C">
        <w:rPr>
          <w:rFonts w:ascii="Calibri" w:hAnsi="Calibri" w:cs="Calibri"/>
        </w:rPr>
        <w:t xml:space="preserve"> the General Secretariat and</w:t>
      </w:r>
      <w:r w:rsidRPr="00551C3C">
        <w:rPr>
          <w:rFonts w:ascii="Calibri" w:hAnsi="Calibri" w:cs="Calibri"/>
        </w:rPr>
        <w:t xml:space="preserve"> the three </w:t>
      </w:r>
      <w:r w:rsidR="008C0828" w:rsidRPr="00551C3C">
        <w:rPr>
          <w:rFonts w:ascii="Calibri" w:hAnsi="Calibri" w:cs="Calibri"/>
        </w:rPr>
        <w:t>Sectors</w:t>
      </w:r>
      <w:r w:rsidRPr="00551C3C">
        <w:rPr>
          <w:rFonts w:ascii="Calibri" w:hAnsi="Calibri" w:cs="Calibri"/>
        </w:rPr>
        <w:t>.</w:t>
      </w:r>
    </w:p>
    <w:p w14:paraId="52307FAD" w14:textId="448B302D" w:rsidR="00586214" w:rsidRPr="00BB0958" w:rsidRDefault="00586214" w:rsidP="006E0FE1">
      <w:pPr>
        <w:ind w:firstLine="284"/>
        <w:jc w:val="center"/>
        <w:rPr>
          <w:rFonts w:cs="Calibri"/>
        </w:rPr>
      </w:pPr>
      <w:r w:rsidRPr="00BB0958">
        <w:rPr>
          <w:rFonts w:cs="Calibri"/>
        </w:rPr>
        <w:t>______________</w:t>
      </w:r>
    </w:p>
    <w:sectPr w:rsidR="00586214" w:rsidRPr="00BB0958"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ACB9" w14:textId="77777777" w:rsidR="00DA3BDF" w:rsidRDefault="00DA3BDF">
      <w:r>
        <w:separator/>
      </w:r>
    </w:p>
  </w:endnote>
  <w:endnote w:type="continuationSeparator" w:id="0">
    <w:p w14:paraId="1215CDBA" w14:textId="77777777" w:rsidR="00DA3BDF" w:rsidRDefault="00DA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0BF54078" w14:textId="77777777" w:rsidTr="0042469C">
      <w:trPr>
        <w:jc w:val="center"/>
      </w:trPr>
      <w:tc>
        <w:tcPr>
          <w:tcW w:w="1803" w:type="dxa"/>
          <w:vAlign w:val="center"/>
        </w:tcPr>
        <w:p w14:paraId="41765902" w14:textId="77777777" w:rsidR="00EE49E8" w:rsidRDefault="00EE49E8" w:rsidP="00EE49E8">
          <w:pPr>
            <w:pStyle w:val="Header"/>
            <w:jc w:val="left"/>
            <w:rPr>
              <w:noProof/>
            </w:rPr>
          </w:pPr>
        </w:p>
      </w:tc>
      <w:tc>
        <w:tcPr>
          <w:tcW w:w="8261" w:type="dxa"/>
        </w:tcPr>
        <w:p w14:paraId="7441660F" w14:textId="1B634CF8"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B82C1B">
            <w:rPr>
              <w:bCs/>
              <w:lang w:val="es-ES"/>
            </w:rPr>
            <w:t>CWG-SFP</w:t>
          </w:r>
          <w:r w:rsidR="00B82C1B" w:rsidRPr="00870C17">
            <w:rPr>
              <w:bCs/>
              <w:lang w:val="es-ES"/>
            </w:rPr>
            <w:t>-</w:t>
          </w:r>
          <w:r w:rsidR="008E754E">
            <w:rPr>
              <w:bCs/>
              <w:lang w:val="es-ES"/>
            </w:rPr>
            <w:t>3</w:t>
          </w:r>
          <w:r w:rsidR="00B82C1B">
            <w:rPr>
              <w:bCs/>
              <w:lang w:val="es-ES"/>
            </w:rPr>
            <w:t>/</w:t>
          </w:r>
          <w:r w:rsidR="008C0828">
            <w:rPr>
              <w:bCs/>
              <w:lang w:val="es-ES"/>
            </w:rPr>
            <w:t>9</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00551C3C">
            <w:rPr>
              <w:noProof/>
              <w:lang w:val="es-ES"/>
            </w:rPr>
            <w:t>2</w:t>
          </w:r>
          <w:r>
            <w:rPr>
              <w:noProof/>
            </w:rPr>
            <w:fldChar w:fldCharType="end"/>
          </w:r>
        </w:p>
      </w:tc>
    </w:tr>
  </w:tbl>
  <w:p w14:paraId="5AB6E82D"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3DCAF440" w14:textId="77777777" w:rsidTr="00A52C84">
      <w:trPr>
        <w:jc w:val="center"/>
      </w:trPr>
      <w:tc>
        <w:tcPr>
          <w:tcW w:w="3107" w:type="dxa"/>
          <w:vAlign w:val="center"/>
        </w:tcPr>
        <w:p w14:paraId="08202109" w14:textId="708B0218"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53A00ACB" w14:textId="367ED6D0" w:rsidR="00EE49E8" w:rsidRPr="000F6AB8" w:rsidRDefault="00EE49E8" w:rsidP="00B82C1B">
          <w:pPr>
            <w:pStyle w:val="Header"/>
            <w:tabs>
              <w:tab w:val="left" w:pos="5150"/>
              <w:tab w:val="right" w:pos="8505"/>
              <w:tab w:val="right" w:pos="9639"/>
            </w:tabs>
            <w:jc w:val="left"/>
            <w:rPr>
              <w:rFonts w:ascii="Arial" w:hAnsi="Arial" w:cs="Arial"/>
              <w:b/>
              <w:bCs/>
              <w:szCs w:val="18"/>
              <w:lang w:val="es-ES"/>
            </w:rPr>
          </w:pPr>
          <w:r>
            <w:rPr>
              <w:bCs/>
            </w:rPr>
            <w:tab/>
          </w:r>
          <w:r w:rsidR="00B82C1B">
            <w:rPr>
              <w:bCs/>
              <w:lang w:val="es-ES"/>
            </w:rPr>
            <w:t>CWG-SFP</w:t>
          </w:r>
          <w:r w:rsidR="00F73B2C" w:rsidRPr="00870C17">
            <w:rPr>
              <w:bCs/>
              <w:lang w:val="es-ES"/>
            </w:rPr>
            <w:t>-</w:t>
          </w:r>
          <w:r w:rsidR="008E754E">
            <w:rPr>
              <w:bCs/>
              <w:lang w:val="es-ES"/>
            </w:rPr>
            <w:t>3</w:t>
          </w:r>
          <w:r w:rsidR="00205D4E">
            <w:rPr>
              <w:bCs/>
              <w:lang w:val="es-ES"/>
            </w:rPr>
            <w:t>/</w:t>
          </w:r>
          <w:r w:rsidR="008C0828">
            <w:rPr>
              <w:bCs/>
              <w:lang w:val="es-ES"/>
            </w:rPr>
            <w:t>9</w:t>
          </w:r>
          <w:r w:rsidRPr="000F6AB8">
            <w:rPr>
              <w:bCs/>
              <w:lang w:val="es-ES"/>
            </w:rPr>
            <w:t>-E</w:t>
          </w:r>
          <w:r w:rsidRPr="000F6AB8">
            <w:rPr>
              <w:bCs/>
              <w:lang w:val="es-ES"/>
            </w:rPr>
            <w:tab/>
          </w:r>
          <w:r>
            <w:fldChar w:fldCharType="begin"/>
          </w:r>
          <w:r w:rsidRPr="000F6AB8">
            <w:rPr>
              <w:lang w:val="es-ES"/>
            </w:rPr>
            <w:instrText>PAGE</w:instrText>
          </w:r>
          <w:r>
            <w:fldChar w:fldCharType="separate"/>
          </w:r>
          <w:r w:rsidR="00551C3C">
            <w:rPr>
              <w:noProof/>
              <w:lang w:val="es-ES"/>
            </w:rPr>
            <w:t>1</w:t>
          </w:r>
          <w:r>
            <w:rPr>
              <w:noProof/>
            </w:rPr>
            <w:fldChar w:fldCharType="end"/>
          </w:r>
        </w:p>
      </w:tc>
    </w:tr>
  </w:tbl>
  <w:p w14:paraId="2E09014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BBE5" w14:textId="77777777" w:rsidR="00DA3BDF" w:rsidRDefault="00DA3BDF">
      <w:r>
        <w:t>____________________</w:t>
      </w:r>
    </w:p>
  </w:footnote>
  <w:footnote w:type="continuationSeparator" w:id="0">
    <w:p w14:paraId="762BAA4E" w14:textId="77777777" w:rsidR="00DA3BDF" w:rsidRDefault="00DA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B676E3" w:rsidRPr="00784011" w14:paraId="4D3A47B1" w14:textId="77777777" w:rsidTr="002F314B">
      <w:trPr>
        <w:trHeight w:val="1304"/>
        <w:jc w:val="center"/>
      </w:trPr>
      <w:tc>
        <w:tcPr>
          <w:tcW w:w="6546" w:type="dxa"/>
        </w:tcPr>
        <w:p w14:paraId="01988454" w14:textId="77777777" w:rsidR="00B676E3" w:rsidRPr="009621F8" w:rsidRDefault="00B676E3" w:rsidP="00B676E3">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lang w:eastAsia="en-GB"/>
            </w:rPr>
            <mc:AlternateContent>
              <mc:Choice Requires="wps">
                <w:drawing>
                  <wp:anchor distT="0" distB="0" distL="114300" distR="114300" simplePos="0" relativeHeight="251660288" behindDoc="0" locked="0" layoutInCell="1" allowOverlap="1" wp14:anchorId="72850FFC" wp14:editId="75C3212B">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AC48E6C" w14:textId="5AA28D0F" w:rsidR="00B676E3" w:rsidRDefault="00B676E3" w:rsidP="00B676E3">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sidR="008E754E">
                                  <w:rPr>
                                    <w:sz w:val="20"/>
                                  </w:rPr>
                                  <w:t>Third</w:t>
                                </w:r>
                                <w:r>
                                  <w:rPr>
                                    <w:sz w:val="20"/>
                                  </w:rPr>
                                  <w:t xml:space="preserve"> </w:t>
                                </w:r>
                                <w:r w:rsidRPr="00130599">
                                  <w:rPr>
                                    <w:sz w:val="20"/>
                                  </w:rPr>
                                  <w:t xml:space="preserve">meeting </w:t>
                                </w:r>
                                <w:r>
                                  <w:rPr>
                                    <w:sz w:val="20"/>
                                  </w:rPr>
                                  <w:t xml:space="preserve">– </w:t>
                                </w:r>
                                <w:r w:rsidR="00993174" w:rsidRPr="00A23844">
                                  <w:rPr>
                                    <w:sz w:val="20"/>
                                  </w:rPr>
                                  <w:t xml:space="preserve">From 8 to </w:t>
                                </w:r>
                                <w:r w:rsidR="00710C06">
                                  <w:rPr>
                                    <w:sz w:val="20"/>
                                  </w:rPr>
                                  <w:t>10 (a.m.)</w:t>
                                </w:r>
                                <w:r w:rsidR="00993174" w:rsidRPr="00A23844">
                                  <w:rPr>
                                    <w:sz w:val="20"/>
                                  </w:rPr>
                                  <w:t xml:space="preserve">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850FFC" id="_x0000_t202" coordsize="21600,21600" o:spt="202" path="m,l,21600r21600,l21600,xe">
                    <v:stroke joinstyle="miter"/>
                    <v:path gradientshapeok="t" o:connecttype="rect"/>
                  </v:shapetype>
                  <v:shape id="Text Box 2" o:spid="_x0000_s1026" type="#_x0000_t202" style="position:absolute;margin-left:112.5pt;margin-top:.2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1AC48E6C" w14:textId="5AA28D0F" w:rsidR="00B676E3" w:rsidRDefault="00B676E3" w:rsidP="00B676E3">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sidR="008E754E">
                            <w:rPr>
                              <w:sz w:val="20"/>
                            </w:rPr>
                            <w:t>Third</w:t>
                          </w:r>
                          <w:r>
                            <w:rPr>
                              <w:sz w:val="20"/>
                            </w:rPr>
                            <w:t xml:space="preserve"> </w:t>
                          </w:r>
                          <w:r w:rsidRPr="00130599">
                            <w:rPr>
                              <w:sz w:val="20"/>
                            </w:rPr>
                            <w:t xml:space="preserve">meeting </w:t>
                          </w:r>
                          <w:r>
                            <w:rPr>
                              <w:sz w:val="20"/>
                            </w:rPr>
                            <w:t xml:space="preserve">– </w:t>
                          </w:r>
                          <w:r w:rsidR="00993174" w:rsidRPr="00A23844">
                            <w:rPr>
                              <w:sz w:val="20"/>
                            </w:rPr>
                            <w:t xml:space="preserve">From 8 to </w:t>
                          </w:r>
                          <w:r w:rsidR="00710C06">
                            <w:rPr>
                              <w:sz w:val="20"/>
                            </w:rPr>
                            <w:t>10 (a.m.)</w:t>
                          </w:r>
                          <w:r w:rsidR="00993174" w:rsidRPr="00A23844">
                            <w:rPr>
                              <w:sz w:val="20"/>
                            </w:rPr>
                            <w:t xml:space="preserve"> September 2025</w:t>
                          </w:r>
                        </w:p>
                      </w:txbxContent>
                    </v:textbox>
                  </v:shape>
                </w:pict>
              </mc:Fallback>
            </mc:AlternateContent>
          </w:r>
          <w:r>
            <w:rPr>
              <w:rFonts w:ascii="Arial" w:hAnsi="Arial" w:cs="Arial"/>
              <w:b/>
              <w:bCs/>
              <w:noProof/>
              <w:color w:val="009CD6"/>
              <w:sz w:val="36"/>
              <w:szCs w:val="36"/>
              <w:lang w:eastAsia="en-GB"/>
            </w:rPr>
            <w:drawing>
              <wp:inline distT="0" distB="0" distL="0" distR="0" wp14:anchorId="59DC5ABE" wp14:editId="7592090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3193BBE" w14:textId="77777777" w:rsidR="00B676E3" w:rsidRDefault="00B676E3" w:rsidP="00B676E3">
          <w:pPr>
            <w:pStyle w:val="Header"/>
            <w:jc w:val="right"/>
            <w:rPr>
              <w:rFonts w:ascii="Arial" w:hAnsi="Arial" w:cs="Arial"/>
              <w:b/>
              <w:bCs/>
              <w:color w:val="009CD6"/>
              <w:szCs w:val="18"/>
            </w:rPr>
          </w:pPr>
        </w:p>
        <w:p w14:paraId="0A15CED4" w14:textId="77777777" w:rsidR="00B676E3" w:rsidRDefault="00B676E3" w:rsidP="00B676E3">
          <w:pPr>
            <w:pStyle w:val="Header"/>
            <w:jc w:val="right"/>
            <w:rPr>
              <w:rFonts w:ascii="Arial" w:hAnsi="Arial" w:cs="Arial"/>
              <w:b/>
              <w:bCs/>
              <w:color w:val="009CD6"/>
              <w:szCs w:val="18"/>
            </w:rPr>
          </w:pPr>
        </w:p>
        <w:p w14:paraId="01AC620D" w14:textId="77777777" w:rsidR="00B676E3" w:rsidRPr="00784011" w:rsidRDefault="00B676E3" w:rsidP="00B676E3">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01649F6" w14:textId="424112FC" w:rsidR="00AD3606" w:rsidRPr="00B676E3" w:rsidRDefault="00B676E3" w:rsidP="00B676E3">
    <w:pPr>
      <w:pStyle w:val="Header"/>
    </w:pPr>
    <w:r w:rsidRPr="00802C2C">
      <w:rPr>
        <w:rFonts w:ascii="Avenir Nxt2 W1G Medium" w:eastAsia="Avenir Nxt2 W1G Medium" w:hAnsi="Avenir Nxt2 W1G Medium" w:cs="Avenir Nxt2 W1G Medium"/>
        <w:noProof/>
        <w:lang w:eastAsia="en-GB"/>
      </w:rPr>
      <mc:AlternateContent>
        <mc:Choice Requires="wps">
          <w:drawing>
            <wp:anchor distT="0" distB="0" distL="114300" distR="114300" simplePos="0" relativeHeight="251659264" behindDoc="0" locked="0" layoutInCell="1" allowOverlap="1" wp14:anchorId="7E725CB6" wp14:editId="045BB16D">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44C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59698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AA"/>
    <w:rsid w:val="00003A6D"/>
    <w:rsid w:val="000041A9"/>
    <w:rsid w:val="00004C8C"/>
    <w:rsid w:val="00006DB2"/>
    <w:rsid w:val="000120E4"/>
    <w:rsid w:val="00013C9F"/>
    <w:rsid w:val="000210D4"/>
    <w:rsid w:val="00046146"/>
    <w:rsid w:val="000525A1"/>
    <w:rsid w:val="00063016"/>
    <w:rsid w:val="00066795"/>
    <w:rsid w:val="00073434"/>
    <w:rsid w:val="00076AF6"/>
    <w:rsid w:val="000820A8"/>
    <w:rsid w:val="00085CF2"/>
    <w:rsid w:val="00092A1B"/>
    <w:rsid w:val="000A1525"/>
    <w:rsid w:val="000B1705"/>
    <w:rsid w:val="000D75B2"/>
    <w:rsid w:val="000F6AB8"/>
    <w:rsid w:val="001121F5"/>
    <w:rsid w:val="00130599"/>
    <w:rsid w:val="00131E18"/>
    <w:rsid w:val="001400DC"/>
    <w:rsid w:val="00140CE1"/>
    <w:rsid w:val="00147C54"/>
    <w:rsid w:val="0016259B"/>
    <w:rsid w:val="0017390F"/>
    <w:rsid w:val="0017539C"/>
    <w:rsid w:val="00175AC2"/>
    <w:rsid w:val="0017609F"/>
    <w:rsid w:val="001A7D1D"/>
    <w:rsid w:val="001B0595"/>
    <w:rsid w:val="001B51DD"/>
    <w:rsid w:val="001C628E"/>
    <w:rsid w:val="001D62DF"/>
    <w:rsid w:val="001E0F7B"/>
    <w:rsid w:val="001E0FBE"/>
    <w:rsid w:val="001E35C0"/>
    <w:rsid w:val="001E5FE7"/>
    <w:rsid w:val="00201C9B"/>
    <w:rsid w:val="00205D4E"/>
    <w:rsid w:val="002119FD"/>
    <w:rsid w:val="002130E0"/>
    <w:rsid w:val="002200C1"/>
    <w:rsid w:val="00227AAB"/>
    <w:rsid w:val="00244F7F"/>
    <w:rsid w:val="0025570E"/>
    <w:rsid w:val="002608B7"/>
    <w:rsid w:val="00264425"/>
    <w:rsid w:val="00265875"/>
    <w:rsid w:val="0027303B"/>
    <w:rsid w:val="0028109B"/>
    <w:rsid w:val="00297F9C"/>
    <w:rsid w:val="002A2188"/>
    <w:rsid w:val="002B1F58"/>
    <w:rsid w:val="002B7117"/>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2E43"/>
    <w:rsid w:val="003D5A7F"/>
    <w:rsid w:val="003D635C"/>
    <w:rsid w:val="003D71D8"/>
    <w:rsid w:val="004016E2"/>
    <w:rsid w:val="0040435A"/>
    <w:rsid w:val="004078B0"/>
    <w:rsid w:val="00416A24"/>
    <w:rsid w:val="00416A30"/>
    <w:rsid w:val="0042059E"/>
    <w:rsid w:val="00431D9E"/>
    <w:rsid w:val="00433CE8"/>
    <w:rsid w:val="00434A5C"/>
    <w:rsid w:val="00446F1C"/>
    <w:rsid w:val="004544D9"/>
    <w:rsid w:val="0046384B"/>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43FF"/>
    <w:rsid w:val="00524E9C"/>
    <w:rsid w:val="005311D6"/>
    <w:rsid w:val="00536422"/>
    <w:rsid w:val="0054526E"/>
    <w:rsid w:val="00551C3C"/>
    <w:rsid w:val="005536C2"/>
    <w:rsid w:val="00564FBC"/>
    <w:rsid w:val="005800BC"/>
    <w:rsid w:val="00582442"/>
    <w:rsid w:val="00586214"/>
    <w:rsid w:val="005A335D"/>
    <w:rsid w:val="005B0869"/>
    <w:rsid w:val="005C13D4"/>
    <w:rsid w:val="005C77C0"/>
    <w:rsid w:val="005D79AA"/>
    <w:rsid w:val="005E2BD5"/>
    <w:rsid w:val="005E4F47"/>
    <w:rsid w:val="005F3269"/>
    <w:rsid w:val="005F7BEB"/>
    <w:rsid w:val="00612123"/>
    <w:rsid w:val="00615961"/>
    <w:rsid w:val="00623AE3"/>
    <w:rsid w:val="006261F4"/>
    <w:rsid w:val="00634460"/>
    <w:rsid w:val="0064737F"/>
    <w:rsid w:val="006535F1"/>
    <w:rsid w:val="0065557D"/>
    <w:rsid w:val="00657B21"/>
    <w:rsid w:val="00660D50"/>
    <w:rsid w:val="00662984"/>
    <w:rsid w:val="00663050"/>
    <w:rsid w:val="006716BB"/>
    <w:rsid w:val="006973C8"/>
    <w:rsid w:val="006A4862"/>
    <w:rsid w:val="006B1859"/>
    <w:rsid w:val="006B6680"/>
    <w:rsid w:val="006B6DCC"/>
    <w:rsid w:val="006D725C"/>
    <w:rsid w:val="006E0FE1"/>
    <w:rsid w:val="00701C70"/>
    <w:rsid w:val="00702DEF"/>
    <w:rsid w:val="00706861"/>
    <w:rsid w:val="0071000D"/>
    <w:rsid w:val="00710C06"/>
    <w:rsid w:val="007247CF"/>
    <w:rsid w:val="00726B8C"/>
    <w:rsid w:val="00727C44"/>
    <w:rsid w:val="0075051B"/>
    <w:rsid w:val="0077110E"/>
    <w:rsid w:val="00775655"/>
    <w:rsid w:val="00781627"/>
    <w:rsid w:val="00783703"/>
    <w:rsid w:val="007849D5"/>
    <w:rsid w:val="00793188"/>
    <w:rsid w:val="00794D34"/>
    <w:rsid w:val="00806E3C"/>
    <w:rsid w:val="00813E5E"/>
    <w:rsid w:val="00816C2C"/>
    <w:rsid w:val="0083581B"/>
    <w:rsid w:val="00860EED"/>
    <w:rsid w:val="00863874"/>
    <w:rsid w:val="00864AFF"/>
    <w:rsid w:val="00865925"/>
    <w:rsid w:val="00870C17"/>
    <w:rsid w:val="00872B5C"/>
    <w:rsid w:val="00875FD1"/>
    <w:rsid w:val="00877BF2"/>
    <w:rsid w:val="008846B9"/>
    <w:rsid w:val="00884F3A"/>
    <w:rsid w:val="00891503"/>
    <w:rsid w:val="008A2F06"/>
    <w:rsid w:val="008B4A6A"/>
    <w:rsid w:val="008C0828"/>
    <w:rsid w:val="008C7A5B"/>
    <w:rsid w:val="008C7E27"/>
    <w:rsid w:val="008E754E"/>
    <w:rsid w:val="008F3822"/>
    <w:rsid w:val="008F7448"/>
    <w:rsid w:val="0090147A"/>
    <w:rsid w:val="0090389B"/>
    <w:rsid w:val="009173EF"/>
    <w:rsid w:val="00926B90"/>
    <w:rsid w:val="00932906"/>
    <w:rsid w:val="00961860"/>
    <w:rsid w:val="00961B0B"/>
    <w:rsid w:val="00962D33"/>
    <w:rsid w:val="0096457D"/>
    <w:rsid w:val="00993174"/>
    <w:rsid w:val="009B38C3"/>
    <w:rsid w:val="009B44BD"/>
    <w:rsid w:val="009C4AE5"/>
    <w:rsid w:val="009E09F2"/>
    <w:rsid w:val="009E17BD"/>
    <w:rsid w:val="009E485A"/>
    <w:rsid w:val="00A00D3D"/>
    <w:rsid w:val="00A04CEC"/>
    <w:rsid w:val="00A27F92"/>
    <w:rsid w:val="00A32257"/>
    <w:rsid w:val="00A36D20"/>
    <w:rsid w:val="00A43C03"/>
    <w:rsid w:val="00A46CD0"/>
    <w:rsid w:val="00A514A4"/>
    <w:rsid w:val="00A52C84"/>
    <w:rsid w:val="00A55622"/>
    <w:rsid w:val="00A578EB"/>
    <w:rsid w:val="00A83502"/>
    <w:rsid w:val="00AD15B3"/>
    <w:rsid w:val="00AD3606"/>
    <w:rsid w:val="00AD4A3D"/>
    <w:rsid w:val="00AF6E49"/>
    <w:rsid w:val="00B03310"/>
    <w:rsid w:val="00B04A67"/>
    <w:rsid w:val="00B0583C"/>
    <w:rsid w:val="00B13FCE"/>
    <w:rsid w:val="00B248BC"/>
    <w:rsid w:val="00B358B2"/>
    <w:rsid w:val="00B40A81"/>
    <w:rsid w:val="00B44910"/>
    <w:rsid w:val="00B55E89"/>
    <w:rsid w:val="00B676E3"/>
    <w:rsid w:val="00B72267"/>
    <w:rsid w:val="00B73DD1"/>
    <w:rsid w:val="00B76EB6"/>
    <w:rsid w:val="00B7737B"/>
    <w:rsid w:val="00B824C8"/>
    <w:rsid w:val="00B82C1B"/>
    <w:rsid w:val="00B849D3"/>
    <w:rsid w:val="00B84B9D"/>
    <w:rsid w:val="00BA3A51"/>
    <w:rsid w:val="00BA5083"/>
    <w:rsid w:val="00BB0958"/>
    <w:rsid w:val="00BC251A"/>
    <w:rsid w:val="00BD032B"/>
    <w:rsid w:val="00BD0614"/>
    <w:rsid w:val="00BD094B"/>
    <w:rsid w:val="00BE2640"/>
    <w:rsid w:val="00C00DA7"/>
    <w:rsid w:val="00C01189"/>
    <w:rsid w:val="00C35E95"/>
    <w:rsid w:val="00C374DE"/>
    <w:rsid w:val="00C47AD4"/>
    <w:rsid w:val="00C52D81"/>
    <w:rsid w:val="00C55198"/>
    <w:rsid w:val="00C725C6"/>
    <w:rsid w:val="00C922C7"/>
    <w:rsid w:val="00CA378A"/>
    <w:rsid w:val="00CA6393"/>
    <w:rsid w:val="00CB18FF"/>
    <w:rsid w:val="00CB24AA"/>
    <w:rsid w:val="00CD0C08"/>
    <w:rsid w:val="00CD3C91"/>
    <w:rsid w:val="00CE03FB"/>
    <w:rsid w:val="00CE433C"/>
    <w:rsid w:val="00CF0161"/>
    <w:rsid w:val="00CF33F3"/>
    <w:rsid w:val="00D06183"/>
    <w:rsid w:val="00D143DF"/>
    <w:rsid w:val="00D22C42"/>
    <w:rsid w:val="00D45669"/>
    <w:rsid w:val="00D464CC"/>
    <w:rsid w:val="00D522F6"/>
    <w:rsid w:val="00D65041"/>
    <w:rsid w:val="00D6505E"/>
    <w:rsid w:val="00D67039"/>
    <w:rsid w:val="00D86C1F"/>
    <w:rsid w:val="00D86E6C"/>
    <w:rsid w:val="00DA3BDF"/>
    <w:rsid w:val="00DA77FB"/>
    <w:rsid w:val="00DB00D5"/>
    <w:rsid w:val="00DB1936"/>
    <w:rsid w:val="00DB384B"/>
    <w:rsid w:val="00DF0189"/>
    <w:rsid w:val="00E06FD5"/>
    <w:rsid w:val="00E10E80"/>
    <w:rsid w:val="00E124F0"/>
    <w:rsid w:val="00E227F3"/>
    <w:rsid w:val="00E4728B"/>
    <w:rsid w:val="00E50654"/>
    <w:rsid w:val="00E53461"/>
    <w:rsid w:val="00E545C6"/>
    <w:rsid w:val="00E60F04"/>
    <w:rsid w:val="00E63EFF"/>
    <w:rsid w:val="00E65B24"/>
    <w:rsid w:val="00E854E4"/>
    <w:rsid w:val="00E85B67"/>
    <w:rsid w:val="00E86DBF"/>
    <w:rsid w:val="00EB0D6F"/>
    <w:rsid w:val="00EB2232"/>
    <w:rsid w:val="00EC5337"/>
    <w:rsid w:val="00EC7C07"/>
    <w:rsid w:val="00EE49E8"/>
    <w:rsid w:val="00F10B59"/>
    <w:rsid w:val="00F119DF"/>
    <w:rsid w:val="00F16BAB"/>
    <w:rsid w:val="00F2150A"/>
    <w:rsid w:val="00F231D8"/>
    <w:rsid w:val="00F2678A"/>
    <w:rsid w:val="00F44C00"/>
    <w:rsid w:val="00F45D2C"/>
    <w:rsid w:val="00F46C5F"/>
    <w:rsid w:val="00F54AB1"/>
    <w:rsid w:val="00F632C0"/>
    <w:rsid w:val="00F66A26"/>
    <w:rsid w:val="00F73B2C"/>
    <w:rsid w:val="00F74694"/>
    <w:rsid w:val="00F86596"/>
    <w:rsid w:val="00F93FD4"/>
    <w:rsid w:val="00F94A63"/>
    <w:rsid w:val="00FA1C28"/>
    <w:rsid w:val="00FB1279"/>
    <w:rsid w:val="00FB6B76"/>
    <w:rsid w:val="00FB7596"/>
    <w:rsid w:val="00FC71DC"/>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CF96A3"/>
  <w15:docId w15:val="{D6520694-F117-490E-9306-DFA45E27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781627"/>
    <w:pPr>
      <w:framePr w:hSpace="180" w:wrap="around" w:vAnchor="page" w:hAnchor="page" w:x="1821" w:y="2317"/>
      <w:spacing w:before="840"/>
      <w:jc w:val="both"/>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lstomtale1">
    <w:name w:val="Uløst omtale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customStyle="1" w:styleId="Reasons">
    <w:name w:val="Reasons"/>
    <w:basedOn w:val="Normal"/>
    <w:qFormat/>
    <w:rsid w:val="00586214"/>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Revision">
    <w:name w:val="Revision"/>
    <w:hidden/>
    <w:uiPriority w:val="99"/>
    <w:semiHidden/>
    <w:rsid w:val="00E53461"/>
    <w:rPr>
      <w:rFonts w:ascii="Calibri" w:hAnsi="Calibri"/>
      <w:sz w:val="24"/>
      <w:lang w:val="en-GB" w:eastAsia="en-US"/>
    </w:rPr>
  </w:style>
  <w:style w:type="paragraph" w:styleId="BalloonText">
    <w:name w:val="Balloon Text"/>
    <w:basedOn w:val="Normal"/>
    <w:link w:val="BalloonTextChar"/>
    <w:semiHidden/>
    <w:unhideWhenUsed/>
    <w:rsid w:val="00BB095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B0958"/>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DA7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general-secretariat/ties/ISCGDocumentLibrary/Liaisons%20Statements%20on%20Inter-Sectoral%20Coordination%20Activities/Mapping-of-Resolutions-Updated%20Dec202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5-CL-C-0027/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CL-C-0139/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94B4B6-4001-4C0F-87F3-56F972E9D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7D1AE-6D0C-4FBE-9D08-5D1ECCC8A0DA}">
  <ds:schemaRefs>
    <ds:schemaRef ds:uri="http://schemas.openxmlformats.org/officeDocument/2006/bibliography"/>
  </ds:schemaRefs>
</ds:datastoreItem>
</file>

<file path=customXml/itemProps3.xml><?xml version="1.0" encoding="utf-8"?>
<ds:datastoreItem xmlns:ds="http://schemas.openxmlformats.org/officeDocument/2006/customXml" ds:itemID="{D58258AA-A105-4C61-AEAF-1BA6052CCE21}">
  <ds:schemaRefs>
    <ds:schemaRef ds:uri="http://schemas.microsoft.com/sharepoint/v3/contenttype/forms"/>
  </ds:schemaRefs>
</ds:datastoreItem>
</file>

<file path=customXml/itemProps4.xml><?xml version="1.0" encoding="utf-8"?>
<ds:datastoreItem xmlns:ds="http://schemas.openxmlformats.org/officeDocument/2006/customXml" ds:itemID="{3FB3BD3F-EE90-4738-8100-3A4B81FBF1BD}">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 ds:uri="http://schemas.microsoft.com/sharepoint/v3"/>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Request to the Secretariat to provide detailed information on the resources for the activities of the General Secretariat and the three Sectors related to implementing resolutions on similar topics</dc:title>
  <dc:subject>ITU Council Working Group for strategic and financial plans 2028-2031</dc:subject>
  <dc:creator>GBS</dc:creator>
  <cp:keywords>CWG-SFP</cp:keywords>
  <dc:description/>
  <cp:lastModifiedBy>GBS</cp:lastModifiedBy>
  <cp:revision>2</cp:revision>
  <dcterms:created xsi:type="dcterms:W3CDTF">2025-08-28T10:46:00Z</dcterms:created>
  <dcterms:modified xsi:type="dcterms:W3CDTF">2025-08-28T10:46:00Z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51ca6e47695135fe617d7cbf5e52ede5bbca86dc743a373bdb6c804284e448d9</vt:lpwstr>
  </property>
  <property fmtid="{D5CDD505-2E9C-101B-9397-08002B2CF9AE}" pid="3" name="ContentTypeId">
    <vt:lpwstr>0x010100B862E360EB612A45AC10C33F275DB288</vt:lpwstr>
  </property>
</Properties>
</file>