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542A596D" w14:textId="77777777" w:rsidTr="00AD3606">
        <w:trPr>
          <w:cantSplit/>
          <w:trHeight w:val="23"/>
        </w:trPr>
        <w:tc>
          <w:tcPr>
            <w:tcW w:w="3969" w:type="dxa"/>
            <w:vMerge w:val="restart"/>
            <w:tcMar>
              <w:left w:w="0" w:type="dxa"/>
            </w:tcMar>
          </w:tcPr>
          <w:p w14:paraId="4C7E837C"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C870DD4" w14:textId="519EE5EC"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395BCD">
              <w:rPr>
                <w:b/>
                <w:lang w:val="fr-CH"/>
              </w:rPr>
              <w:t>3</w:t>
            </w:r>
            <w:r w:rsidR="00F66A26">
              <w:rPr>
                <w:b/>
                <w:lang w:val="fr-FR"/>
              </w:rPr>
              <w:t>/</w:t>
            </w:r>
            <w:r w:rsidR="00400B6F">
              <w:rPr>
                <w:b/>
                <w:lang w:val="fr-FR"/>
              </w:rPr>
              <w:t>7</w:t>
            </w:r>
          </w:p>
        </w:tc>
      </w:tr>
      <w:tr w:rsidR="00AD3606" w:rsidRPr="00147C54" w14:paraId="02679F4A" w14:textId="77777777" w:rsidTr="00AD3606">
        <w:trPr>
          <w:cantSplit/>
        </w:trPr>
        <w:tc>
          <w:tcPr>
            <w:tcW w:w="3969" w:type="dxa"/>
            <w:vMerge/>
          </w:tcPr>
          <w:p w14:paraId="77B59B83"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D1BE688" w14:textId="78B6BC46" w:rsidR="00AD3606" w:rsidRPr="00147C54" w:rsidRDefault="00213459" w:rsidP="00AD3606">
            <w:pPr>
              <w:tabs>
                <w:tab w:val="left" w:pos="851"/>
              </w:tabs>
              <w:spacing w:before="0"/>
              <w:jc w:val="right"/>
              <w:rPr>
                <w:b/>
              </w:rPr>
            </w:pPr>
            <w:r>
              <w:rPr>
                <w:b/>
              </w:rPr>
              <w:t>8 August</w:t>
            </w:r>
            <w:r w:rsidR="00724588">
              <w:rPr>
                <w:b/>
              </w:rPr>
              <w:t xml:space="preserve"> 2025</w:t>
            </w:r>
          </w:p>
        </w:tc>
      </w:tr>
      <w:tr w:rsidR="00AD3606" w:rsidRPr="00147C54" w14:paraId="136B074A" w14:textId="77777777" w:rsidTr="00AD3606">
        <w:trPr>
          <w:cantSplit/>
          <w:trHeight w:val="23"/>
        </w:trPr>
        <w:tc>
          <w:tcPr>
            <w:tcW w:w="3969" w:type="dxa"/>
            <w:vMerge/>
          </w:tcPr>
          <w:p w14:paraId="5C568FF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FDE6F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9A210B" w14:textId="77777777" w:rsidTr="00AD3606">
        <w:trPr>
          <w:cantSplit/>
          <w:trHeight w:val="23"/>
        </w:trPr>
        <w:tc>
          <w:tcPr>
            <w:tcW w:w="3969" w:type="dxa"/>
          </w:tcPr>
          <w:p w14:paraId="0C034DDF" w14:textId="77777777" w:rsidR="00472BAD" w:rsidRPr="00147C54" w:rsidRDefault="00472BAD" w:rsidP="00AD3606">
            <w:pPr>
              <w:tabs>
                <w:tab w:val="left" w:pos="851"/>
              </w:tabs>
              <w:spacing w:line="240" w:lineRule="atLeast"/>
              <w:rPr>
                <w:b/>
              </w:rPr>
            </w:pPr>
          </w:p>
        </w:tc>
        <w:tc>
          <w:tcPr>
            <w:tcW w:w="5245" w:type="dxa"/>
          </w:tcPr>
          <w:p w14:paraId="75CF0906" w14:textId="77777777" w:rsidR="00472BAD" w:rsidRPr="00147C54" w:rsidRDefault="00472BAD" w:rsidP="00AD3606">
            <w:pPr>
              <w:tabs>
                <w:tab w:val="left" w:pos="851"/>
              </w:tabs>
              <w:spacing w:before="0" w:line="240" w:lineRule="atLeast"/>
              <w:jc w:val="right"/>
              <w:rPr>
                <w:b/>
              </w:rPr>
            </w:pPr>
          </w:p>
        </w:tc>
      </w:tr>
      <w:tr w:rsidR="00AD3606" w:rsidRPr="00147C54" w14:paraId="2913C1C8" w14:textId="77777777" w:rsidTr="00AD3606">
        <w:trPr>
          <w:cantSplit/>
        </w:trPr>
        <w:tc>
          <w:tcPr>
            <w:tcW w:w="9214" w:type="dxa"/>
            <w:gridSpan w:val="2"/>
            <w:tcMar>
              <w:left w:w="0" w:type="dxa"/>
            </w:tcMar>
          </w:tcPr>
          <w:p w14:paraId="0DF27233" w14:textId="2C66514A" w:rsidR="00AD3606" w:rsidRPr="00147C54" w:rsidRDefault="00524E9C" w:rsidP="00E4728B">
            <w:pPr>
              <w:pStyle w:val="Source"/>
              <w:framePr w:hSpace="0" w:wrap="auto" w:vAnchor="margin" w:hAnchor="text" w:xAlign="left" w:yAlign="inline"/>
            </w:pPr>
            <w:bookmarkStart w:id="8" w:name="dsource" w:colFirst="0" w:colLast="0"/>
            <w:bookmarkEnd w:id="7"/>
            <w:r>
              <w:t>Report</w:t>
            </w:r>
            <w:r w:rsidR="004B51C8" w:rsidRPr="009D024E">
              <w:t xml:space="preserve"> </w:t>
            </w:r>
            <w:r w:rsidR="004B51C8">
              <w:t>by</w:t>
            </w:r>
            <w:r w:rsidR="004B51C8" w:rsidRPr="00842B11">
              <w:t xml:space="preserve"> </w:t>
            </w:r>
            <w:r w:rsidR="004B51C8">
              <w:t xml:space="preserve">the </w:t>
            </w:r>
            <w:r w:rsidR="007F21FC">
              <w:t>Secretary-General</w:t>
            </w:r>
          </w:p>
        </w:tc>
      </w:tr>
      <w:tr w:rsidR="00AD3606" w:rsidRPr="00147C54" w14:paraId="257E5EFD" w14:textId="77777777" w:rsidTr="33FE7E2F">
        <w:trPr>
          <w:cantSplit/>
          <w:trHeight w:val="300"/>
        </w:trPr>
        <w:tc>
          <w:tcPr>
            <w:tcW w:w="9214" w:type="dxa"/>
            <w:gridSpan w:val="2"/>
            <w:tcMar>
              <w:left w:w="0" w:type="dxa"/>
            </w:tcMar>
          </w:tcPr>
          <w:p w14:paraId="75FDD26C" w14:textId="7DA1734D" w:rsidR="00AD3606" w:rsidRPr="00147C54" w:rsidRDefault="00956400" w:rsidP="33FE7E2F">
            <w:pPr>
              <w:pStyle w:val="Subtitle"/>
              <w:framePr w:hSpace="0" w:wrap="auto" w:xAlign="left" w:yAlign="inline"/>
              <w:spacing w:line="259" w:lineRule="auto"/>
              <w:rPr>
                <w:highlight w:val="yellow"/>
              </w:rPr>
            </w:pPr>
            <w:bookmarkStart w:id="9" w:name="dtitle1" w:colFirst="0" w:colLast="0"/>
            <w:bookmarkEnd w:id="8"/>
            <w:r w:rsidRPr="00D220CB">
              <w:t>INITIAL DRAFT PERFORMANCE INDICATORS FOR STRATEGIC PLAN 2028-2031</w:t>
            </w:r>
          </w:p>
        </w:tc>
      </w:tr>
      <w:tr w:rsidR="00AD3606" w:rsidRPr="00147C54" w14:paraId="0FCEA4E4" w14:textId="77777777" w:rsidTr="00AD3606">
        <w:trPr>
          <w:cantSplit/>
        </w:trPr>
        <w:tc>
          <w:tcPr>
            <w:tcW w:w="9214" w:type="dxa"/>
            <w:gridSpan w:val="2"/>
            <w:tcBorders>
              <w:top w:val="single" w:sz="4" w:space="0" w:color="auto"/>
              <w:bottom w:val="single" w:sz="4" w:space="0" w:color="auto"/>
            </w:tcBorders>
            <w:tcMar>
              <w:left w:w="0" w:type="dxa"/>
            </w:tcMar>
          </w:tcPr>
          <w:p w14:paraId="7C0EDD28" w14:textId="77777777" w:rsidR="00AD3606" w:rsidRPr="00147C54" w:rsidRDefault="00F16BAB" w:rsidP="00F16BAB">
            <w:pPr>
              <w:spacing w:before="160"/>
              <w:rPr>
                <w:b/>
                <w:bCs/>
                <w:sz w:val="26"/>
                <w:szCs w:val="26"/>
              </w:rPr>
            </w:pPr>
            <w:r w:rsidRPr="00147C54">
              <w:rPr>
                <w:b/>
                <w:bCs/>
                <w:sz w:val="26"/>
                <w:szCs w:val="26"/>
              </w:rPr>
              <w:t>Purpose</w:t>
            </w:r>
          </w:p>
          <w:p w14:paraId="61475226" w14:textId="463748EE" w:rsidR="00AD3606" w:rsidRPr="00147C54" w:rsidRDefault="005042D1" w:rsidP="004E23CC">
            <w:pPr>
              <w:jc w:val="both"/>
            </w:pPr>
            <w:r>
              <w:t>The purpose of this document is to outline suggested performance indicators for Impact and Outcome level that fit the Results-Based Management (RBM) principles guiding the formulation of the draft Strategic and Financial Plans 2028-2031.</w:t>
            </w:r>
            <w:r w:rsidR="3ACCFEE2">
              <w:t xml:space="preserve"> </w:t>
            </w:r>
          </w:p>
          <w:p w14:paraId="08275725" w14:textId="77777777" w:rsidR="00AD3606" w:rsidRPr="00147C54" w:rsidRDefault="00AD3606" w:rsidP="00F16BAB">
            <w:pPr>
              <w:spacing w:before="160"/>
              <w:rPr>
                <w:b/>
                <w:bCs/>
                <w:sz w:val="26"/>
                <w:szCs w:val="26"/>
              </w:rPr>
            </w:pPr>
            <w:r w:rsidRPr="00147C54">
              <w:rPr>
                <w:b/>
                <w:bCs/>
                <w:sz w:val="26"/>
                <w:szCs w:val="26"/>
              </w:rPr>
              <w:t>Action required</w:t>
            </w:r>
          </w:p>
          <w:p w14:paraId="6846EA06" w14:textId="316FD56E" w:rsidR="00B82C1B" w:rsidRDefault="00B82C1B" w:rsidP="004E23CC">
            <w:pPr>
              <w:spacing w:before="160"/>
              <w:jc w:val="both"/>
            </w:pPr>
            <w:r w:rsidRPr="00FD7016">
              <w:t xml:space="preserve">The </w:t>
            </w:r>
            <w:r>
              <w:t>Council Working Group for strategic and financial plans</w:t>
            </w:r>
            <w:r w:rsidRPr="00FD7016">
              <w:t xml:space="preserve"> </w:t>
            </w:r>
            <w:r>
              <w:t xml:space="preserve">2028-2031 </w:t>
            </w:r>
            <w:r w:rsidRPr="00FD7016">
              <w:t>is invited to</w:t>
            </w:r>
            <w:r>
              <w:t xml:space="preserve"> </w:t>
            </w:r>
            <w:r w:rsidR="00C25F32" w:rsidRPr="00994E8E">
              <w:rPr>
                <w:b/>
              </w:rPr>
              <w:t xml:space="preserve">consider </w:t>
            </w:r>
            <w:r w:rsidR="00C25F32" w:rsidRPr="00994E8E">
              <w:rPr>
                <w:bCs/>
              </w:rPr>
              <w:t>th</w:t>
            </w:r>
            <w:r w:rsidR="00994E8E" w:rsidRPr="00994E8E">
              <w:rPr>
                <w:bCs/>
              </w:rPr>
              <w:t xml:space="preserve">e </w:t>
            </w:r>
            <w:r w:rsidR="00994E8E">
              <w:rPr>
                <w:bCs/>
              </w:rPr>
              <w:t>suggested performance indicators</w:t>
            </w:r>
            <w:r w:rsidRPr="00994E8E">
              <w:t>.</w:t>
            </w:r>
          </w:p>
          <w:p w14:paraId="038CE23E" w14:textId="77777777" w:rsidR="00AD3606" w:rsidRPr="00CD3C91" w:rsidRDefault="00CD3C91" w:rsidP="00CD3C91">
            <w:r>
              <w:t>_______________</w:t>
            </w:r>
          </w:p>
          <w:p w14:paraId="4ED013E1" w14:textId="77777777"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1F9770C9" w14:textId="1BE9B116" w:rsidR="00AD3606" w:rsidRPr="00524E9C" w:rsidRDefault="00B82C1B" w:rsidP="00F16BAB">
            <w:pPr>
              <w:spacing w:after="160"/>
              <w:rPr>
                <w:i/>
                <w:iCs/>
                <w:sz w:val="22"/>
                <w:szCs w:val="22"/>
              </w:rPr>
            </w:pPr>
            <w:hyperlink r:id="rId11" w:history="1">
              <w:r w:rsidRPr="00F264CE">
                <w:rPr>
                  <w:rStyle w:val="Hyperlink"/>
                  <w:i/>
                  <w:iCs/>
                  <w:sz w:val="22"/>
                  <w:szCs w:val="22"/>
                </w:rPr>
                <w:t>CWG-SFP website</w:t>
              </w:r>
            </w:hyperlink>
            <w:r w:rsidRPr="00E03C3D">
              <w:rPr>
                <w:i/>
                <w:iCs/>
                <w:sz w:val="22"/>
                <w:szCs w:val="22"/>
              </w:rPr>
              <w:t xml:space="preserve">; </w:t>
            </w:r>
            <w:hyperlink r:id="rId12" w:history="1">
              <w:r w:rsidR="00CF3DE9" w:rsidRPr="007B3CF1">
                <w:rPr>
                  <w:rStyle w:val="Hyperlink"/>
                  <w:i/>
                  <w:iCs/>
                  <w:sz w:val="22"/>
                  <w:szCs w:val="22"/>
                </w:rPr>
                <w:t>Resolution 1428 (C24)</w:t>
              </w:r>
            </w:hyperlink>
          </w:p>
        </w:tc>
      </w:tr>
    </w:tbl>
    <w:p w14:paraId="05987874"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551A16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1D7240A" w14:textId="20F24777" w:rsidR="0079183A" w:rsidRPr="0079183A" w:rsidRDefault="004E23CC" w:rsidP="004E23CC">
      <w:pPr>
        <w:pStyle w:val="Heading1"/>
      </w:pPr>
      <w:r w:rsidRPr="0079183A">
        <w:lastRenderedPageBreak/>
        <w:t>1</w:t>
      </w:r>
      <w:r w:rsidRPr="0079183A">
        <w:tab/>
      </w:r>
      <w:r w:rsidR="0079183A" w:rsidRPr="0079183A">
        <w:t>Introduction</w:t>
      </w:r>
    </w:p>
    <w:p w14:paraId="258E6562" w14:textId="77777777" w:rsidR="0079183A" w:rsidRPr="0079183A" w:rsidRDefault="0079183A" w:rsidP="00B0203C">
      <w:pPr>
        <w:jc w:val="both"/>
      </w:pPr>
      <w:r w:rsidRPr="0079183A">
        <w:t xml:space="preserve">Following the RBM training session offered to the Council Working Group for strategic and financial plans (CWG-SFP) in February 2025, the Secretariat’s Project Team for Strategic and Financial Plans was instructed to develop recommendations to improve the RBM framework of ITU’s Strategic, Operational and Financial Plans according to these principles. </w:t>
      </w:r>
    </w:p>
    <w:p w14:paraId="62D41A98" w14:textId="09AC5356" w:rsidR="0079183A" w:rsidRPr="0079183A" w:rsidRDefault="004E23CC" w:rsidP="004E23CC">
      <w:pPr>
        <w:pStyle w:val="Heading1"/>
      </w:pPr>
      <w:r w:rsidRPr="0079183A">
        <w:t>2</w:t>
      </w:r>
      <w:r w:rsidRPr="0079183A">
        <w:tab/>
      </w:r>
      <w:r w:rsidR="0079183A" w:rsidRPr="0079183A">
        <w:t>Principles applied in assessment of previous Indicators</w:t>
      </w:r>
    </w:p>
    <w:p w14:paraId="7E0D29AF" w14:textId="77777777" w:rsidR="0079183A" w:rsidRPr="0079183A" w:rsidRDefault="0079183A" w:rsidP="00B0203C">
      <w:pPr>
        <w:jc w:val="both"/>
      </w:pPr>
      <w:r w:rsidRPr="0079183A">
        <w:t xml:space="preserve">The list of performance indicators from the current ITU Strategic and Financial Plans 2024-2027 were assessed according to the following RBM principles: </w:t>
      </w:r>
    </w:p>
    <w:p w14:paraId="5A051110" w14:textId="4EC550F7" w:rsidR="0079183A" w:rsidRPr="0079183A" w:rsidRDefault="004E23CC" w:rsidP="00B0203C">
      <w:pPr>
        <w:pStyle w:val="enumlev1"/>
      </w:pPr>
      <w:r w:rsidRPr="0079183A">
        <w:t>1</w:t>
      </w:r>
      <w:r w:rsidRPr="0079183A">
        <w:tab/>
      </w:r>
      <w:r w:rsidR="0079183A" w:rsidRPr="0079183A">
        <w:t xml:space="preserve">Indicators were appropriate for their placement within the results chain, specifically: </w:t>
      </w:r>
    </w:p>
    <w:p w14:paraId="0F6C81A2" w14:textId="63393C85" w:rsidR="0079183A" w:rsidRPr="0079183A" w:rsidRDefault="004E23CC" w:rsidP="00B0203C">
      <w:pPr>
        <w:pStyle w:val="enumlev2"/>
      </w:pPr>
      <w:r w:rsidRPr="00B0203C">
        <w:rPr>
          <w:i/>
          <w:iCs/>
        </w:rPr>
        <w:t>a</w:t>
      </w:r>
      <w:r w:rsidR="00B0203C" w:rsidRPr="00B0203C">
        <w:rPr>
          <w:i/>
          <w:iCs/>
        </w:rPr>
        <w:t>)</w:t>
      </w:r>
      <w:r w:rsidRPr="0079183A">
        <w:tab/>
      </w:r>
      <w:r w:rsidR="0079183A" w:rsidRPr="0079183A">
        <w:t xml:space="preserve">Impact Indicators focus on changes to </w:t>
      </w:r>
      <w:r w:rsidR="00821BCF" w:rsidRPr="0079183A">
        <w:t>people’s</w:t>
      </w:r>
      <w:r w:rsidR="0079183A" w:rsidRPr="0079183A">
        <w:t xml:space="preserve"> lives achieved as an end result of ITU’s work and influence; </w:t>
      </w:r>
    </w:p>
    <w:p w14:paraId="50B5F021" w14:textId="0820BD3C" w:rsidR="0079183A" w:rsidRPr="0079183A" w:rsidRDefault="004E23CC" w:rsidP="00B0203C">
      <w:pPr>
        <w:pStyle w:val="enumlev2"/>
        <w:jc w:val="both"/>
      </w:pPr>
      <w:r w:rsidRPr="00B0203C">
        <w:rPr>
          <w:i/>
          <w:iCs/>
        </w:rPr>
        <w:t>b</w:t>
      </w:r>
      <w:r w:rsidR="00B0203C" w:rsidRPr="00B0203C">
        <w:rPr>
          <w:i/>
          <w:iCs/>
        </w:rPr>
        <w:t>)</w:t>
      </w:r>
      <w:r w:rsidRPr="0079183A">
        <w:tab/>
      </w:r>
      <w:r w:rsidR="0079183A" w:rsidRPr="0079183A">
        <w:t xml:space="preserve">Outcome Indicators are appropriate for measuring changes in institutional and </w:t>
      </w:r>
      <w:r w:rsidR="00821BCF" w:rsidRPr="0079183A">
        <w:t>behavioural</w:t>
      </w:r>
      <w:r w:rsidR="0079183A" w:rsidRPr="0079183A">
        <w:t xml:space="preserve"> capacities of the Membership; and</w:t>
      </w:r>
    </w:p>
    <w:p w14:paraId="6EC9F861" w14:textId="02BFED33" w:rsidR="0079183A" w:rsidRPr="0079183A" w:rsidRDefault="004E23CC" w:rsidP="00B0203C">
      <w:pPr>
        <w:pStyle w:val="enumlev1"/>
        <w:jc w:val="both"/>
      </w:pPr>
      <w:r w:rsidRPr="0079183A">
        <w:t>2</w:t>
      </w:r>
      <w:r w:rsidRPr="0079183A">
        <w:tab/>
      </w:r>
      <w:r w:rsidR="0079183A" w:rsidRPr="0079183A">
        <w:t>Indicators align with SMART principles (Specific, Measurable, Achievable, Relevant, Time-Bound).</w:t>
      </w:r>
    </w:p>
    <w:p w14:paraId="554A8BA3" w14:textId="77777777" w:rsidR="0079183A" w:rsidRPr="0079183A" w:rsidRDefault="0079183A" w:rsidP="00B0203C">
      <w:pPr>
        <w:jc w:val="both"/>
      </w:pPr>
      <w:r w:rsidRPr="0079183A">
        <w:t xml:space="preserve">Some indicators listed at the Outcome level in the current ITU Strategic and Financial Plans 2024-2027 did not fit the definition of Outcome but, instead, measure Outputs or Activities rather than results. While these indicators are useful to measure the volume of effort and Output productivity of the Secretariat, their appropriate placement within the results chain for Activity and Output Indicators is at the Operational Planning level rather than as expected results (Outcomes or Impacts) at the Strategic Planning level. </w:t>
      </w:r>
    </w:p>
    <w:p w14:paraId="07CF1E5E" w14:textId="77777777" w:rsidR="0079183A" w:rsidRDefault="0079183A" w:rsidP="00B0203C">
      <w:pPr>
        <w:jc w:val="both"/>
      </w:pPr>
      <w:r w:rsidRPr="0079183A">
        <w:t xml:space="preserve">Additionally, some performance indicators do not have a means of verification or source of data to calculate measurements. In order to fully apply an RBM framework, all performance indicators will need a reliable data source and means of verification to measure actual results. </w:t>
      </w:r>
    </w:p>
    <w:p w14:paraId="34E25D6A" w14:textId="01871CD2" w:rsidR="0079183A" w:rsidRPr="004E23CC" w:rsidRDefault="004E23CC" w:rsidP="004E23CC">
      <w:pPr>
        <w:pStyle w:val="Heading1"/>
      </w:pPr>
      <w:r w:rsidRPr="0079183A">
        <w:t>3</w:t>
      </w:r>
      <w:r w:rsidRPr="0079183A">
        <w:tab/>
      </w:r>
      <w:r w:rsidR="0079183A" w:rsidRPr="004E23CC">
        <w:t xml:space="preserve">Proposed </w:t>
      </w:r>
      <w:r w:rsidR="001938D1" w:rsidRPr="004E23CC">
        <w:t>impact and outcome indicators</w:t>
      </w:r>
    </w:p>
    <w:p w14:paraId="6B267FCD" w14:textId="77777777" w:rsidR="0079183A" w:rsidRPr="0079183A" w:rsidRDefault="0079183A" w:rsidP="00B0203C">
      <w:pPr>
        <w:jc w:val="both"/>
      </w:pPr>
      <w:r w:rsidRPr="0079183A">
        <w:t xml:space="preserve">The tables below summarize the list of Impact indicators for ITU overall, as well as lists of Outcome Indicators that could be linked to the specialized Outputs of each Bureau. All Outcome indicators to be included in the final Strategic Plan for 2028-2031 must have a defined data source. For those Outcome indicators which do not have a data source for verification, either: </w:t>
      </w:r>
    </w:p>
    <w:p w14:paraId="3F01C293" w14:textId="08CAFBC5" w:rsidR="0079183A" w:rsidRPr="0079183A" w:rsidRDefault="004E23CC" w:rsidP="00B0203C">
      <w:pPr>
        <w:pStyle w:val="enumlev1"/>
        <w:jc w:val="both"/>
      </w:pPr>
      <w:r w:rsidRPr="0079183A">
        <w:t>1</w:t>
      </w:r>
      <w:r w:rsidRPr="0079183A">
        <w:tab/>
      </w:r>
      <w:r w:rsidR="001938D1" w:rsidRPr="0079183A">
        <w:t xml:space="preserve">they </w:t>
      </w:r>
      <w:r w:rsidR="0079183A" w:rsidRPr="0079183A">
        <w:t>should be removed from the final Strategic Plan for 2028-2031 as they are not measurable; or</w:t>
      </w:r>
    </w:p>
    <w:p w14:paraId="419258D8" w14:textId="04428A45" w:rsidR="0079183A" w:rsidRDefault="004E23CC" w:rsidP="00B0203C">
      <w:pPr>
        <w:pStyle w:val="enumlev1"/>
        <w:jc w:val="both"/>
      </w:pPr>
      <w:r>
        <w:t>2</w:t>
      </w:r>
      <w:r>
        <w:tab/>
      </w:r>
      <w:r w:rsidR="001938D1" w:rsidRPr="0079183A">
        <w:t xml:space="preserve">resources </w:t>
      </w:r>
      <w:r w:rsidR="0079183A" w:rsidRPr="0079183A">
        <w:t xml:space="preserve">will be required to build out the system and process to collect, validate and manage data for new Outcome indicators. </w:t>
      </w:r>
    </w:p>
    <w:p w14:paraId="61231EA8" w14:textId="1A443A45" w:rsidR="00F4680E" w:rsidRDefault="00F4680E" w:rsidP="00CC3F4C">
      <w:pPr>
        <w:tabs>
          <w:tab w:val="clear" w:pos="567"/>
          <w:tab w:val="clear" w:pos="1134"/>
          <w:tab w:val="clear" w:pos="1701"/>
          <w:tab w:val="clear" w:pos="2268"/>
          <w:tab w:val="clear" w:pos="2835"/>
        </w:tabs>
        <w:spacing w:after="120"/>
      </w:pPr>
      <w:r>
        <w:br w:type="page"/>
      </w:r>
    </w:p>
    <w:p w14:paraId="6709F9AF" w14:textId="77777777" w:rsidR="00B0203C" w:rsidRDefault="00211EDB" w:rsidP="00B0203C">
      <w:pPr>
        <w:pStyle w:val="TableNo"/>
      </w:pPr>
      <w:r w:rsidRPr="00211EDB">
        <w:lastRenderedPageBreak/>
        <w:t>Table 1</w:t>
      </w:r>
    </w:p>
    <w:p w14:paraId="4FEFC404" w14:textId="3B91BCB8" w:rsidR="00211EDB" w:rsidRPr="00211EDB" w:rsidRDefault="00211EDB" w:rsidP="00B0203C">
      <w:pPr>
        <w:pStyle w:val="Tabletitle"/>
      </w:pPr>
      <w:r w:rsidRPr="00211EDB">
        <w:t xml:space="preserve">Draft </w:t>
      </w:r>
      <w:r w:rsidR="00B0203C" w:rsidRPr="00211EDB">
        <w:t>impact indicators and data sources</w:t>
      </w:r>
    </w:p>
    <w:tbl>
      <w:tblPr>
        <w:tblStyle w:val="GridTable4"/>
        <w:tblW w:w="9351" w:type="dxa"/>
        <w:jc w:val="center"/>
        <w:tblLayout w:type="fixed"/>
        <w:tblCellMar>
          <w:left w:w="57" w:type="dxa"/>
          <w:right w:w="57" w:type="dxa"/>
        </w:tblCellMar>
        <w:tblLook w:val="04A0" w:firstRow="1" w:lastRow="0" w:firstColumn="1" w:lastColumn="0" w:noHBand="0" w:noVBand="1"/>
      </w:tblPr>
      <w:tblGrid>
        <w:gridCol w:w="5485"/>
        <w:gridCol w:w="1904"/>
        <w:gridCol w:w="1962"/>
      </w:tblGrid>
      <w:tr w:rsidR="00211EDB" w:rsidRPr="00B0203C" w14:paraId="6AA6ABA4" w14:textId="77777777" w:rsidTr="001938D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485" w:type="dxa"/>
          </w:tcPr>
          <w:p w14:paraId="3C3FBA53" w14:textId="77777777" w:rsidR="00211EDB" w:rsidRPr="00B0203C" w:rsidRDefault="00211EDB" w:rsidP="00B0203C">
            <w:pPr>
              <w:spacing w:before="40" w:after="40"/>
              <w:jc w:val="center"/>
              <w:rPr>
                <w:sz w:val="22"/>
                <w:szCs w:val="22"/>
              </w:rPr>
            </w:pPr>
            <w:r w:rsidRPr="00B0203C">
              <w:rPr>
                <w:sz w:val="22"/>
                <w:szCs w:val="22"/>
              </w:rPr>
              <w:t>Impact-level Indicator</w:t>
            </w:r>
          </w:p>
        </w:tc>
        <w:tc>
          <w:tcPr>
            <w:tcW w:w="1904" w:type="dxa"/>
          </w:tcPr>
          <w:p w14:paraId="73DBD911" w14:textId="77777777" w:rsidR="00211EDB" w:rsidRPr="00B0203C" w:rsidRDefault="00211EDB" w:rsidP="00B0203C">
            <w:pPr>
              <w:spacing w:before="40" w:after="40"/>
              <w:jc w:val="center"/>
              <w:cnfStyle w:val="100000000000" w:firstRow="1" w:lastRow="0" w:firstColumn="0" w:lastColumn="0" w:oddVBand="0" w:evenVBand="0" w:oddHBand="0" w:evenHBand="0" w:firstRowFirstColumn="0" w:firstRowLastColumn="0" w:lastRowFirstColumn="0" w:lastRowLastColumn="0"/>
              <w:rPr>
                <w:sz w:val="22"/>
                <w:szCs w:val="22"/>
              </w:rPr>
            </w:pPr>
            <w:r w:rsidRPr="00B0203C">
              <w:rPr>
                <w:sz w:val="22"/>
                <w:szCs w:val="22"/>
              </w:rPr>
              <w:t>Goal</w:t>
            </w:r>
          </w:p>
        </w:tc>
        <w:tc>
          <w:tcPr>
            <w:tcW w:w="1962" w:type="dxa"/>
          </w:tcPr>
          <w:p w14:paraId="542355FD" w14:textId="578794AD" w:rsidR="00211EDB" w:rsidRPr="00B0203C" w:rsidRDefault="00211EDB" w:rsidP="00B0203C">
            <w:pPr>
              <w:spacing w:before="40" w:after="40"/>
              <w:jc w:val="center"/>
              <w:cnfStyle w:val="100000000000" w:firstRow="1" w:lastRow="0" w:firstColumn="0" w:lastColumn="0" w:oddVBand="0" w:evenVBand="0" w:oddHBand="0" w:evenHBand="0" w:firstRowFirstColumn="0" w:firstRowLastColumn="0" w:lastRowFirstColumn="0" w:lastRowLastColumn="0"/>
              <w:rPr>
                <w:sz w:val="22"/>
                <w:szCs w:val="22"/>
              </w:rPr>
            </w:pPr>
            <w:r w:rsidRPr="00B0203C">
              <w:rPr>
                <w:sz w:val="22"/>
                <w:szCs w:val="22"/>
              </w:rPr>
              <w:t xml:space="preserve">Data </w:t>
            </w:r>
            <w:r w:rsidR="00B0203C" w:rsidRPr="00B0203C">
              <w:rPr>
                <w:sz w:val="22"/>
                <w:szCs w:val="22"/>
              </w:rPr>
              <w:t>source</w:t>
            </w:r>
          </w:p>
        </w:tc>
      </w:tr>
      <w:tr w:rsidR="00211EDB" w:rsidRPr="00B0203C" w14:paraId="18777566"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17139F87"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the world population covered by broadband services</w:t>
            </w:r>
          </w:p>
        </w:tc>
        <w:tc>
          <w:tcPr>
            <w:tcW w:w="1904" w:type="dxa"/>
          </w:tcPr>
          <w:p w14:paraId="66DBB590"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15D14602"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3"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63FCF693"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39DF8626"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Cost of entry-level broadband services in developing countries as percentage of monthly GNI per capita</w:t>
            </w:r>
          </w:p>
        </w:tc>
        <w:tc>
          <w:tcPr>
            <w:tcW w:w="1904" w:type="dxa"/>
          </w:tcPr>
          <w:p w14:paraId="4F2A2D34"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20151615"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14"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550FFFAA"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7A8C4229"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households with access to the Internet (by level of development; urban/ rural)</w:t>
            </w:r>
          </w:p>
        </w:tc>
        <w:tc>
          <w:tcPr>
            <w:tcW w:w="1904" w:type="dxa"/>
          </w:tcPr>
          <w:p w14:paraId="71D31A26"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4A9F1C5D"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5"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7A5FF1C4"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61CFFB77"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individuals using a smart telephone</w:t>
            </w:r>
          </w:p>
        </w:tc>
        <w:tc>
          <w:tcPr>
            <w:tcW w:w="1904" w:type="dxa"/>
          </w:tcPr>
          <w:p w14:paraId="02EEF4DA"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243402E6"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16"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4C5E1F3F"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4DCAF698"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individuals who own a smart telephone</w:t>
            </w:r>
          </w:p>
        </w:tc>
        <w:tc>
          <w:tcPr>
            <w:tcW w:w="1904" w:type="dxa"/>
          </w:tcPr>
          <w:p w14:paraId="7E6311F0"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39B41388"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7"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1F33F660"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51E1A1BB"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schools with entry-level Internet service (at least 500 MB per month)</w:t>
            </w:r>
          </w:p>
        </w:tc>
        <w:tc>
          <w:tcPr>
            <w:tcW w:w="1904" w:type="dxa"/>
          </w:tcPr>
          <w:p w14:paraId="580667B6"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08C596B9"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18" w:history="1">
              <w:r w:rsidRPr="00B0203C">
                <w:rPr>
                  <w:rFonts w:asciiTheme="minorHAnsi" w:hAnsiTheme="minorHAnsi" w:cstheme="minorHAnsi"/>
                  <w:color w:val="0563C1"/>
                  <w:sz w:val="22"/>
                  <w:szCs w:val="22"/>
                  <w:u w:val="single"/>
                </w:rPr>
                <w:t>UNESCO</w:t>
              </w:r>
            </w:hyperlink>
          </w:p>
        </w:tc>
      </w:tr>
      <w:tr w:rsidR="00211EDB" w:rsidRPr="00B0203C" w14:paraId="1C868E22"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277F7913"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individuals using the Internet (urban/rural; aggregated by region, level of development)</w:t>
            </w:r>
          </w:p>
        </w:tc>
        <w:tc>
          <w:tcPr>
            <w:tcW w:w="1904" w:type="dxa"/>
          </w:tcPr>
          <w:p w14:paraId="60548A38"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Universal Connectivity</w:t>
            </w:r>
          </w:p>
        </w:tc>
        <w:tc>
          <w:tcPr>
            <w:tcW w:w="1962" w:type="dxa"/>
          </w:tcPr>
          <w:p w14:paraId="264768A7"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9"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7C2AECD0"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7107826B" w14:textId="77777777" w:rsidR="00211EDB" w:rsidRPr="00B0203C" w:rsidRDefault="00211EDB" w:rsidP="00B0203C">
            <w:pPr>
              <w:spacing w:before="40" w:after="40"/>
              <w:rPr>
                <w:rFonts w:asciiTheme="minorHAnsi" w:hAnsiTheme="minorHAnsi"/>
                <w:b w:val="0"/>
                <w:bCs w:val="0"/>
                <w:sz w:val="22"/>
                <w:szCs w:val="22"/>
              </w:rPr>
            </w:pPr>
            <w:r w:rsidRPr="00B0203C">
              <w:rPr>
                <w:rFonts w:asciiTheme="minorHAnsi" w:hAnsiTheme="minorHAnsi"/>
                <w:b w:val="0"/>
                <w:bCs w:val="0"/>
                <w:sz w:val="22"/>
                <w:szCs w:val="22"/>
              </w:rPr>
              <w:t>Percentage of individuals using the Internet (by gender, age and urban/rural)</w:t>
            </w:r>
          </w:p>
        </w:tc>
        <w:tc>
          <w:tcPr>
            <w:tcW w:w="1904" w:type="dxa"/>
          </w:tcPr>
          <w:p w14:paraId="48233B6E"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Sustainable Digital Transformation</w:t>
            </w:r>
          </w:p>
        </w:tc>
        <w:tc>
          <w:tcPr>
            <w:tcW w:w="1962" w:type="dxa"/>
          </w:tcPr>
          <w:p w14:paraId="0AABCED8"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0"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070B2226"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485" w:type="dxa"/>
            <w:vAlign w:val="center"/>
          </w:tcPr>
          <w:p w14:paraId="15CBD82F"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businesses using the Internet (total and by size)</w:t>
            </w:r>
          </w:p>
        </w:tc>
        <w:tc>
          <w:tcPr>
            <w:tcW w:w="1904" w:type="dxa"/>
          </w:tcPr>
          <w:p w14:paraId="483136D9"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Sustainable Digital Transformation</w:t>
            </w:r>
          </w:p>
        </w:tc>
        <w:tc>
          <w:tcPr>
            <w:tcW w:w="1962" w:type="dxa"/>
          </w:tcPr>
          <w:p w14:paraId="23121061"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21" w:history="1">
              <w:r w:rsidRPr="00B0203C">
                <w:rPr>
                  <w:rFonts w:asciiTheme="minorHAnsi" w:hAnsiTheme="minorHAnsi" w:cstheme="minorHAnsi"/>
                  <w:color w:val="0563C1"/>
                  <w:sz w:val="22"/>
                  <w:szCs w:val="22"/>
                  <w:u w:val="single"/>
                </w:rPr>
                <w:t>UNCTAD</w:t>
              </w:r>
            </w:hyperlink>
          </w:p>
        </w:tc>
      </w:tr>
      <w:tr w:rsidR="00211EDB" w:rsidRPr="00B0203C" w14:paraId="5487ECA2"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5485" w:type="dxa"/>
          </w:tcPr>
          <w:p w14:paraId="5129B52A"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Global e-waste recycling rate</w:t>
            </w:r>
          </w:p>
        </w:tc>
        <w:tc>
          <w:tcPr>
            <w:tcW w:w="1904" w:type="dxa"/>
          </w:tcPr>
          <w:p w14:paraId="4817F049"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Sustainable Digital Transformation</w:t>
            </w:r>
          </w:p>
        </w:tc>
        <w:tc>
          <w:tcPr>
            <w:tcW w:w="1962" w:type="dxa"/>
          </w:tcPr>
          <w:p w14:paraId="596A0D2A"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2" w:history="1">
              <w:r w:rsidRPr="00B0203C">
                <w:rPr>
                  <w:rFonts w:asciiTheme="minorHAnsi" w:hAnsiTheme="minorHAnsi" w:cstheme="minorHAnsi"/>
                  <w:color w:val="0563C1"/>
                  <w:sz w:val="22"/>
                  <w:szCs w:val="22"/>
                  <w:u w:val="single"/>
                </w:rPr>
                <w:t>Global E-waste Monitor</w:t>
              </w:r>
            </w:hyperlink>
          </w:p>
        </w:tc>
      </w:tr>
    </w:tbl>
    <w:p w14:paraId="0BD79BCB" w14:textId="77777777" w:rsidR="00B0203C" w:rsidRDefault="00211EDB" w:rsidP="00B0203C">
      <w:pPr>
        <w:pStyle w:val="TableNo"/>
      </w:pPr>
      <w:r w:rsidRPr="00211EDB">
        <w:t>Table 2</w:t>
      </w:r>
    </w:p>
    <w:p w14:paraId="7D8DDDA9" w14:textId="0139398D" w:rsidR="00211EDB" w:rsidRPr="00211EDB" w:rsidRDefault="00211EDB" w:rsidP="00B0203C">
      <w:pPr>
        <w:pStyle w:val="Tabletitle"/>
      </w:pPr>
      <w:r w:rsidRPr="00211EDB">
        <w:t>Draft Outcome Indicators and Data Sources</w:t>
      </w:r>
    </w:p>
    <w:tbl>
      <w:tblPr>
        <w:tblStyle w:val="GridTable4"/>
        <w:tblW w:w="9355" w:type="dxa"/>
        <w:jc w:val="center"/>
        <w:tblLayout w:type="fixed"/>
        <w:tblCellMar>
          <w:left w:w="57" w:type="dxa"/>
          <w:right w:w="57" w:type="dxa"/>
        </w:tblCellMar>
        <w:tblLook w:val="04A0" w:firstRow="1" w:lastRow="0" w:firstColumn="1" w:lastColumn="0" w:noHBand="0" w:noVBand="1"/>
      </w:tblPr>
      <w:tblGrid>
        <w:gridCol w:w="7366"/>
        <w:gridCol w:w="1989"/>
      </w:tblGrid>
      <w:tr w:rsidR="00211EDB" w:rsidRPr="00B0203C" w14:paraId="7B22C58F" w14:textId="77777777" w:rsidTr="001938D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7366" w:type="dxa"/>
          </w:tcPr>
          <w:p w14:paraId="467DA24B" w14:textId="77777777" w:rsidR="00211EDB" w:rsidRPr="00B0203C" w:rsidRDefault="00211EDB" w:rsidP="00B0203C">
            <w:pPr>
              <w:spacing w:before="40" w:after="40"/>
              <w:jc w:val="center"/>
              <w:rPr>
                <w:rFonts w:asciiTheme="minorHAnsi" w:hAnsiTheme="minorHAnsi" w:cstheme="minorHAnsi"/>
                <w:sz w:val="22"/>
                <w:szCs w:val="22"/>
              </w:rPr>
            </w:pPr>
            <w:r w:rsidRPr="00B0203C">
              <w:rPr>
                <w:rFonts w:asciiTheme="minorHAnsi" w:hAnsiTheme="minorHAnsi" w:cstheme="minorHAnsi"/>
                <w:sz w:val="22"/>
                <w:szCs w:val="22"/>
              </w:rPr>
              <w:t>Outcome-level Indicator</w:t>
            </w:r>
          </w:p>
        </w:tc>
        <w:tc>
          <w:tcPr>
            <w:tcW w:w="1989" w:type="dxa"/>
          </w:tcPr>
          <w:p w14:paraId="5CC7E180" w14:textId="5DE1CC82" w:rsidR="00211EDB" w:rsidRPr="00B0203C" w:rsidRDefault="00211EDB" w:rsidP="00B0203C">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 xml:space="preserve">Data </w:t>
            </w:r>
            <w:r w:rsidR="00B0203C" w:rsidRPr="00B0203C">
              <w:rPr>
                <w:rFonts w:asciiTheme="minorHAnsi" w:hAnsiTheme="minorHAnsi" w:cstheme="minorHAnsi"/>
                <w:sz w:val="22"/>
                <w:szCs w:val="22"/>
              </w:rPr>
              <w:t>source</w:t>
            </w:r>
          </w:p>
        </w:tc>
      </w:tr>
      <w:tr w:rsidR="00211EDB" w:rsidRPr="00B0203C" w14:paraId="2CA3DEC8"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0020BE5"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having notified frequency assignments to space stations for recording in the MIFR</w:t>
            </w:r>
          </w:p>
        </w:tc>
        <w:tc>
          <w:tcPr>
            <w:tcW w:w="1989" w:type="dxa"/>
          </w:tcPr>
          <w:p w14:paraId="698EF6ED"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75839B58"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25A66996"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which have notified frequency assignments to space stations for recording in the MIFR in the last four-year period</w:t>
            </w:r>
          </w:p>
        </w:tc>
        <w:tc>
          <w:tcPr>
            <w:tcW w:w="1989" w:type="dxa"/>
          </w:tcPr>
          <w:p w14:paraId="7C2D6B8B"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335A77DA"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4EB75E1"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having notified frequency assignments to earth stations recorded in the MIFR</w:t>
            </w:r>
          </w:p>
        </w:tc>
        <w:tc>
          <w:tcPr>
            <w:tcW w:w="1989" w:type="dxa"/>
          </w:tcPr>
          <w:p w14:paraId="68161CC4"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7DC56FB5"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0B4A835"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having notified frequency assignments to earth stations recorded in the MIFR in the last four-year period</w:t>
            </w:r>
          </w:p>
        </w:tc>
        <w:tc>
          <w:tcPr>
            <w:tcW w:w="1989" w:type="dxa"/>
          </w:tcPr>
          <w:p w14:paraId="1DA5D412"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11D4FCD5"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1A5B634D"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having terrestrial assignments recorded in the MIFR</w:t>
            </w:r>
          </w:p>
        </w:tc>
        <w:tc>
          <w:tcPr>
            <w:tcW w:w="1989" w:type="dxa"/>
          </w:tcPr>
          <w:p w14:paraId="3EFD2DDB"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35BC5D1D"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2F43BCA"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having terrestrial assignments recorded in the MIFR in the last four-year period</w:t>
            </w:r>
          </w:p>
        </w:tc>
        <w:tc>
          <w:tcPr>
            <w:tcW w:w="1989" w:type="dxa"/>
          </w:tcPr>
          <w:p w14:paraId="5EA68800"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7F01869A"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164CF7B5"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spectrum assigned to satellite networks that is free from reported harmful interference</w:t>
            </w:r>
          </w:p>
        </w:tc>
        <w:tc>
          <w:tcPr>
            <w:tcW w:w="1989" w:type="dxa"/>
          </w:tcPr>
          <w:p w14:paraId="21C789E3"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 + BR internal database (SIRRS)</w:t>
            </w:r>
          </w:p>
        </w:tc>
      </w:tr>
      <w:tr w:rsidR="00211EDB" w:rsidRPr="00B0203C" w14:paraId="6AEB3E68"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7895CA89"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cases of harmful interference (space services) reported to the BR in the last four-year period</w:t>
            </w:r>
          </w:p>
        </w:tc>
        <w:tc>
          <w:tcPr>
            <w:tcW w:w="1989" w:type="dxa"/>
          </w:tcPr>
          <w:p w14:paraId="2587EF12"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BR internal database (SIRRS)</w:t>
            </w:r>
          </w:p>
        </w:tc>
      </w:tr>
      <w:tr w:rsidR="00211EDB" w:rsidRPr="00B0203C" w14:paraId="4D18C705"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DC616D0"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lastRenderedPageBreak/>
              <w:t>Number of cases of harmful interference (terrestrial services) reported to the BR in the last four-year period</w:t>
            </w:r>
          </w:p>
        </w:tc>
        <w:tc>
          <w:tcPr>
            <w:tcW w:w="1989" w:type="dxa"/>
          </w:tcPr>
          <w:p w14:paraId="13660D4C"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BR internal database</w:t>
            </w:r>
          </w:p>
        </w:tc>
      </w:tr>
      <w:tr w:rsidR="00211EDB" w:rsidRPr="00B0203C" w14:paraId="354A937F"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A97DD50"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operational GNSS satellites (constellations/GSO systems/all satellites)</w:t>
            </w:r>
          </w:p>
        </w:tc>
        <w:tc>
          <w:tcPr>
            <w:tcW w:w="1989" w:type="dxa"/>
          </w:tcPr>
          <w:p w14:paraId="3F121F61"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52F067B4"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9093F04"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devices with GNSS embedded Rx (billions)</w:t>
            </w:r>
          </w:p>
        </w:tc>
        <w:tc>
          <w:tcPr>
            <w:tcW w:w="1989" w:type="dxa"/>
          </w:tcPr>
          <w:p w14:paraId="42C321B1"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23" w:tooltip="Original URL: https://www.euspa.europa.eu/eu-space-programme/eu-space-market-and-users/gnss-and-eo-market-report. Click or tap if you trust this link." w:history="1">
              <w:r w:rsidRPr="00B0203C">
                <w:rPr>
                  <w:rFonts w:asciiTheme="minorHAnsi" w:hAnsiTheme="minorHAnsi" w:cstheme="minorHAnsi"/>
                  <w:color w:val="0563C1"/>
                  <w:sz w:val="22"/>
                  <w:szCs w:val="22"/>
                  <w:u w:val="single"/>
                </w:rPr>
                <w:t>GNSS and EO Market Report | EU Agency for the Space Programme</w:t>
              </w:r>
            </w:hyperlink>
            <w:r w:rsidRPr="00B0203C">
              <w:rPr>
                <w:rFonts w:asciiTheme="minorHAnsi" w:hAnsiTheme="minorHAnsi" w:cstheme="minorHAnsi"/>
                <w:sz w:val="22"/>
                <w:szCs w:val="22"/>
              </w:rPr>
              <w:t>)</w:t>
            </w:r>
          </w:p>
        </w:tc>
      </w:tr>
      <w:tr w:rsidR="00211EDB" w:rsidRPr="00B0203C" w14:paraId="03575A0C"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6BC74D83"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Earth exploration satellites (constellations/GSO systems/all satellites)</w:t>
            </w:r>
          </w:p>
        </w:tc>
        <w:tc>
          <w:tcPr>
            <w:tcW w:w="1989" w:type="dxa"/>
          </w:tcPr>
          <w:p w14:paraId="57F594B9"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75B3D6F1"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92633DC" w14:textId="77777777" w:rsidR="00211EDB" w:rsidRPr="00B0203C" w:rsidRDefault="00211EDB" w:rsidP="00B0203C">
            <w:pPr>
              <w:spacing w:before="40" w:after="40"/>
              <w:rPr>
                <w:rFonts w:asciiTheme="minorHAnsi" w:hAnsiTheme="minorHAnsi" w:cstheme="minorHAnsi"/>
                <w:sz w:val="22"/>
                <w:szCs w:val="22"/>
              </w:rPr>
            </w:pPr>
            <w:r w:rsidRPr="00B0203C">
              <w:rPr>
                <w:rFonts w:asciiTheme="minorHAnsi" w:hAnsiTheme="minorHAnsi" w:cstheme="minorHAnsi"/>
                <w:sz w:val="22"/>
                <w:szCs w:val="22"/>
              </w:rPr>
              <w:t>Number of countries operating Earth exploration satellites</w:t>
            </w:r>
          </w:p>
        </w:tc>
        <w:tc>
          <w:tcPr>
            <w:tcW w:w="1989" w:type="dxa"/>
          </w:tcPr>
          <w:p w14:paraId="59A04CEC"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MIFR</w:t>
            </w:r>
          </w:p>
        </w:tc>
      </w:tr>
      <w:tr w:rsidR="00211EDB" w:rsidRPr="00B0203C" w14:paraId="3CE8F7CD"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266DB2A"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with a national emergency telecommunication plan as part of their national and local disaster risk reduction strategies</w:t>
            </w:r>
          </w:p>
        </w:tc>
        <w:tc>
          <w:tcPr>
            <w:tcW w:w="1989" w:type="dxa"/>
          </w:tcPr>
          <w:p w14:paraId="7EF29FCA"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4"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3C91D300"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0775135"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least developed countries (LDCs), land-locked developing countries (LLDCs), and small island developing states (SIDS) with broadband plans</w:t>
            </w:r>
          </w:p>
        </w:tc>
        <w:tc>
          <w:tcPr>
            <w:tcW w:w="1989" w:type="dxa"/>
          </w:tcPr>
          <w:p w14:paraId="0C734103"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25"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09BADF35"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15888B5"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countries with available data where at least 90 per cent of the population is covered by 3G network or higher (Disaggregated LDCs, LLDCs, SIDS)</w:t>
            </w:r>
          </w:p>
        </w:tc>
        <w:tc>
          <w:tcPr>
            <w:tcW w:w="1989" w:type="dxa"/>
          </w:tcPr>
          <w:p w14:paraId="7C815C32"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6"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12896502"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61119D3D"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digitally skilled users (by level: basic skills, standard skills and advanced skills)</w:t>
            </w:r>
          </w:p>
        </w:tc>
        <w:tc>
          <w:tcPr>
            <w:tcW w:w="1989" w:type="dxa"/>
          </w:tcPr>
          <w:p w14:paraId="7BCA14B5"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27"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0455641E"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BF4BDF1"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Member States increasing commitment to cybersecurity measured through the Global Cybersecurity Index (GCI).</w:t>
            </w:r>
          </w:p>
        </w:tc>
        <w:tc>
          <w:tcPr>
            <w:tcW w:w="1989" w:type="dxa"/>
          </w:tcPr>
          <w:p w14:paraId="37279394"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8" w:history="1">
              <w:r w:rsidRPr="00B0203C">
                <w:rPr>
                  <w:rFonts w:asciiTheme="minorHAnsi" w:hAnsiTheme="minorHAnsi" w:cstheme="minorHAnsi"/>
                  <w:color w:val="0563C1"/>
                  <w:sz w:val="22"/>
                  <w:szCs w:val="22"/>
                  <w:u w:val="single"/>
                </w:rPr>
                <w:t>Global Cybersecurity Index</w:t>
              </w:r>
            </w:hyperlink>
          </w:p>
        </w:tc>
      </w:tr>
      <w:tr w:rsidR="00211EDB" w:rsidRPr="00B0203C" w14:paraId="4A46A03D"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AEE9416" w14:textId="075F96C2" w:rsidR="00CA6688" w:rsidRPr="00B0203C" w:rsidRDefault="00211EDB" w:rsidP="00B0203C">
            <w:pPr>
              <w:spacing w:before="40" w:after="40"/>
              <w:rPr>
                <w:rFonts w:asciiTheme="minorHAnsi" w:hAnsiTheme="minorHAnsi" w:cstheme="minorHAnsi"/>
                <w:sz w:val="22"/>
                <w:szCs w:val="22"/>
              </w:rPr>
            </w:pPr>
            <w:r w:rsidRPr="00B0203C">
              <w:rPr>
                <w:rFonts w:asciiTheme="minorHAnsi" w:hAnsiTheme="minorHAnsi" w:cstheme="minorHAnsi"/>
                <w:b w:val="0"/>
                <w:bCs w:val="0"/>
                <w:sz w:val="22"/>
                <w:szCs w:val="22"/>
              </w:rPr>
              <w:t xml:space="preserve">Population covered by at least a </w:t>
            </w:r>
            <w:proofErr w:type="spellStart"/>
            <w:r w:rsidRPr="00B0203C">
              <w:rPr>
                <w:rFonts w:asciiTheme="minorHAnsi" w:hAnsiTheme="minorHAnsi" w:cstheme="minorHAnsi"/>
                <w:b w:val="0"/>
                <w:bCs w:val="0"/>
                <w:sz w:val="22"/>
                <w:szCs w:val="22"/>
              </w:rPr>
              <w:t>4G</w:t>
            </w:r>
            <w:proofErr w:type="spellEnd"/>
            <w:r w:rsidRPr="00B0203C">
              <w:rPr>
                <w:rFonts w:asciiTheme="minorHAnsi" w:hAnsiTheme="minorHAnsi" w:cstheme="minorHAnsi"/>
                <w:b w:val="0"/>
                <w:bCs w:val="0"/>
                <w:sz w:val="22"/>
                <w:szCs w:val="22"/>
              </w:rPr>
              <w:t xml:space="preserve"> mobile network</w:t>
            </w:r>
          </w:p>
        </w:tc>
        <w:tc>
          <w:tcPr>
            <w:tcW w:w="1989" w:type="dxa"/>
          </w:tcPr>
          <w:p w14:paraId="0DB3EAE2"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29"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2D36AFC2"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127E3096" w14:textId="792735CA" w:rsidR="00CA6688" w:rsidRPr="00B0203C" w:rsidRDefault="00211EDB" w:rsidP="00B0203C">
            <w:pPr>
              <w:spacing w:before="40" w:after="40"/>
              <w:rPr>
                <w:rFonts w:asciiTheme="minorHAnsi" w:hAnsiTheme="minorHAnsi" w:cstheme="minorHAnsi"/>
                <w:sz w:val="22"/>
                <w:szCs w:val="22"/>
              </w:rPr>
            </w:pPr>
            <w:r w:rsidRPr="00B0203C">
              <w:rPr>
                <w:rFonts w:asciiTheme="minorHAnsi" w:hAnsiTheme="minorHAnsi" w:cstheme="minorHAnsi"/>
                <w:b w:val="0"/>
                <w:bCs w:val="0"/>
                <w:sz w:val="22"/>
                <w:szCs w:val="22"/>
              </w:rPr>
              <w:t>Fixed broadband (percentage of total): &gt;10 Mbit/s</w:t>
            </w:r>
          </w:p>
        </w:tc>
        <w:tc>
          <w:tcPr>
            <w:tcW w:w="1989" w:type="dxa"/>
          </w:tcPr>
          <w:p w14:paraId="0E1A979A"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30"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21368BCE"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260183E3" w14:textId="704771C1" w:rsidR="00CA6688" w:rsidRPr="00B0203C" w:rsidRDefault="00211EDB" w:rsidP="00B0203C">
            <w:pPr>
              <w:spacing w:before="40" w:after="40"/>
              <w:rPr>
                <w:rFonts w:asciiTheme="minorHAnsi" w:hAnsiTheme="minorHAnsi" w:cstheme="minorHAnsi"/>
                <w:sz w:val="22"/>
                <w:szCs w:val="22"/>
              </w:rPr>
            </w:pPr>
            <w:r w:rsidRPr="00B0203C">
              <w:rPr>
                <w:rFonts w:asciiTheme="minorHAnsi" w:hAnsiTheme="minorHAnsi" w:cstheme="minorHAnsi"/>
                <w:b w:val="0"/>
                <w:bCs w:val="0"/>
                <w:sz w:val="22"/>
                <w:szCs w:val="22"/>
              </w:rPr>
              <w:t>Number of countries with a WEEE policy, legislation or regulation</w:t>
            </w:r>
          </w:p>
        </w:tc>
        <w:tc>
          <w:tcPr>
            <w:tcW w:w="1989" w:type="dxa"/>
          </w:tcPr>
          <w:p w14:paraId="232D7036"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31"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00AA404A"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49E1C8D"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countries advancing to the next generation of regulation (G1-G4) and/or to a higher level of preparedness for the digital transformation (G5).</w:t>
            </w:r>
          </w:p>
        </w:tc>
        <w:tc>
          <w:tcPr>
            <w:tcW w:w="1989" w:type="dxa"/>
          </w:tcPr>
          <w:p w14:paraId="00BA2857"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32" w:history="1">
              <w:r w:rsidRPr="00B0203C">
                <w:rPr>
                  <w:rFonts w:asciiTheme="minorHAnsi" w:hAnsiTheme="minorHAnsi" w:cstheme="minorHAnsi"/>
                  <w:color w:val="0563C1"/>
                  <w:sz w:val="22"/>
                  <w:szCs w:val="22"/>
                  <w:u w:val="single"/>
                </w:rPr>
                <w:t>ICT Regulatory Tracker</w:t>
              </w:r>
            </w:hyperlink>
            <w:r w:rsidRPr="00B0203C">
              <w:rPr>
                <w:rFonts w:asciiTheme="minorHAnsi" w:hAnsiTheme="minorHAnsi" w:cstheme="minorHAnsi"/>
                <w:sz w:val="22"/>
                <w:szCs w:val="22"/>
              </w:rPr>
              <w:t xml:space="preserve">, </w:t>
            </w:r>
            <w:hyperlink r:id="rId33" w:history="1">
              <w:r w:rsidRPr="00B0203C">
                <w:rPr>
                  <w:rFonts w:asciiTheme="minorHAnsi" w:hAnsiTheme="minorHAnsi" w:cstheme="minorHAnsi"/>
                  <w:color w:val="0563C1"/>
                  <w:sz w:val="22"/>
                  <w:szCs w:val="22"/>
                  <w:u w:val="single"/>
                </w:rPr>
                <w:t>G5 Benchmark</w:t>
              </w:r>
            </w:hyperlink>
          </w:p>
        </w:tc>
      </w:tr>
      <w:tr w:rsidR="00211EDB" w:rsidRPr="00B0203C" w14:paraId="7A6D152D"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1E711095"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Member States that submitted valid data no older than two years for at least 80 per cent of the indicators of the ITU World Telecommunication Indicators short questionnaire</w:t>
            </w:r>
          </w:p>
        </w:tc>
        <w:tc>
          <w:tcPr>
            <w:tcW w:w="1989" w:type="dxa"/>
          </w:tcPr>
          <w:p w14:paraId="7295DDDB"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34"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19A74103"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5D25642"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Member States submitting valid data no older than three years for at least 80 per cent of the indicators for the ITU’s household questionnaire</w:t>
            </w:r>
          </w:p>
        </w:tc>
        <w:tc>
          <w:tcPr>
            <w:tcW w:w="1989" w:type="dxa"/>
          </w:tcPr>
          <w:p w14:paraId="31440602"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35"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33386583"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075D21A"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Member States that submitted valid location (rural/urban), gender and age disaggregated data no older than three years for the indicator ‘share of individuals using the Internet</w:t>
            </w:r>
          </w:p>
        </w:tc>
        <w:tc>
          <w:tcPr>
            <w:tcW w:w="1989" w:type="dxa"/>
          </w:tcPr>
          <w:p w14:paraId="030A0A43"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36"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247FAA64"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159B1CC6"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Percentage of Member States that submitted valid data no older than three years for at least five of the information and communication technologies (ICTs) skills listed in the questionnaire</w:t>
            </w:r>
          </w:p>
        </w:tc>
        <w:tc>
          <w:tcPr>
            <w:tcW w:w="1989" w:type="dxa"/>
          </w:tcPr>
          <w:p w14:paraId="7AAB9BA9" w14:textId="77777777" w:rsidR="00211EDB" w:rsidRPr="00B0203C" w:rsidRDefault="00211EDB"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37" w:history="1">
              <w:r w:rsidRPr="00B0203C">
                <w:rPr>
                  <w:rFonts w:asciiTheme="minorHAnsi" w:hAnsiTheme="minorHAnsi" w:cstheme="minorHAnsi"/>
                  <w:color w:val="0563C1"/>
                  <w:sz w:val="22"/>
                  <w:szCs w:val="22"/>
                  <w:u w:val="single"/>
                </w:rPr>
                <w:t xml:space="preserve">ITU </w:t>
              </w:r>
              <w:proofErr w:type="spellStart"/>
              <w:r w:rsidRPr="00B0203C">
                <w:rPr>
                  <w:rFonts w:asciiTheme="minorHAnsi" w:hAnsiTheme="minorHAnsi" w:cstheme="minorHAnsi"/>
                  <w:color w:val="0563C1"/>
                  <w:sz w:val="22"/>
                  <w:szCs w:val="22"/>
                  <w:u w:val="single"/>
                </w:rPr>
                <w:t>DataHub</w:t>
              </w:r>
              <w:proofErr w:type="spellEnd"/>
            </w:hyperlink>
          </w:p>
        </w:tc>
      </w:tr>
      <w:tr w:rsidR="00211EDB" w:rsidRPr="00B0203C" w14:paraId="028B9AFD"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017DE4A" w14:textId="49CFCA77" w:rsidR="00211EDB" w:rsidRPr="00B0203C" w:rsidRDefault="003C498E"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ITU-T standards referenced by papers published in high standing academic publications.</w:t>
            </w:r>
          </w:p>
        </w:tc>
        <w:tc>
          <w:tcPr>
            <w:tcW w:w="1989" w:type="dxa"/>
          </w:tcPr>
          <w:p w14:paraId="1EB78C3C" w14:textId="61510919" w:rsidR="00211EDB" w:rsidRPr="00B0203C" w:rsidRDefault="00F163CC"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 publication analysis/research</w:t>
            </w:r>
          </w:p>
        </w:tc>
      </w:tr>
      <w:tr w:rsidR="00211EDB" w:rsidRPr="00B0203C" w14:paraId="7D851A13"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40C5906F" w14:textId="46BE938E" w:rsidR="00211EDB" w:rsidRPr="00B0203C" w:rsidRDefault="00E21B31"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Level of satisfaction by Members on interoperability and performance of telecommunications/ICTs</w:t>
            </w:r>
          </w:p>
        </w:tc>
        <w:tc>
          <w:tcPr>
            <w:tcW w:w="1989" w:type="dxa"/>
          </w:tcPr>
          <w:p w14:paraId="7642D8D3" w14:textId="45E478CC" w:rsidR="00211EDB" w:rsidRPr="00B0203C" w:rsidRDefault="00690418"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w:t>
            </w:r>
          </w:p>
        </w:tc>
      </w:tr>
      <w:tr w:rsidR="00211EDB" w:rsidRPr="00B0203C" w14:paraId="4883F253"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76463BD1" w14:textId="716B150E" w:rsidR="00211EDB" w:rsidRPr="00B0203C" w:rsidRDefault="00CA00DD"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lastRenderedPageBreak/>
              <w:t>Economic impact of top ten ITU technology standards</w:t>
            </w:r>
          </w:p>
        </w:tc>
        <w:tc>
          <w:tcPr>
            <w:tcW w:w="1989" w:type="dxa"/>
          </w:tcPr>
          <w:p w14:paraId="7F71B6EF" w14:textId="6BE47010" w:rsidR="00211EDB" w:rsidRPr="00B0203C" w:rsidRDefault="00C67B3A"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 and publications/market &amp; trend analysis</w:t>
            </w:r>
          </w:p>
        </w:tc>
      </w:tr>
      <w:tr w:rsidR="00211EDB" w:rsidRPr="00B0203C" w14:paraId="29A7918D"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8F42B9A" w14:textId="3AACE9EF" w:rsidR="00211EDB" w:rsidRPr="00B0203C" w:rsidRDefault="0021148F"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Member States having agencies responsible for new and emerging technologies that ITU-T addresses</w:t>
            </w:r>
          </w:p>
        </w:tc>
        <w:tc>
          <w:tcPr>
            <w:tcW w:w="1989" w:type="dxa"/>
          </w:tcPr>
          <w:p w14:paraId="1A39776F" w14:textId="2B0B1FF0" w:rsidR="00211EDB" w:rsidRPr="00B0203C" w:rsidRDefault="00B435FA"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w:t>
            </w:r>
          </w:p>
        </w:tc>
      </w:tr>
      <w:tr w:rsidR="00211EDB" w:rsidRPr="00B0203C" w14:paraId="258559A2"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1C8798DB" w14:textId="2CFF7B95" w:rsidR="00211EDB" w:rsidRPr="00B0203C" w:rsidRDefault="00AA26EC"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Number of ITU-T standards adopted as national standards or referenced in national/regional regulations</w:t>
            </w:r>
          </w:p>
        </w:tc>
        <w:tc>
          <w:tcPr>
            <w:tcW w:w="1989" w:type="dxa"/>
          </w:tcPr>
          <w:p w14:paraId="18FFB9BD" w14:textId="1ABDE487" w:rsidR="00211EDB" w:rsidRPr="00B0203C" w:rsidRDefault="00BF49CF"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w:t>
            </w:r>
          </w:p>
        </w:tc>
      </w:tr>
      <w:tr w:rsidR="00211EDB" w:rsidRPr="00B0203C" w14:paraId="48273DCF"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7CC6AC1" w14:textId="76A3F39A" w:rsidR="00211EDB" w:rsidRPr="00B0203C" w:rsidRDefault="00B20ED8"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Effective allocation and management of international telecommunication numbering, naming, addressing and identification (NNAI) resources in accordance with ITU-T recommendations and procedures</w:t>
            </w:r>
          </w:p>
        </w:tc>
        <w:tc>
          <w:tcPr>
            <w:tcW w:w="1989" w:type="dxa"/>
          </w:tcPr>
          <w:p w14:paraId="48282BDB" w14:textId="4917B74C" w:rsidR="00211EDB" w:rsidRPr="00B0203C" w:rsidRDefault="0040127C" w:rsidP="00B0203C">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 Operational Bulletin</w:t>
            </w:r>
          </w:p>
        </w:tc>
      </w:tr>
      <w:tr w:rsidR="0049359C" w:rsidRPr="00B0203C" w14:paraId="0BB7623B"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0894D85" w14:textId="498502DA" w:rsidR="0049359C" w:rsidRPr="00B0203C" w:rsidRDefault="00422771"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Enhanced availability of international telecommunication networks and services</w:t>
            </w:r>
          </w:p>
        </w:tc>
        <w:tc>
          <w:tcPr>
            <w:tcW w:w="1989" w:type="dxa"/>
          </w:tcPr>
          <w:p w14:paraId="2E6FA270" w14:textId="15C8249F" w:rsidR="0049359C" w:rsidRPr="00B0203C" w:rsidRDefault="004E6FB6"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w:t>
            </w:r>
          </w:p>
        </w:tc>
      </w:tr>
      <w:tr w:rsidR="00211EDB" w:rsidRPr="00B0203C" w14:paraId="2BD546C5"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7896D526" w14:textId="7FE3DE30" w:rsidR="0099569B" w:rsidRPr="00B0203C" w:rsidRDefault="00211EDB" w:rsidP="00B0203C">
            <w:pPr>
              <w:spacing w:before="40" w:after="40"/>
              <w:rPr>
                <w:rFonts w:asciiTheme="minorHAnsi" w:hAnsiTheme="minorHAnsi" w:cstheme="minorHAnsi"/>
                <w:sz w:val="22"/>
                <w:szCs w:val="22"/>
              </w:rPr>
            </w:pPr>
            <w:r w:rsidRPr="00B0203C">
              <w:rPr>
                <w:rFonts w:asciiTheme="minorHAnsi" w:hAnsiTheme="minorHAnsi" w:cstheme="minorHAnsi"/>
                <w:b w:val="0"/>
                <w:bCs w:val="0"/>
                <w:sz w:val="22"/>
                <w:szCs w:val="22"/>
              </w:rPr>
              <w:t>Increased membership and participation of targeted industry thought leaders</w:t>
            </w:r>
          </w:p>
        </w:tc>
        <w:tc>
          <w:tcPr>
            <w:tcW w:w="1989" w:type="dxa"/>
          </w:tcPr>
          <w:p w14:paraId="4D7C1242" w14:textId="77777777" w:rsidR="00211EDB" w:rsidRPr="00B0203C" w:rsidRDefault="00211EDB" w:rsidP="00B0203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CRM</w:t>
            </w:r>
          </w:p>
        </w:tc>
      </w:tr>
      <w:tr w:rsidR="00211EDB" w:rsidRPr="00B0203C" w14:paraId="208987D8" w14:textId="77777777" w:rsidTr="001938D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008B069" w14:textId="63CFD8FD" w:rsidR="0099569B" w:rsidRPr="00B0203C" w:rsidRDefault="00211EDB" w:rsidP="00B0203C">
            <w:pPr>
              <w:spacing w:before="40" w:after="40"/>
              <w:rPr>
                <w:rFonts w:asciiTheme="minorHAnsi" w:hAnsiTheme="minorHAnsi" w:cstheme="minorHAnsi"/>
                <w:sz w:val="22"/>
                <w:szCs w:val="22"/>
              </w:rPr>
            </w:pPr>
            <w:r w:rsidRPr="00B0203C">
              <w:rPr>
                <w:rFonts w:asciiTheme="minorHAnsi" w:hAnsiTheme="minorHAnsi" w:cstheme="minorHAnsi"/>
                <w:b w:val="0"/>
                <w:bCs w:val="0"/>
                <w:sz w:val="22"/>
                <w:szCs w:val="22"/>
              </w:rPr>
              <w:t>Rate of resource allocation to support costs vs technical Outputs</w:t>
            </w:r>
          </w:p>
        </w:tc>
        <w:tc>
          <w:tcPr>
            <w:tcW w:w="1989" w:type="dxa"/>
          </w:tcPr>
          <w:p w14:paraId="58647280" w14:textId="77777777" w:rsidR="00211EDB" w:rsidRPr="00B0203C" w:rsidRDefault="00211EDB" w:rsidP="00B0203C">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SAP/ERP</w:t>
            </w:r>
          </w:p>
        </w:tc>
      </w:tr>
      <w:tr w:rsidR="00211EDB" w:rsidRPr="00B0203C" w14:paraId="5E73597E" w14:textId="77777777" w:rsidTr="001938D1">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72D4029" w14:textId="77777777" w:rsidR="00211EDB" w:rsidRPr="00B0203C" w:rsidRDefault="00211EDB" w:rsidP="00B0203C">
            <w:pPr>
              <w:spacing w:before="40" w:after="40"/>
              <w:rPr>
                <w:rFonts w:asciiTheme="minorHAnsi" w:hAnsiTheme="minorHAnsi" w:cstheme="minorHAnsi"/>
                <w:b w:val="0"/>
                <w:bCs w:val="0"/>
                <w:sz w:val="22"/>
                <w:szCs w:val="22"/>
              </w:rPr>
            </w:pPr>
            <w:r w:rsidRPr="00B0203C">
              <w:rPr>
                <w:rFonts w:asciiTheme="minorHAnsi" w:hAnsiTheme="minorHAnsi" w:cstheme="minorHAnsi"/>
                <w:b w:val="0"/>
                <w:bCs w:val="0"/>
                <w:sz w:val="22"/>
                <w:szCs w:val="22"/>
              </w:rPr>
              <w:t>Satisfaction rates with ITU outputs, services and experiences</w:t>
            </w:r>
          </w:p>
        </w:tc>
        <w:tc>
          <w:tcPr>
            <w:tcW w:w="1989" w:type="dxa"/>
          </w:tcPr>
          <w:p w14:paraId="7E0344CD" w14:textId="77777777" w:rsidR="00211EDB" w:rsidRPr="00B0203C" w:rsidRDefault="00211EDB" w:rsidP="00B0203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203C">
              <w:rPr>
                <w:rFonts w:asciiTheme="minorHAnsi" w:hAnsiTheme="minorHAnsi" w:cstheme="minorHAnsi"/>
                <w:sz w:val="22"/>
                <w:szCs w:val="22"/>
              </w:rPr>
              <w:t>Member surveys</w:t>
            </w:r>
          </w:p>
        </w:tc>
      </w:tr>
    </w:tbl>
    <w:p w14:paraId="336F5818" w14:textId="77777777" w:rsidR="0079183A" w:rsidRPr="0079183A" w:rsidRDefault="0079183A" w:rsidP="0079183A"/>
    <w:p w14:paraId="0042B2C1" w14:textId="77777777" w:rsidR="00246F45" w:rsidRDefault="00246F45">
      <w:pPr>
        <w:jc w:val="center"/>
      </w:pPr>
      <w:r>
        <w:t>______________</w:t>
      </w:r>
    </w:p>
    <w:sectPr w:rsidR="00246F45" w:rsidSect="00AD3606">
      <w:footerReference w:type="default" r:id="rId38"/>
      <w:headerReference w:type="first" r:id="rId39"/>
      <w:footerReference w:type="first" r:id="rId4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8BB8" w14:textId="77777777" w:rsidR="00306A01" w:rsidRDefault="00306A01">
      <w:r>
        <w:separator/>
      </w:r>
    </w:p>
  </w:endnote>
  <w:endnote w:type="continuationSeparator" w:id="0">
    <w:p w14:paraId="51521D75" w14:textId="77777777" w:rsidR="00306A01" w:rsidRDefault="0030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2820CC" w14:textId="77777777" w:rsidTr="00CA2822">
      <w:trPr>
        <w:jc w:val="center"/>
      </w:trPr>
      <w:tc>
        <w:tcPr>
          <w:tcW w:w="1803" w:type="dxa"/>
          <w:vAlign w:val="center"/>
        </w:tcPr>
        <w:p w14:paraId="55C84B8A" w14:textId="77777777" w:rsidR="00EE49E8" w:rsidRDefault="00EE49E8" w:rsidP="00EE49E8">
          <w:pPr>
            <w:pStyle w:val="Header"/>
            <w:jc w:val="left"/>
            <w:rPr>
              <w:noProof/>
            </w:rPr>
          </w:pPr>
        </w:p>
      </w:tc>
      <w:tc>
        <w:tcPr>
          <w:tcW w:w="8261" w:type="dxa"/>
        </w:tcPr>
        <w:p w14:paraId="0006E266" w14:textId="09FEFF92"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B82C1B" w:rsidRPr="00870C17">
            <w:rPr>
              <w:bCs/>
              <w:lang w:val="es-ES"/>
            </w:rPr>
            <w:t>-</w:t>
          </w:r>
          <w:r w:rsidR="00395BCD">
            <w:rPr>
              <w:bCs/>
              <w:lang w:val="es-ES"/>
            </w:rPr>
            <w:t>3</w:t>
          </w:r>
          <w:r w:rsidR="00B82C1B">
            <w:rPr>
              <w:bCs/>
              <w:lang w:val="es-ES"/>
            </w:rPr>
            <w:t>/</w:t>
          </w:r>
          <w:r w:rsidR="00400B6F">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57EFF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660B5049" w14:textId="77777777" w:rsidTr="00A52C84">
      <w:trPr>
        <w:jc w:val="center"/>
      </w:trPr>
      <w:tc>
        <w:tcPr>
          <w:tcW w:w="3107" w:type="dxa"/>
          <w:vAlign w:val="center"/>
        </w:tcPr>
        <w:p w14:paraId="3ABDA1AA" w14:textId="0B818E94" w:rsidR="00EE49E8" w:rsidRPr="0025570E" w:rsidRDefault="0025570E" w:rsidP="00EE49E8">
          <w:pPr>
            <w:pStyle w:val="Header"/>
            <w:jc w:val="left"/>
            <w:rPr>
              <w:noProof/>
              <w:u w:val="single"/>
            </w:rPr>
          </w:pPr>
          <w:hyperlink r:id="rId1" w:history="1">
            <w:proofErr w:type="spellStart"/>
            <w:r w:rsidRPr="0025570E">
              <w:rPr>
                <w:rStyle w:val="Hyperlink"/>
              </w:rPr>
              <w:t>council.itu.int</w:t>
            </w:r>
            <w:proofErr w:type="spellEnd"/>
            <w:r w:rsidRPr="0025570E">
              <w:rPr>
                <w:rStyle w:val="Hyperlink"/>
              </w:rPr>
              <w:t>/working-groups</w:t>
            </w:r>
          </w:hyperlink>
        </w:p>
      </w:tc>
      <w:tc>
        <w:tcPr>
          <w:tcW w:w="6957" w:type="dxa"/>
        </w:tcPr>
        <w:p w14:paraId="17EFD000" w14:textId="7DD3A3E0"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F73B2C" w:rsidRPr="00870C17">
            <w:rPr>
              <w:bCs/>
              <w:lang w:val="es-ES"/>
            </w:rPr>
            <w:t>-</w:t>
          </w:r>
          <w:r w:rsidR="00395BCD">
            <w:rPr>
              <w:bCs/>
              <w:lang w:val="es-ES"/>
            </w:rPr>
            <w:t>3</w:t>
          </w:r>
          <w:r w:rsidR="00205D4E">
            <w:rPr>
              <w:bCs/>
              <w:lang w:val="es-ES"/>
            </w:rPr>
            <w:t>/</w:t>
          </w:r>
          <w:r w:rsidR="00400B6F">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B13FAE0"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E699" w14:textId="77777777" w:rsidR="00306A01" w:rsidRDefault="00306A01">
      <w:r>
        <w:t>____________________</w:t>
      </w:r>
    </w:p>
  </w:footnote>
  <w:footnote w:type="continuationSeparator" w:id="0">
    <w:p w14:paraId="35AC67C9" w14:textId="77777777" w:rsidR="00306A01" w:rsidRDefault="0030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85C97" w:rsidRPr="00784011" w14:paraId="023C4028" w14:textId="77777777" w:rsidTr="00CA2822">
      <w:trPr>
        <w:trHeight w:val="1304"/>
        <w:jc w:val="center"/>
      </w:trPr>
      <w:tc>
        <w:tcPr>
          <w:tcW w:w="6546" w:type="dxa"/>
        </w:tcPr>
        <w:bookmarkStart w:id="11" w:name="_Hlk133422111"/>
        <w:p w14:paraId="0463463C" w14:textId="77777777" w:rsidR="00485C97" w:rsidRPr="009621F8" w:rsidRDefault="00485C97" w:rsidP="00485C97">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273582E" wp14:editId="0E0AAACA">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3582E"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4A46C533" wp14:editId="180809C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F8A2258" w14:textId="77777777" w:rsidR="00485C97" w:rsidRDefault="00485C97" w:rsidP="00485C97">
          <w:pPr>
            <w:pStyle w:val="Header"/>
            <w:jc w:val="right"/>
            <w:rPr>
              <w:rFonts w:ascii="Arial" w:hAnsi="Arial" w:cs="Arial"/>
              <w:b/>
              <w:bCs/>
              <w:color w:val="009CD6"/>
              <w:szCs w:val="18"/>
            </w:rPr>
          </w:pPr>
        </w:p>
        <w:p w14:paraId="21546CCD" w14:textId="77777777" w:rsidR="00485C97" w:rsidRDefault="00485C97" w:rsidP="00485C97">
          <w:pPr>
            <w:pStyle w:val="Header"/>
            <w:jc w:val="right"/>
            <w:rPr>
              <w:rFonts w:ascii="Arial" w:hAnsi="Arial" w:cs="Arial"/>
              <w:b/>
              <w:bCs/>
              <w:color w:val="009CD6"/>
              <w:szCs w:val="18"/>
            </w:rPr>
          </w:pPr>
        </w:p>
        <w:p w14:paraId="3EDEBE6D" w14:textId="77777777" w:rsidR="00485C97" w:rsidRPr="00784011" w:rsidRDefault="00485C97" w:rsidP="00485C9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5C75E8DD" w14:textId="77777777" w:rsidR="00485C97" w:rsidRDefault="00485C97" w:rsidP="00485C9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76AC486" wp14:editId="2601FDE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1F5744A"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56D00E"/>
    <w:lvl w:ilvl="0">
      <w:start w:val="1"/>
      <w:numFmt w:val="bullet"/>
      <w:lvlText w:val=""/>
      <w:lvlJc w:val="left"/>
      <w:pPr>
        <w:tabs>
          <w:tab w:val="num" w:pos="1211"/>
        </w:tabs>
        <w:ind w:left="1211" w:hanging="360"/>
      </w:pPr>
      <w:rPr>
        <w:rFonts w:ascii="Symbol" w:hAnsi="Symbol" w:hint="default"/>
      </w:rPr>
    </w:lvl>
  </w:abstractNum>
  <w:abstractNum w:abstractNumId="1" w15:restartNumberingAfterBreak="0">
    <w:nsid w:val="102C1BC8"/>
    <w:multiLevelType w:val="hybridMultilevel"/>
    <w:tmpl w:val="A78E9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15ED8"/>
    <w:multiLevelType w:val="hybridMultilevel"/>
    <w:tmpl w:val="8EE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6C91"/>
    <w:multiLevelType w:val="multilevel"/>
    <w:tmpl w:val="648A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375D7"/>
    <w:multiLevelType w:val="hybridMultilevel"/>
    <w:tmpl w:val="89E48650"/>
    <w:lvl w:ilvl="0" w:tplc="4906F19C">
      <w:start w:val="1"/>
      <w:numFmt w:val="decimal"/>
      <w:lvlText w:val="%1."/>
      <w:lvlJc w:val="left"/>
      <w:pPr>
        <w:ind w:left="720" w:hanging="360"/>
      </w:pPr>
      <w:rPr>
        <w:rFonts w:ascii="Calibri" w:eastAsia="Times New Roman" w:hAnsi="Calibri"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2B50B3"/>
    <w:multiLevelType w:val="hybridMultilevel"/>
    <w:tmpl w:val="96D86F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B40E95"/>
    <w:multiLevelType w:val="hybridMultilevel"/>
    <w:tmpl w:val="FFFFFFFF"/>
    <w:lvl w:ilvl="0" w:tplc="28C215A2">
      <w:start w:val="1"/>
      <w:numFmt w:val="decimal"/>
      <w:lvlText w:val="%1."/>
      <w:lvlJc w:val="left"/>
      <w:pPr>
        <w:ind w:left="720" w:hanging="360"/>
      </w:pPr>
    </w:lvl>
    <w:lvl w:ilvl="1" w:tplc="35AA3E18">
      <w:start w:val="1"/>
      <w:numFmt w:val="lowerLetter"/>
      <w:lvlText w:val="%2."/>
      <w:lvlJc w:val="left"/>
      <w:pPr>
        <w:ind w:left="1440" w:hanging="360"/>
      </w:pPr>
    </w:lvl>
    <w:lvl w:ilvl="2" w:tplc="A98E43E2">
      <w:start w:val="1"/>
      <w:numFmt w:val="lowerRoman"/>
      <w:lvlText w:val="%3."/>
      <w:lvlJc w:val="right"/>
      <w:pPr>
        <w:ind w:left="2160" w:hanging="180"/>
      </w:pPr>
    </w:lvl>
    <w:lvl w:ilvl="3" w:tplc="9D8A3030">
      <w:start w:val="1"/>
      <w:numFmt w:val="decimal"/>
      <w:lvlText w:val="%4."/>
      <w:lvlJc w:val="left"/>
      <w:pPr>
        <w:ind w:left="2880" w:hanging="360"/>
      </w:pPr>
    </w:lvl>
    <w:lvl w:ilvl="4" w:tplc="08EE131E">
      <w:start w:val="1"/>
      <w:numFmt w:val="lowerLetter"/>
      <w:lvlText w:val="%5."/>
      <w:lvlJc w:val="left"/>
      <w:pPr>
        <w:ind w:left="3600" w:hanging="360"/>
      </w:pPr>
    </w:lvl>
    <w:lvl w:ilvl="5" w:tplc="EDF20D76">
      <w:start w:val="1"/>
      <w:numFmt w:val="lowerRoman"/>
      <w:lvlText w:val="%6."/>
      <w:lvlJc w:val="right"/>
      <w:pPr>
        <w:ind w:left="4320" w:hanging="180"/>
      </w:pPr>
    </w:lvl>
    <w:lvl w:ilvl="6" w:tplc="C5BE8886">
      <w:start w:val="1"/>
      <w:numFmt w:val="decimal"/>
      <w:lvlText w:val="%7."/>
      <w:lvlJc w:val="left"/>
      <w:pPr>
        <w:ind w:left="5040" w:hanging="360"/>
      </w:pPr>
    </w:lvl>
    <w:lvl w:ilvl="7" w:tplc="0E3A2DAA">
      <w:start w:val="1"/>
      <w:numFmt w:val="lowerLetter"/>
      <w:lvlText w:val="%8."/>
      <w:lvlJc w:val="left"/>
      <w:pPr>
        <w:ind w:left="5760" w:hanging="360"/>
      </w:pPr>
    </w:lvl>
    <w:lvl w:ilvl="8" w:tplc="42261750">
      <w:start w:val="1"/>
      <w:numFmt w:val="lowerRoman"/>
      <w:lvlText w:val="%9."/>
      <w:lvlJc w:val="right"/>
      <w:pPr>
        <w:ind w:left="6480" w:hanging="180"/>
      </w:pPr>
    </w:lvl>
  </w:abstractNum>
  <w:num w:numId="1" w16cid:durableId="1374816267">
    <w:abstractNumId w:val="0"/>
  </w:num>
  <w:num w:numId="2" w16cid:durableId="660739482">
    <w:abstractNumId w:val="3"/>
  </w:num>
  <w:num w:numId="3" w16cid:durableId="1557398166">
    <w:abstractNumId w:val="1"/>
  </w:num>
  <w:num w:numId="4" w16cid:durableId="109323700">
    <w:abstractNumId w:val="2"/>
  </w:num>
  <w:num w:numId="5" w16cid:durableId="1894542103">
    <w:abstractNumId w:val="6"/>
  </w:num>
  <w:num w:numId="6" w16cid:durableId="1176267841">
    <w:abstractNumId w:val="5"/>
  </w:num>
  <w:num w:numId="7" w16cid:durableId="1224758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73"/>
    <w:rsid w:val="00003A6D"/>
    <w:rsid w:val="000041A9"/>
    <w:rsid w:val="00004C8C"/>
    <w:rsid w:val="000120E4"/>
    <w:rsid w:val="000210D4"/>
    <w:rsid w:val="00040A51"/>
    <w:rsid w:val="00046146"/>
    <w:rsid w:val="000525A1"/>
    <w:rsid w:val="00063016"/>
    <w:rsid w:val="00066795"/>
    <w:rsid w:val="00076AF6"/>
    <w:rsid w:val="00085CF2"/>
    <w:rsid w:val="000A1525"/>
    <w:rsid w:val="000B1705"/>
    <w:rsid w:val="000D75B2"/>
    <w:rsid w:val="000F5FDA"/>
    <w:rsid w:val="000F6AB8"/>
    <w:rsid w:val="001121F5"/>
    <w:rsid w:val="00130599"/>
    <w:rsid w:val="00131E18"/>
    <w:rsid w:val="001400DC"/>
    <w:rsid w:val="00140CE1"/>
    <w:rsid w:val="00147C54"/>
    <w:rsid w:val="0017539C"/>
    <w:rsid w:val="00175AC2"/>
    <w:rsid w:val="0017609F"/>
    <w:rsid w:val="001938D1"/>
    <w:rsid w:val="001A7D1D"/>
    <w:rsid w:val="001B0595"/>
    <w:rsid w:val="001B51DD"/>
    <w:rsid w:val="001C628E"/>
    <w:rsid w:val="001D58C1"/>
    <w:rsid w:val="001D62DF"/>
    <w:rsid w:val="001E0F7B"/>
    <w:rsid w:val="001E0FBE"/>
    <w:rsid w:val="001E5FE7"/>
    <w:rsid w:val="00205D4E"/>
    <w:rsid w:val="0021148F"/>
    <w:rsid w:val="002119FD"/>
    <w:rsid w:val="00211EDB"/>
    <w:rsid w:val="002130E0"/>
    <w:rsid w:val="00213459"/>
    <w:rsid w:val="00227AAB"/>
    <w:rsid w:val="00241644"/>
    <w:rsid w:val="00244F7F"/>
    <w:rsid w:val="00246F45"/>
    <w:rsid w:val="00250A7B"/>
    <w:rsid w:val="0025197E"/>
    <w:rsid w:val="0025570E"/>
    <w:rsid w:val="002608B7"/>
    <w:rsid w:val="00264425"/>
    <w:rsid w:val="00265875"/>
    <w:rsid w:val="0027303B"/>
    <w:rsid w:val="002734E1"/>
    <w:rsid w:val="00275C39"/>
    <w:rsid w:val="0028109B"/>
    <w:rsid w:val="002A2188"/>
    <w:rsid w:val="002B1F58"/>
    <w:rsid w:val="002C1C7A"/>
    <w:rsid w:val="002C54E2"/>
    <w:rsid w:val="002E0AC3"/>
    <w:rsid w:val="002F2D06"/>
    <w:rsid w:val="00300F9A"/>
    <w:rsid w:val="0030160F"/>
    <w:rsid w:val="003017F4"/>
    <w:rsid w:val="00301AEE"/>
    <w:rsid w:val="00306A01"/>
    <w:rsid w:val="003145DF"/>
    <w:rsid w:val="00320223"/>
    <w:rsid w:val="00322D0D"/>
    <w:rsid w:val="00361465"/>
    <w:rsid w:val="00363263"/>
    <w:rsid w:val="003877F5"/>
    <w:rsid w:val="003942D4"/>
    <w:rsid w:val="0039514F"/>
    <w:rsid w:val="003958A8"/>
    <w:rsid w:val="00395BCD"/>
    <w:rsid w:val="003B29C2"/>
    <w:rsid w:val="003C20CA"/>
    <w:rsid w:val="003C2533"/>
    <w:rsid w:val="003C498E"/>
    <w:rsid w:val="003D2E43"/>
    <w:rsid w:val="003D5A7F"/>
    <w:rsid w:val="003D635C"/>
    <w:rsid w:val="003D71D8"/>
    <w:rsid w:val="00400B6F"/>
    <w:rsid w:val="0040127C"/>
    <w:rsid w:val="004016E2"/>
    <w:rsid w:val="0040435A"/>
    <w:rsid w:val="00416A24"/>
    <w:rsid w:val="00416A30"/>
    <w:rsid w:val="0042059E"/>
    <w:rsid w:val="004211BD"/>
    <w:rsid w:val="00422771"/>
    <w:rsid w:val="00431D9E"/>
    <w:rsid w:val="00433CE8"/>
    <w:rsid w:val="00434A5C"/>
    <w:rsid w:val="00435671"/>
    <w:rsid w:val="00436AE2"/>
    <w:rsid w:val="00447711"/>
    <w:rsid w:val="0045148C"/>
    <w:rsid w:val="004544D9"/>
    <w:rsid w:val="00472BAD"/>
    <w:rsid w:val="00484009"/>
    <w:rsid w:val="00485C97"/>
    <w:rsid w:val="00490E72"/>
    <w:rsid w:val="00491157"/>
    <w:rsid w:val="004921C8"/>
    <w:rsid w:val="0049359C"/>
    <w:rsid w:val="00495B0B"/>
    <w:rsid w:val="004A1B8B"/>
    <w:rsid w:val="004B51C8"/>
    <w:rsid w:val="004C0487"/>
    <w:rsid w:val="004D1851"/>
    <w:rsid w:val="004D36DE"/>
    <w:rsid w:val="004D599D"/>
    <w:rsid w:val="004E06D1"/>
    <w:rsid w:val="004E23CC"/>
    <w:rsid w:val="004E2EA5"/>
    <w:rsid w:val="004E3AEB"/>
    <w:rsid w:val="004E6FB6"/>
    <w:rsid w:val="004E7905"/>
    <w:rsid w:val="00500CA4"/>
    <w:rsid w:val="0050223C"/>
    <w:rsid w:val="005042D1"/>
    <w:rsid w:val="00507750"/>
    <w:rsid w:val="00510928"/>
    <w:rsid w:val="005170FD"/>
    <w:rsid w:val="005243FF"/>
    <w:rsid w:val="00524E9C"/>
    <w:rsid w:val="005311D6"/>
    <w:rsid w:val="00536422"/>
    <w:rsid w:val="0054526E"/>
    <w:rsid w:val="005536C2"/>
    <w:rsid w:val="00564FBC"/>
    <w:rsid w:val="005800BC"/>
    <w:rsid w:val="00582442"/>
    <w:rsid w:val="005A335D"/>
    <w:rsid w:val="005B0869"/>
    <w:rsid w:val="005B3A0E"/>
    <w:rsid w:val="005C13D4"/>
    <w:rsid w:val="005C77C0"/>
    <w:rsid w:val="005D028B"/>
    <w:rsid w:val="005D63A1"/>
    <w:rsid w:val="005E2BD5"/>
    <w:rsid w:val="005E4F47"/>
    <w:rsid w:val="005F3269"/>
    <w:rsid w:val="00612123"/>
    <w:rsid w:val="00615961"/>
    <w:rsid w:val="00623AE3"/>
    <w:rsid w:val="006261F4"/>
    <w:rsid w:val="006266C3"/>
    <w:rsid w:val="00635EDA"/>
    <w:rsid w:val="00641859"/>
    <w:rsid w:val="0064737F"/>
    <w:rsid w:val="006535F1"/>
    <w:rsid w:val="0065557D"/>
    <w:rsid w:val="00660D50"/>
    <w:rsid w:val="00662984"/>
    <w:rsid w:val="00663050"/>
    <w:rsid w:val="006702E0"/>
    <w:rsid w:val="006716BB"/>
    <w:rsid w:val="00681249"/>
    <w:rsid w:val="00690418"/>
    <w:rsid w:val="006973C8"/>
    <w:rsid w:val="006A4862"/>
    <w:rsid w:val="006B1859"/>
    <w:rsid w:val="006B6680"/>
    <w:rsid w:val="006B6DCC"/>
    <w:rsid w:val="00701C70"/>
    <w:rsid w:val="00702DEF"/>
    <w:rsid w:val="00706861"/>
    <w:rsid w:val="00706DEF"/>
    <w:rsid w:val="00724588"/>
    <w:rsid w:val="007247CF"/>
    <w:rsid w:val="00726B8C"/>
    <w:rsid w:val="00727C44"/>
    <w:rsid w:val="0075051B"/>
    <w:rsid w:val="0077110E"/>
    <w:rsid w:val="00775655"/>
    <w:rsid w:val="00781525"/>
    <w:rsid w:val="007849D5"/>
    <w:rsid w:val="0079183A"/>
    <w:rsid w:val="00793188"/>
    <w:rsid w:val="00794D34"/>
    <w:rsid w:val="007C3F9A"/>
    <w:rsid w:val="007D00C5"/>
    <w:rsid w:val="007F21FC"/>
    <w:rsid w:val="00806E3C"/>
    <w:rsid w:val="00813E5E"/>
    <w:rsid w:val="00816C2C"/>
    <w:rsid w:val="00821BCF"/>
    <w:rsid w:val="0083581B"/>
    <w:rsid w:val="00860EED"/>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73EF"/>
    <w:rsid w:val="00927529"/>
    <w:rsid w:val="00932906"/>
    <w:rsid w:val="00943130"/>
    <w:rsid w:val="00956400"/>
    <w:rsid w:val="00961860"/>
    <w:rsid w:val="00961B0B"/>
    <w:rsid w:val="00962D33"/>
    <w:rsid w:val="00994E8E"/>
    <w:rsid w:val="0099569B"/>
    <w:rsid w:val="009B38C3"/>
    <w:rsid w:val="009B44BD"/>
    <w:rsid w:val="009E17BD"/>
    <w:rsid w:val="009E485A"/>
    <w:rsid w:val="00A04CEC"/>
    <w:rsid w:val="00A27F92"/>
    <w:rsid w:val="00A32257"/>
    <w:rsid w:val="00A32DE0"/>
    <w:rsid w:val="00A36D20"/>
    <w:rsid w:val="00A43C03"/>
    <w:rsid w:val="00A46CD0"/>
    <w:rsid w:val="00A514A4"/>
    <w:rsid w:val="00A52C84"/>
    <w:rsid w:val="00A55622"/>
    <w:rsid w:val="00A83502"/>
    <w:rsid w:val="00AA26EC"/>
    <w:rsid w:val="00AD15B3"/>
    <w:rsid w:val="00AD3606"/>
    <w:rsid w:val="00AD4A3D"/>
    <w:rsid w:val="00AF6E49"/>
    <w:rsid w:val="00B0203C"/>
    <w:rsid w:val="00B04A67"/>
    <w:rsid w:val="00B0583C"/>
    <w:rsid w:val="00B20ED8"/>
    <w:rsid w:val="00B248BC"/>
    <w:rsid w:val="00B358B2"/>
    <w:rsid w:val="00B40A81"/>
    <w:rsid w:val="00B435FA"/>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F064B"/>
    <w:rsid w:val="00BF49CF"/>
    <w:rsid w:val="00C01189"/>
    <w:rsid w:val="00C25F32"/>
    <w:rsid w:val="00C374DE"/>
    <w:rsid w:val="00C47AD4"/>
    <w:rsid w:val="00C508C4"/>
    <w:rsid w:val="00C52D81"/>
    <w:rsid w:val="00C55198"/>
    <w:rsid w:val="00C63C28"/>
    <w:rsid w:val="00C6617B"/>
    <w:rsid w:val="00C67B3A"/>
    <w:rsid w:val="00C725C6"/>
    <w:rsid w:val="00C922C7"/>
    <w:rsid w:val="00CA00DD"/>
    <w:rsid w:val="00CA2822"/>
    <w:rsid w:val="00CA6393"/>
    <w:rsid w:val="00CA6688"/>
    <w:rsid w:val="00CB18FF"/>
    <w:rsid w:val="00CB24AA"/>
    <w:rsid w:val="00CC3229"/>
    <w:rsid w:val="00CC3F4C"/>
    <w:rsid w:val="00CC79A8"/>
    <w:rsid w:val="00CD0C08"/>
    <w:rsid w:val="00CD3C91"/>
    <w:rsid w:val="00CE03FB"/>
    <w:rsid w:val="00CE433C"/>
    <w:rsid w:val="00CF0161"/>
    <w:rsid w:val="00CF33F3"/>
    <w:rsid w:val="00CF3DE9"/>
    <w:rsid w:val="00D06183"/>
    <w:rsid w:val="00D0630C"/>
    <w:rsid w:val="00D143DF"/>
    <w:rsid w:val="00D22C42"/>
    <w:rsid w:val="00D45669"/>
    <w:rsid w:val="00D464CC"/>
    <w:rsid w:val="00D522F6"/>
    <w:rsid w:val="00D65041"/>
    <w:rsid w:val="00D66AFC"/>
    <w:rsid w:val="00D67039"/>
    <w:rsid w:val="00D86E6C"/>
    <w:rsid w:val="00DA43D0"/>
    <w:rsid w:val="00DB00D5"/>
    <w:rsid w:val="00DB1936"/>
    <w:rsid w:val="00DB384B"/>
    <w:rsid w:val="00DF0189"/>
    <w:rsid w:val="00DF1FC6"/>
    <w:rsid w:val="00E06FD5"/>
    <w:rsid w:val="00E10E80"/>
    <w:rsid w:val="00E124F0"/>
    <w:rsid w:val="00E16B0A"/>
    <w:rsid w:val="00E21B31"/>
    <w:rsid w:val="00E227F3"/>
    <w:rsid w:val="00E46673"/>
    <w:rsid w:val="00E4728B"/>
    <w:rsid w:val="00E545C6"/>
    <w:rsid w:val="00E60F04"/>
    <w:rsid w:val="00E63EFF"/>
    <w:rsid w:val="00E65B24"/>
    <w:rsid w:val="00E854E4"/>
    <w:rsid w:val="00E85B67"/>
    <w:rsid w:val="00E86DBF"/>
    <w:rsid w:val="00EB0D6F"/>
    <w:rsid w:val="00EB2232"/>
    <w:rsid w:val="00EC5337"/>
    <w:rsid w:val="00EC6CE8"/>
    <w:rsid w:val="00EC7C07"/>
    <w:rsid w:val="00EE49E8"/>
    <w:rsid w:val="00F10B59"/>
    <w:rsid w:val="00F163CC"/>
    <w:rsid w:val="00F16BAB"/>
    <w:rsid w:val="00F2150A"/>
    <w:rsid w:val="00F231D8"/>
    <w:rsid w:val="00F321A2"/>
    <w:rsid w:val="00F440CE"/>
    <w:rsid w:val="00F44C00"/>
    <w:rsid w:val="00F45D2C"/>
    <w:rsid w:val="00F4680E"/>
    <w:rsid w:val="00F46C5F"/>
    <w:rsid w:val="00F632C0"/>
    <w:rsid w:val="00F66A26"/>
    <w:rsid w:val="00F719C5"/>
    <w:rsid w:val="00F73B2C"/>
    <w:rsid w:val="00F74694"/>
    <w:rsid w:val="00F86596"/>
    <w:rsid w:val="00F93FD4"/>
    <w:rsid w:val="00F94A63"/>
    <w:rsid w:val="00FA1C28"/>
    <w:rsid w:val="00FB1279"/>
    <w:rsid w:val="00FB6B76"/>
    <w:rsid w:val="00FB7596"/>
    <w:rsid w:val="00FE4077"/>
    <w:rsid w:val="00FE500D"/>
    <w:rsid w:val="00FE77D2"/>
    <w:rsid w:val="02FC5601"/>
    <w:rsid w:val="0A50C051"/>
    <w:rsid w:val="0DB7FA77"/>
    <w:rsid w:val="0F0840D6"/>
    <w:rsid w:val="12B4434F"/>
    <w:rsid w:val="1FCB532A"/>
    <w:rsid w:val="22B502E9"/>
    <w:rsid w:val="2620D050"/>
    <w:rsid w:val="2C7C4C37"/>
    <w:rsid w:val="2D4D321B"/>
    <w:rsid w:val="33FE7E2F"/>
    <w:rsid w:val="3ACCFEE2"/>
    <w:rsid w:val="4F85B755"/>
    <w:rsid w:val="52025939"/>
    <w:rsid w:val="5792AEA6"/>
    <w:rsid w:val="57E70894"/>
    <w:rsid w:val="594E89CC"/>
    <w:rsid w:val="6EBEBBE5"/>
    <w:rsid w:val="74E6FFCB"/>
    <w:rsid w:val="75B1ECED"/>
    <w:rsid w:val="7638A359"/>
    <w:rsid w:val="764977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DFD8E"/>
  <w15:docId w15:val="{53A5B004-1962-441A-9EAF-10631BB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5148C"/>
    <w:rPr>
      <w:color w:val="666666"/>
    </w:rPr>
  </w:style>
  <w:style w:type="paragraph" w:customStyle="1" w:styleId="Reasons">
    <w:name w:val="Reasons"/>
    <w:basedOn w:val="Normal"/>
    <w:qFormat/>
    <w:rsid w:val="00246F45"/>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34"/>
    <w:qFormat/>
    <w:rsid w:val="0092752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ListBullet">
    <w:name w:val="List Bullet"/>
    <w:basedOn w:val="Normal"/>
    <w:uiPriority w:val="99"/>
    <w:unhideWhenUsed/>
    <w:rsid w:val="00927529"/>
    <w:pPr>
      <w:tabs>
        <w:tab w:val="clear" w:pos="567"/>
        <w:tab w:val="clear" w:pos="1134"/>
        <w:tab w:val="clear" w:pos="1701"/>
        <w:tab w:val="clear" w:pos="2268"/>
        <w:tab w:val="clear" w:pos="2835"/>
        <w:tab w:val="num" w:pos="360"/>
      </w:tabs>
      <w:overflowPunct/>
      <w:autoSpaceDE/>
      <w:autoSpaceDN/>
      <w:adjustRightInd/>
      <w:spacing w:before="0" w:after="200" w:line="276" w:lineRule="auto"/>
      <w:ind w:left="360" w:hanging="360"/>
      <w:contextualSpacing/>
      <w:textAlignment w:val="auto"/>
    </w:pPr>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927529"/>
    <w:rPr>
      <w:sz w:val="16"/>
      <w:szCs w:val="16"/>
    </w:rPr>
  </w:style>
  <w:style w:type="paragraph" w:styleId="CommentText">
    <w:name w:val="annotation text"/>
    <w:basedOn w:val="Normal"/>
    <w:link w:val="CommentTextChar"/>
    <w:uiPriority w:val="99"/>
    <w:unhideWhenUsed/>
    <w:rsid w:val="00927529"/>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927529"/>
    <w:rPr>
      <w:rFonts w:asciiTheme="minorHAnsi" w:eastAsiaTheme="minorHAnsi" w:hAnsiTheme="minorHAnsi" w:cstheme="minorBidi"/>
      <w:kern w:val="2"/>
      <w:lang w:val="en-GB" w:eastAsia="en-US"/>
      <w14:ligatures w14:val="standardContextual"/>
    </w:rPr>
  </w:style>
  <w:style w:type="table" w:styleId="GridTable4">
    <w:name w:val="Grid Table 4"/>
    <w:basedOn w:val="TableNormal"/>
    <w:uiPriority w:val="49"/>
    <w:rsid w:val="00211E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atahub.itu.int/indicators/" TargetMode="External"/><Relationship Id="rId18" Type="http://schemas.openxmlformats.org/officeDocument/2006/relationships/hyperlink" Target="https://databrowser.uis.unesco.org/browser/EDUCATION/UIS-SDG4Monitoring/t4.a/i4.a.1/IG-SCHBSP?highlightGroupId=IG-SCHBSP&amp;highlightId=SCHBSP.1.WWATA" TargetMode="External"/><Relationship Id="rId26" Type="http://schemas.openxmlformats.org/officeDocument/2006/relationships/hyperlink" Target="https://datahub.itu.int/indicators/" TargetMode="External"/><Relationship Id="rId39" Type="http://schemas.openxmlformats.org/officeDocument/2006/relationships/header" Target="header1.xml"/><Relationship Id="rId21" Type="http://schemas.openxmlformats.org/officeDocument/2006/relationships/hyperlink" Target="https://unctad.org/news/unctad-data-highlights-need-strengthen-business-ict-statistics" TargetMode="External"/><Relationship Id="rId34" Type="http://schemas.openxmlformats.org/officeDocument/2006/relationships/hyperlink" Target="https://datahub.itu.int/indicator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hub.itu.int/indicators/" TargetMode="External"/><Relationship Id="rId20" Type="http://schemas.openxmlformats.org/officeDocument/2006/relationships/hyperlink" Target="https://datahub.itu.int/indicators/" TargetMode="External"/><Relationship Id="rId29" Type="http://schemas.openxmlformats.org/officeDocument/2006/relationships/hyperlink" Target="https://datahub.itu.int/indicato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hyperlink" Target="https://datahub.itu.int/indicators/" TargetMode="External"/><Relationship Id="rId32" Type="http://schemas.openxmlformats.org/officeDocument/2006/relationships/hyperlink" Target="https://app.gen5.digital/tracker/about" TargetMode="External"/><Relationship Id="rId37" Type="http://schemas.openxmlformats.org/officeDocument/2006/relationships/hyperlink" Target="https://datahub.itu.int/indicator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atahub.itu.int/indicators/" TargetMode="External"/><Relationship Id="rId23" Type="http://schemas.openxmlformats.org/officeDocument/2006/relationships/hyperlink" Target="https://eur03.safelinks.protection.outlook.com/?url=https%3A%2F%2Fwww.euspa.europa.eu%2Feu-space-programme%2Feu-space-market-and-users%2Fgnss-and-eo-market-report&amp;data=05%7C02%7Cjeremy.barnes%40itu.int%7C448ad3cdc3884385a7ba08ddc85e95a6%7C23e464d704e64b87913c24bd89219fd3%7C0%7C0%7C638887030748927869%7CUnknown%7CTWFpbGZsb3d8eyJFbXB0eU1hcGkiOnRydWUsIlYiOiIwLjAuMDAwMCIsIlAiOiJXaW4zMiIsIkFOIjoiTWFpbCIsIldUIjoyfQ%3D%3D%7C0%7C%7C%7C&amp;sdata=kt0PRkcW65G9MGY8vSKdnKjVxbYX28YsYH2zSeIwKJA%3D&amp;reserved=0" TargetMode="External"/><Relationship Id="rId28" Type="http://schemas.openxmlformats.org/officeDocument/2006/relationships/hyperlink" Target="https://www.itu.int/en/ITU-D/Cybersecurity/pages/global-cybersecurity-index.aspx" TargetMode="External"/><Relationship Id="rId36" Type="http://schemas.openxmlformats.org/officeDocument/2006/relationships/hyperlink" Target="https://datahub.itu.int/indicators/" TargetMode="External"/><Relationship Id="rId10" Type="http://schemas.openxmlformats.org/officeDocument/2006/relationships/endnotes" Target="endnotes.xml"/><Relationship Id="rId19" Type="http://schemas.openxmlformats.org/officeDocument/2006/relationships/hyperlink" Target="https://datahub.itu.int/indicators/" TargetMode="External"/><Relationship Id="rId31" Type="http://schemas.openxmlformats.org/officeDocument/2006/relationships/hyperlink" Target="https://datahub.itu.int/indic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hub.itu.int/indicators/" TargetMode="External"/><Relationship Id="rId22" Type="http://schemas.openxmlformats.org/officeDocument/2006/relationships/hyperlink" Target="https://www.itu.int/en/ITU-D/Environment/Pages/Publications/The-Global-E-waste-Monitor-2024.aspx" TargetMode="External"/><Relationship Id="rId27" Type="http://schemas.openxmlformats.org/officeDocument/2006/relationships/hyperlink" Target="https://datahub.itu.int/indicators/" TargetMode="External"/><Relationship Id="rId30" Type="http://schemas.openxmlformats.org/officeDocument/2006/relationships/hyperlink" Target="https://datahub.itu.int/indicators/" TargetMode="External"/><Relationship Id="rId35" Type="http://schemas.openxmlformats.org/officeDocument/2006/relationships/hyperlink" Target="https://datahub.itu.int/indicator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4-CL-C-0139/en" TargetMode="External"/><Relationship Id="rId17" Type="http://schemas.openxmlformats.org/officeDocument/2006/relationships/hyperlink" Target="https://datahub.itu.int/indicators/" TargetMode="External"/><Relationship Id="rId25" Type="http://schemas.openxmlformats.org/officeDocument/2006/relationships/hyperlink" Target="https://datahub.itu.int/indicators/" TargetMode="External"/><Relationship Id="rId33" Type="http://schemas.openxmlformats.org/officeDocument/2006/relationships/hyperlink" Target="https://app.gen5.digital/benchmark/metrics"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CE82-4032-4455-B500-1BEBF1F5154C}">
  <ds:schemaRef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a1cf676c-2816-4389-ad5d-0f2e7c7e67c4"/>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099A331-847B-4E9B-BECA-36C9B68ABD8D}">
  <ds:schemaRefs>
    <ds:schemaRef ds:uri="http://schemas.microsoft.com/sharepoint/v3/contenttype/forms"/>
  </ds:schemaRefs>
</ds:datastoreItem>
</file>

<file path=customXml/itemProps3.xml><?xml version="1.0" encoding="utf-8"?>
<ds:datastoreItem xmlns:ds="http://schemas.openxmlformats.org/officeDocument/2006/customXml" ds:itemID="{ACBAF3D2-DE1A-4C63-912F-4DB2D341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1602</Words>
  <Characters>9629</Characters>
  <Application>Microsoft Office Word</Application>
  <DocSecurity>0</DocSecurity>
  <Lines>291</Lines>
  <Paragraphs>204</Paragraphs>
  <ScaleCrop>false</ScaleCrop>
  <HeadingPairs>
    <vt:vector size="2" baseType="variant">
      <vt:variant>
        <vt:lpstr>Title</vt:lpstr>
      </vt:variant>
      <vt:variant>
        <vt:i4>1</vt:i4>
      </vt:variant>
    </vt:vector>
  </HeadingPairs>
  <TitlesOfParts>
    <vt:vector size="1" baseType="lpstr">
      <vt:lpstr>Initial draft performance indicators for Strategic Plan 2028-2031</vt:lpstr>
    </vt:vector>
  </TitlesOfParts>
  <Manager/>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draft performance indicators for Strategic Plan 2028-2031</dc:title>
  <dc:subject>ITU Council Working Group for strategic and financial plans 2028-2031</dc:subject>
  <cp:keywords>CWG-SFP</cp:keywords>
  <dc:description/>
  <dcterms:created xsi:type="dcterms:W3CDTF">2025-08-08T15:13:00Z</dcterms:created>
  <dcterms:modified xsi:type="dcterms:W3CDTF">2025-08-08T15:22:00Z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4e96cefee9424fa6b843bdff7952341a10db7280bfbfa5e7566be193e7b25e84</vt:lpwstr>
  </property>
  <property fmtid="{D5CDD505-2E9C-101B-9397-08002B2CF9AE}" pid="3" name="ContentTypeId">
    <vt:lpwstr>0x01010096B2CC4DF5F10149B2E37F08EDC3AC3A</vt:lpwstr>
  </property>
  <property fmtid="{D5CDD505-2E9C-101B-9397-08002B2CF9AE}" pid="4" name="MediaServiceImageTags">
    <vt:lpwstr/>
  </property>
</Properties>
</file>