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542A596D" w14:textId="77777777" w:rsidTr="6B29999C">
        <w:trPr>
          <w:cantSplit/>
          <w:trHeight w:val="23"/>
        </w:trPr>
        <w:tc>
          <w:tcPr>
            <w:tcW w:w="3969" w:type="dxa"/>
            <w:vMerge w:val="restart"/>
            <w:tcMar>
              <w:left w:w="0" w:type="dxa"/>
            </w:tcMar>
          </w:tcPr>
          <w:p w14:paraId="4C7E837C"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C870DD4" w14:textId="5709B864"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612123">
              <w:rPr>
                <w:b/>
                <w:lang w:val="fr-CH"/>
              </w:rPr>
              <w:t>CWG-SFP</w:t>
            </w:r>
            <w:r w:rsidR="00524E9C">
              <w:rPr>
                <w:b/>
                <w:lang w:val="fr-CH"/>
              </w:rPr>
              <w:t>-</w:t>
            </w:r>
            <w:r w:rsidR="00395BCD">
              <w:rPr>
                <w:b/>
                <w:lang w:val="fr-CH"/>
              </w:rPr>
              <w:t>3</w:t>
            </w:r>
            <w:r w:rsidR="00F66A26">
              <w:rPr>
                <w:b/>
                <w:lang w:val="fr-FR"/>
              </w:rPr>
              <w:t>/</w:t>
            </w:r>
            <w:r w:rsidR="00F34C03">
              <w:rPr>
                <w:b/>
                <w:lang w:val="fr-FR"/>
              </w:rPr>
              <w:t>6</w:t>
            </w:r>
          </w:p>
        </w:tc>
      </w:tr>
      <w:tr w:rsidR="00AD3606" w:rsidRPr="00147C54" w14:paraId="02679F4A" w14:textId="77777777" w:rsidTr="6B29999C">
        <w:trPr>
          <w:cantSplit/>
        </w:trPr>
        <w:tc>
          <w:tcPr>
            <w:tcW w:w="3969" w:type="dxa"/>
            <w:vMerge/>
          </w:tcPr>
          <w:p w14:paraId="77B59B83"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D1BE688" w14:textId="43E9BFB2" w:rsidR="00AD3606" w:rsidRPr="00147C54" w:rsidRDefault="00F34C03" w:rsidP="00AD3606">
            <w:pPr>
              <w:tabs>
                <w:tab w:val="left" w:pos="851"/>
              </w:tabs>
              <w:spacing w:before="0"/>
              <w:jc w:val="right"/>
              <w:rPr>
                <w:b/>
              </w:rPr>
            </w:pPr>
            <w:r>
              <w:rPr>
                <w:b/>
              </w:rPr>
              <w:t>8 August</w:t>
            </w:r>
            <w:r w:rsidR="00724588">
              <w:rPr>
                <w:b/>
              </w:rPr>
              <w:t xml:space="preserve"> 2025</w:t>
            </w:r>
          </w:p>
        </w:tc>
      </w:tr>
      <w:tr w:rsidR="00AD3606" w:rsidRPr="00147C54" w14:paraId="136B074A" w14:textId="77777777" w:rsidTr="6B29999C">
        <w:trPr>
          <w:cantSplit/>
          <w:trHeight w:val="23"/>
        </w:trPr>
        <w:tc>
          <w:tcPr>
            <w:tcW w:w="3969" w:type="dxa"/>
            <w:vMerge/>
          </w:tcPr>
          <w:p w14:paraId="5C568FFB"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FDE6F91"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229A210B" w14:textId="77777777" w:rsidTr="6B29999C">
        <w:trPr>
          <w:cantSplit/>
          <w:trHeight w:val="23"/>
        </w:trPr>
        <w:tc>
          <w:tcPr>
            <w:tcW w:w="3969" w:type="dxa"/>
          </w:tcPr>
          <w:p w14:paraId="0C034DDF" w14:textId="77777777" w:rsidR="00472BAD" w:rsidRPr="00147C54" w:rsidRDefault="00472BAD" w:rsidP="00AD3606">
            <w:pPr>
              <w:tabs>
                <w:tab w:val="left" w:pos="851"/>
              </w:tabs>
              <w:spacing w:line="240" w:lineRule="atLeast"/>
              <w:rPr>
                <w:b/>
              </w:rPr>
            </w:pPr>
          </w:p>
        </w:tc>
        <w:tc>
          <w:tcPr>
            <w:tcW w:w="5245" w:type="dxa"/>
          </w:tcPr>
          <w:p w14:paraId="75CF0906" w14:textId="77777777" w:rsidR="00472BAD" w:rsidRPr="00147C54" w:rsidRDefault="00472BAD" w:rsidP="00AD3606">
            <w:pPr>
              <w:tabs>
                <w:tab w:val="left" w:pos="851"/>
              </w:tabs>
              <w:spacing w:before="0" w:line="240" w:lineRule="atLeast"/>
              <w:jc w:val="right"/>
              <w:rPr>
                <w:b/>
              </w:rPr>
            </w:pPr>
          </w:p>
        </w:tc>
      </w:tr>
      <w:tr w:rsidR="00AD3606" w:rsidRPr="00147C54" w14:paraId="2913C1C8" w14:textId="77777777" w:rsidTr="6B29999C">
        <w:trPr>
          <w:cantSplit/>
        </w:trPr>
        <w:tc>
          <w:tcPr>
            <w:tcW w:w="9214" w:type="dxa"/>
            <w:gridSpan w:val="2"/>
            <w:tcMar>
              <w:left w:w="0" w:type="dxa"/>
            </w:tcMar>
          </w:tcPr>
          <w:p w14:paraId="0DF27233" w14:textId="2C66514A" w:rsidR="00AD3606" w:rsidRPr="00147C54" w:rsidRDefault="00524E9C" w:rsidP="00E4728B">
            <w:pPr>
              <w:pStyle w:val="Source"/>
              <w:framePr w:hSpace="0" w:wrap="auto" w:vAnchor="margin" w:hAnchor="text" w:xAlign="left" w:yAlign="inline"/>
            </w:pPr>
            <w:bookmarkStart w:id="8" w:name="dsource"/>
            <w:bookmarkEnd w:id="7"/>
            <w:r>
              <w:t>Report</w:t>
            </w:r>
            <w:r w:rsidR="004B51C8">
              <w:t xml:space="preserve"> by the </w:t>
            </w:r>
            <w:r w:rsidR="007F21FC">
              <w:t>Secretary-General</w:t>
            </w:r>
            <w:bookmarkEnd w:id="8"/>
          </w:p>
        </w:tc>
      </w:tr>
      <w:tr w:rsidR="00AD3606" w:rsidRPr="00147C54" w14:paraId="257E5EFD" w14:textId="77777777" w:rsidTr="6B29999C">
        <w:trPr>
          <w:cantSplit/>
        </w:trPr>
        <w:tc>
          <w:tcPr>
            <w:tcW w:w="9214" w:type="dxa"/>
            <w:gridSpan w:val="2"/>
            <w:tcMar>
              <w:left w:w="0" w:type="dxa"/>
            </w:tcMar>
          </w:tcPr>
          <w:p w14:paraId="75FDD26C" w14:textId="2BFBFC70" w:rsidR="00AD3606" w:rsidRPr="008462B9" w:rsidRDefault="00F34C03" w:rsidP="0DB7FA77">
            <w:pPr>
              <w:pStyle w:val="Subtitle"/>
              <w:framePr w:hSpace="0" w:wrap="auto" w:xAlign="left" w:yAlign="inline"/>
              <w:spacing w:line="259" w:lineRule="auto"/>
              <w:rPr>
                <w:caps/>
              </w:rPr>
            </w:pPr>
            <w:bookmarkStart w:id="9" w:name="dtitle1"/>
            <w:r>
              <w:t>LINKING ITU STRATEGIC, FINANCIAL AND OPERATIONAL PLANS</w:t>
            </w:r>
          </w:p>
        </w:tc>
      </w:tr>
      <w:tr w:rsidR="00AD3606" w:rsidRPr="00147C54" w14:paraId="0FCEA4E4" w14:textId="77777777" w:rsidTr="6B29999C">
        <w:trPr>
          <w:cantSplit/>
        </w:trPr>
        <w:tc>
          <w:tcPr>
            <w:tcW w:w="9214" w:type="dxa"/>
            <w:gridSpan w:val="2"/>
            <w:tcBorders>
              <w:top w:val="single" w:sz="4" w:space="0" w:color="auto"/>
              <w:bottom w:val="single" w:sz="4" w:space="0" w:color="auto"/>
            </w:tcBorders>
            <w:tcMar>
              <w:left w:w="0" w:type="dxa"/>
            </w:tcMar>
          </w:tcPr>
          <w:p w14:paraId="7C0EDD28" w14:textId="77777777" w:rsidR="00AD3606" w:rsidRPr="00147C54" w:rsidRDefault="00F16BAB" w:rsidP="00F16BAB">
            <w:pPr>
              <w:spacing w:before="160"/>
              <w:rPr>
                <w:b/>
                <w:bCs/>
                <w:sz w:val="26"/>
                <w:szCs w:val="26"/>
              </w:rPr>
            </w:pPr>
            <w:r w:rsidRPr="00147C54">
              <w:rPr>
                <w:b/>
                <w:bCs/>
                <w:sz w:val="26"/>
                <w:szCs w:val="26"/>
              </w:rPr>
              <w:t>Purpose</w:t>
            </w:r>
          </w:p>
          <w:p w14:paraId="61475226" w14:textId="43E09F82" w:rsidR="00AD3606" w:rsidRPr="00147C54" w:rsidRDefault="02B6927F" w:rsidP="00085761">
            <w:pPr>
              <w:jc w:val="both"/>
            </w:pPr>
            <w:r>
              <w:t xml:space="preserve">This document outlines the </w:t>
            </w:r>
            <w:r w:rsidR="60D507D8">
              <w:t xml:space="preserve">approach taken by the secretariat to </w:t>
            </w:r>
            <w:r w:rsidR="3B034F6B">
              <w:t>link</w:t>
            </w:r>
            <w:r w:rsidR="60D507D8">
              <w:t xml:space="preserve"> </w:t>
            </w:r>
            <w:r w:rsidR="00F34C03">
              <w:t>ITU's</w:t>
            </w:r>
            <w:r>
              <w:t xml:space="preserve"> str</w:t>
            </w:r>
            <w:r w:rsidR="1540CEC6">
              <w:t>ategic, financial</w:t>
            </w:r>
            <w:r w:rsidR="28517935">
              <w:t xml:space="preserve"> and operational</w:t>
            </w:r>
            <w:r w:rsidR="1540CEC6">
              <w:t xml:space="preserve"> </w:t>
            </w:r>
            <w:r w:rsidR="60D507D8">
              <w:t>plans</w:t>
            </w:r>
            <w:r w:rsidR="1540CEC6">
              <w:t xml:space="preserve">. </w:t>
            </w:r>
            <w:r w:rsidR="60D507D8">
              <w:t xml:space="preserve">The approach relies on the principles of results-based management to ensure that the strategic objectives established in the ITU Strategic and Financial Plan are properly translated into the organization’s </w:t>
            </w:r>
            <w:r w:rsidR="1C9F3414">
              <w:t>biennial</w:t>
            </w:r>
            <w:r w:rsidR="60D507D8">
              <w:t xml:space="preserve"> and annual operational plans</w:t>
            </w:r>
            <w:r w:rsidR="2B062C73">
              <w:t xml:space="preserve"> and budgets</w:t>
            </w:r>
            <w:r w:rsidR="60D507D8">
              <w:t xml:space="preserve">, thereby ensuring </w:t>
            </w:r>
            <w:r w:rsidR="00900767">
              <w:t>that resources are applied toward impactful efforts</w:t>
            </w:r>
            <w:r w:rsidR="60D507D8">
              <w:t xml:space="preserve">. </w:t>
            </w:r>
            <w:r w:rsidR="1540CEC6">
              <w:t xml:space="preserve">This document provides </w:t>
            </w:r>
            <w:r w:rsidR="61691893">
              <w:t>an outline of how a robust results chain will enable more clear integration between strategic</w:t>
            </w:r>
            <w:r w:rsidR="0F8145DC">
              <w:t>, financial</w:t>
            </w:r>
            <w:r w:rsidR="5B04851E">
              <w:t xml:space="preserve">, and </w:t>
            </w:r>
            <w:r w:rsidR="56A5AE4C">
              <w:t xml:space="preserve">operational </w:t>
            </w:r>
            <w:r w:rsidR="0F8145DC">
              <w:t xml:space="preserve">plans. </w:t>
            </w:r>
          </w:p>
          <w:p w14:paraId="08275725" w14:textId="77777777" w:rsidR="00AD3606" w:rsidRPr="00147C54" w:rsidRDefault="00AD3606" w:rsidP="00F16BAB">
            <w:pPr>
              <w:spacing w:before="160"/>
              <w:rPr>
                <w:b/>
                <w:bCs/>
                <w:sz w:val="26"/>
                <w:szCs w:val="26"/>
              </w:rPr>
            </w:pPr>
            <w:r w:rsidRPr="00147C54">
              <w:rPr>
                <w:b/>
                <w:bCs/>
                <w:sz w:val="26"/>
                <w:szCs w:val="26"/>
              </w:rPr>
              <w:t>Action required</w:t>
            </w:r>
          </w:p>
          <w:p w14:paraId="6846EA06" w14:textId="12995E41" w:rsidR="00B82C1B" w:rsidRDefault="00B82C1B" w:rsidP="00B82C1B">
            <w:pPr>
              <w:spacing w:before="160"/>
            </w:pPr>
            <w:r>
              <w:t xml:space="preserve">The Council Working Group for strategic and financial plans 2028-2031 is invited to </w:t>
            </w:r>
            <w:r w:rsidR="008E374F" w:rsidRPr="00085761">
              <w:rPr>
                <w:b/>
                <w:bCs/>
              </w:rPr>
              <w:t>note</w:t>
            </w:r>
            <w:r w:rsidR="00871961" w:rsidRPr="00085761">
              <w:rPr>
                <w:b/>
                <w:bCs/>
              </w:rPr>
              <w:t xml:space="preserve"> </w:t>
            </w:r>
            <w:r w:rsidR="00871961" w:rsidRPr="00085761">
              <w:t xml:space="preserve">and </w:t>
            </w:r>
            <w:r w:rsidR="00A3514F" w:rsidRPr="00085761">
              <w:rPr>
                <w:b/>
                <w:bCs/>
              </w:rPr>
              <w:t>endorse</w:t>
            </w:r>
            <w:r w:rsidR="00216EEB" w:rsidRPr="00085761">
              <w:rPr>
                <w:b/>
                <w:bCs/>
              </w:rPr>
              <w:t xml:space="preserve"> </w:t>
            </w:r>
            <w:r w:rsidR="00216EEB" w:rsidRPr="00085761">
              <w:t>this approach</w:t>
            </w:r>
            <w:r w:rsidRPr="00085761">
              <w:t>.</w:t>
            </w:r>
          </w:p>
          <w:p w14:paraId="038CE23E" w14:textId="77777777" w:rsidR="00AD3606" w:rsidRPr="00CD3C91" w:rsidRDefault="00CD3C91" w:rsidP="00CD3C91">
            <w:r>
              <w:t>_______________</w:t>
            </w:r>
          </w:p>
          <w:p w14:paraId="4ED013E1" w14:textId="77777777" w:rsidR="00AD3606" w:rsidRPr="00147C54" w:rsidRDefault="00AD3606" w:rsidP="00663050">
            <w:pPr>
              <w:spacing w:before="160"/>
              <w:rPr>
                <w:b/>
                <w:bCs/>
                <w:sz w:val="26"/>
                <w:szCs w:val="26"/>
              </w:rPr>
            </w:pPr>
            <w:r w:rsidRPr="00147C54">
              <w:rPr>
                <w:b/>
                <w:bCs/>
                <w:sz w:val="26"/>
                <w:szCs w:val="26"/>
              </w:rPr>
              <w:t>References</w:t>
            </w:r>
            <w:r w:rsidR="00301AEE">
              <w:rPr>
                <w:b/>
                <w:bCs/>
                <w:sz w:val="26"/>
                <w:szCs w:val="26"/>
              </w:rPr>
              <w:t xml:space="preserve"> </w:t>
            </w:r>
          </w:p>
          <w:p w14:paraId="1F9770C9" w14:textId="601F8E94" w:rsidR="00AD3606" w:rsidRPr="00524E9C" w:rsidRDefault="00B82C1B" w:rsidP="00F16BAB">
            <w:pPr>
              <w:spacing w:after="160"/>
              <w:rPr>
                <w:i/>
                <w:iCs/>
                <w:sz w:val="22"/>
                <w:szCs w:val="22"/>
              </w:rPr>
            </w:pPr>
            <w:hyperlink r:id="rId11" w:history="1">
              <w:r w:rsidRPr="00F264CE">
                <w:rPr>
                  <w:rStyle w:val="Hyperlink"/>
                  <w:i/>
                  <w:iCs/>
                  <w:sz w:val="22"/>
                  <w:szCs w:val="22"/>
                </w:rPr>
                <w:t>CWG-SFP website</w:t>
              </w:r>
            </w:hyperlink>
            <w:r w:rsidRPr="00E03C3D">
              <w:rPr>
                <w:i/>
                <w:iCs/>
                <w:sz w:val="22"/>
                <w:szCs w:val="22"/>
              </w:rPr>
              <w:t xml:space="preserve">; </w:t>
            </w:r>
            <w:hyperlink r:id="rId12" w:tgtFrame="_blank" w:history="1">
              <w:r w:rsidR="00162AEA">
                <w:rPr>
                  <w:rStyle w:val="normaltextrun"/>
                  <w:rFonts w:cs="Calibri"/>
                  <w:i/>
                  <w:iCs/>
                  <w:color w:val="0563C1"/>
                  <w:sz w:val="22"/>
                  <w:szCs w:val="22"/>
                  <w:u w:val="single"/>
                  <w:shd w:val="clear" w:color="auto" w:fill="FFFFFF"/>
                </w:rPr>
                <w:t>Resolution 1428 (C24)</w:t>
              </w:r>
            </w:hyperlink>
          </w:p>
        </w:tc>
      </w:tr>
    </w:tbl>
    <w:p w14:paraId="05987874"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4551A167"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680C7CA2" w14:textId="4083861F" w:rsidR="005D028B" w:rsidRPr="002D7929" w:rsidRDefault="005D028B" w:rsidP="000438D2">
      <w:pPr>
        <w:pStyle w:val="Heading1"/>
      </w:pPr>
      <w:r w:rsidRPr="002D7929">
        <w:lastRenderedPageBreak/>
        <w:t>1</w:t>
      </w:r>
      <w:r w:rsidR="00F34C03">
        <w:tab/>
      </w:r>
      <w:r w:rsidR="00052AFC">
        <w:t>Linking</w:t>
      </w:r>
      <w:r w:rsidR="00900767">
        <w:t xml:space="preserve"> of ITU’s Strategic, Financial and Operational Plans</w:t>
      </w:r>
    </w:p>
    <w:p w14:paraId="4C29DA3A" w14:textId="50E1928F" w:rsidR="00E95DB5" w:rsidRDefault="00900767" w:rsidP="00F34C03">
      <w:pPr>
        <w:jc w:val="both"/>
      </w:pPr>
      <w:r>
        <w:t>In the implementation of</w:t>
      </w:r>
      <w:r w:rsidR="005D028B" w:rsidRPr="00DB159D">
        <w:t xml:space="preserve"> the next ITU Strategic</w:t>
      </w:r>
      <w:r w:rsidR="00882332">
        <w:t xml:space="preserve"> and Financial </w:t>
      </w:r>
      <w:r w:rsidR="005D028B" w:rsidRPr="00DB159D">
        <w:t>Plan</w:t>
      </w:r>
      <w:r w:rsidR="00882332">
        <w:t>s</w:t>
      </w:r>
      <w:r w:rsidR="005D028B" w:rsidRPr="00DB159D">
        <w:t xml:space="preserve"> 2028-2031</w:t>
      </w:r>
      <w:r>
        <w:t>, ITU</w:t>
      </w:r>
      <w:r w:rsidR="005D028B" w:rsidRPr="00DB159D">
        <w:t xml:space="preserve"> will focus on strengthening </w:t>
      </w:r>
      <w:r>
        <w:t>its</w:t>
      </w:r>
      <w:r w:rsidRPr="00DB159D">
        <w:t xml:space="preserve"> </w:t>
      </w:r>
      <w:r w:rsidR="005D028B" w:rsidRPr="002D7929">
        <w:t>Results-Based Management (RBM)</w:t>
      </w:r>
      <w:r w:rsidR="005D028B" w:rsidRPr="00DB159D">
        <w:t xml:space="preserve"> framework </w:t>
      </w:r>
      <w:r>
        <w:t>to ensure effective</w:t>
      </w:r>
      <w:r w:rsidR="005D028B" w:rsidRPr="00DB159D">
        <w:t xml:space="preserve"> integration </w:t>
      </w:r>
      <w:r w:rsidR="005D028B">
        <w:t xml:space="preserve">of </w:t>
      </w:r>
      <w:r w:rsidR="005D028B" w:rsidRPr="00DB159D">
        <w:t xml:space="preserve">Strategic, Financial and Operational plans. </w:t>
      </w:r>
      <w:r w:rsidR="005D028B">
        <w:t>Specifically</w:t>
      </w:r>
      <w:r w:rsidR="005D028B" w:rsidRPr="00DB159D">
        <w:t>, this</w:t>
      </w:r>
      <w:r w:rsidR="005D028B">
        <w:t xml:space="preserve"> enhancement</w:t>
      </w:r>
      <w:r w:rsidR="005D028B" w:rsidRPr="00DB159D">
        <w:t xml:space="preserve"> will</w:t>
      </w:r>
      <w:r w:rsidR="005D028B">
        <w:t xml:space="preserve"> apply a data-driven approach to</w:t>
      </w:r>
      <w:r w:rsidR="005D028B" w:rsidRPr="00DB159D">
        <w:t xml:space="preserve"> more clearly distinguish between expected results (Impact and Outcome</w:t>
      </w:r>
      <w:r w:rsidR="005D028B">
        <w:t xml:space="preserve"> performance indicators</w:t>
      </w:r>
      <w:r w:rsidR="005D028B" w:rsidRPr="00DB159D">
        <w:t xml:space="preserve"> at the level of the Strategic Plan) and the routine work plans (Outputs</w:t>
      </w:r>
      <w:r w:rsidR="005D028B">
        <w:t>, A</w:t>
      </w:r>
      <w:r w:rsidR="005D028B" w:rsidRPr="00DB159D">
        <w:t>ctivities</w:t>
      </w:r>
      <w:r w:rsidR="005D028B">
        <w:t xml:space="preserve"> and their costs</w:t>
      </w:r>
      <w:r w:rsidR="005D028B" w:rsidRPr="00DB159D">
        <w:t xml:space="preserve">) at the level of the Operational Plans. </w:t>
      </w:r>
    </w:p>
    <w:p w14:paraId="4216505B" w14:textId="2706D519" w:rsidR="005D028B" w:rsidRDefault="005D028B" w:rsidP="00F34C03">
      <w:pPr>
        <w:jc w:val="both"/>
      </w:pPr>
      <w:r>
        <w:t xml:space="preserve">Performance indicators included in this results chain should be SMART: </w:t>
      </w:r>
    </w:p>
    <w:p w14:paraId="6D159669" w14:textId="0118D535" w:rsidR="005D028B" w:rsidRPr="009C595B" w:rsidRDefault="00F34C03" w:rsidP="00F34C03">
      <w:pPr>
        <w:pStyle w:val="enumlev1"/>
        <w:rPr>
          <w:rFonts w:eastAsiaTheme="minorHAnsi"/>
        </w:rPr>
      </w:pPr>
      <w:r>
        <w:rPr>
          <w:rFonts w:eastAsiaTheme="minorHAnsi"/>
        </w:rPr>
        <w:t>–</w:t>
      </w:r>
      <w:r>
        <w:rPr>
          <w:rFonts w:eastAsiaTheme="minorHAnsi"/>
        </w:rPr>
        <w:tab/>
      </w:r>
      <w:r w:rsidR="005D028B" w:rsidRPr="009C595B">
        <w:rPr>
          <w:rFonts w:eastAsiaTheme="minorHAnsi"/>
        </w:rPr>
        <w:t>Specific – clearly defines what is being measured</w:t>
      </w:r>
      <w:r w:rsidR="005D028B">
        <w:rPr>
          <w:rFonts w:eastAsiaTheme="minorHAnsi"/>
        </w:rPr>
        <w:t>;</w:t>
      </w:r>
    </w:p>
    <w:p w14:paraId="703834CD" w14:textId="31E37EBB" w:rsidR="005D028B" w:rsidRPr="009C595B" w:rsidRDefault="00F34C03" w:rsidP="00F34C03">
      <w:pPr>
        <w:pStyle w:val="enumlev1"/>
        <w:rPr>
          <w:rFonts w:eastAsiaTheme="minorHAnsi"/>
        </w:rPr>
      </w:pPr>
      <w:r>
        <w:rPr>
          <w:rFonts w:eastAsiaTheme="minorHAnsi"/>
        </w:rPr>
        <w:t>–</w:t>
      </w:r>
      <w:r>
        <w:rPr>
          <w:rFonts w:eastAsiaTheme="minorHAnsi"/>
        </w:rPr>
        <w:tab/>
      </w:r>
      <w:r w:rsidR="005D028B" w:rsidRPr="009C595B">
        <w:rPr>
          <w:rFonts w:eastAsiaTheme="minorHAnsi"/>
        </w:rPr>
        <w:t>Measurable – quantifiable or verifiable</w:t>
      </w:r>
      <w:r w:rsidR="005D028B">
        <w:rPr>
          <w:rFonts w:eastAsiaTheme="minorHAnsi"/>
        </w:rPr>
        <w:t>;</w:t>
      </w:r>
    </w:p>
    <w:p w14:paraId="374E83A6" w14:textId="01C36301" w:rsidR="005D028B" w:rsidRPr="009C595B" w:rsidRDefault="00F34C03" w:rsidP="00F34C03">
      <w:pPr>
        <w:pStyle w:val="enumlev1"/>
        <w:rPr>
          <w:rFonts w:eastAsiaTheme="minorHAnsi"/>
        </w:rPr>
      </w:pPr>
      <w:r>
        <w:rPr>
          <w:rFonts w:eastAsiaTheme="minorHAnsi"/>
        </w:rPr>
        <w:t>–</w:t>
      </w:r>
      <w:r>
        <w:rPr>
          <w:rFonts w:eastAsiaTheme="minorHAnsi"/>
        </w:rPr>
        <w:tab/>
      </w:r>
      <w:r w:rsidR="005D028B" w:rsidRPr="009C595B">
        <w:rPr>
          <w:rFonts w:eastAsiaTheme="minorHAnsi"/>
        </w:rPr>
        <w:t>Achievable – realistic given ITU resources and mandate</w:t>
      </w:r>
      <w:r w:rsidR="005D028B">
        <w:rPr>
          <w:rFonts w:eastAsiaTheme="minorHAnsi"/>
        </w:rPr>
        <w:t>;</w:t>
      </w:r>
    </w:p>
    <w:p w14:paraId="5A1D55CA" w14:textId="77FC3151" w:rsidR="005D028B" w:rsidRPr="009C595B" w:rsidRDefault="00F34C03" w:rsidP="00F34C03">
      <w:pPr>
        <w:pStyle w:val="enumlev1"/>
        <w:rPr>
          <w:rFonts w:eastAsiaTheme="minorHAnsi"/>
        </w:rPr>
      </w:pPr>
      <w:r>
        <w:rPr>
          <w:rFonts w:eastAsiaTheme="minorHAnsi"/>
        </w:rPr>
        <w:t>–</w:t>
      </w:r>
      <w:r>
        <w:rPr>
          <w:rFonts w:eastAsiaTheme="minorHAnsi"/>
        </w:rPr>
        <w:tab/>
      </w:r>
      <w:r w:rsidR="005D028B" w:rsidRPr="009C595B">
        <w:rPr>
          <w:rFonts w:eastAsiaTheme="minorHAnsi"/>
        </w:rPr>
        <w:t>Relevant – aligned with the Outcome and Strategic Objective</w:t>
      </w:r>
      <w:r w:rsidR="005D028B">
        <w:rPr>
          <w:rFonts w:eastAsiaTheme="minorHAnsi"/>
        </w:rPr>
        <w:t>; and</w:t>
      </w:r>
    </w:p>
    <w:p w14:paraId="32710219" w14:textId="5E46FEAD" w:rsidR="005D028B" w:rsidRPr="009C595B" w:rsidRDefault="00F34C03" w:rsidP="00F34C03">
      <w:pPr>
        <w:pStyle w:val="enumlev1"/>
        <w:rPr>
          <w:rFonts w:eastAsiaTheme="minorHAnsi"/>
        </w:rPr>
      </w:pPr>
      <w:r>
        <w:rPr>
          <w:rFonts w:eastAsiaTheme="minorHAnsi"/>
        </w:rPr>
        <w:t>–</w:t>
      </w:r>
      <w:r>
        <w:rPr>
          <w:rFonts w:eastAsiaTheme="minorHAnsi"/>
        </w:rPr>
        <w:tab/>
      </w:r>
      <w:r w:rsidR="005D028B" w:rsidRPr="009C595B">
        <w:rPr>
          <w:rFonts w:eastAsiaTheme="minorHAnsi"/>
        </w:rPr>
        <w:t>Time-bound – includes a time frame for achievement</w:t>
      </w:r>
      <w:r w:rsidR="005D028B">
        <w:rPr>
          <w:rFonts w:eastAsiaTheme="minorHAnsi"/>
        </w:rPr>
        <w:t>.</w:t>
      </w:r>
    </w:p>
    <w:p w14:paraId="346A3926" w14:textId="77777777" w:rsidR="005D028B" w:rsidRPr="002D7929" w:rsidRDefault="005D028B" w:rsidP="005D028B">
      <w:r w:rsidRPr="00DB159D">
        <w:t xml:space="preserve">This </w:t>
      </w:r>
      <w:r>
        <w:t>structured results chain</w:t>
      </w:r>
      <w:r w:rsidRPr="00DB159D">
        <w:t xml:space="preserve"> </w:t>
      </w:r>
      <w:r>
        <w:t xml:space="preserve">will help to improve the allocation of </w:t>
      </w:r>
      <w:r w:rsidRPr="002D7929">
        <w:t xml:space="preserve">resources </w:t>
      </w:r>
      <w:r>
        <w:t>and workflows towards</w:t>
      </w:r>
      <w:r w:rsidRPr="002D7929">
        <w:t xml:space="preserve"> tangible and measurable result</w:t>
      </w:r>
      <w:r w:rsidRPr="00DB159D">
        <w:t xml:space="preserve">s, as well as </w:t>
      </w:r>
      <w:r>
        <w:t xml:space="preserve">improve clarity of future financial and operational reporting. </w:t>
      </w:r>
    </w:p>
    <w:p w14:paraId="6A1F25E4" w14:textId="5AB86C38" w:rsidR="005D028B" w:rsidRPr="00A661C1" w:rsidRDefault="005D028B" w:rsidP="000438D2">
      <w:pPr>
        <w:pStyle w:val="Heading1"/>
      </w:pPr>
      <w:r w:rsidRPr="00A661C1">
        <w:t>2</w:t>
      </w:r>
      <w:r w:rsidR="00D75148">
        <w:tab/>
      </w:r>
      <w:r>
        <w:t>RBM Principles Applied in Strategic, Operational and Financial Plans</w:t>
      </w:r>
    </w:p>
    <w:p w14:paraId="47FD99C8" w14:textId="2B93A973" w:rsidR="005D028B" w:rsidRDefault="005D028B" w:rsidP="00D75148">
      <w:pPr>
        <w:jc w:val="both"/>
      </w:pPr>
      <w:r>
        <w:t>Diagram 1 below visualizes how the Strategic and Operational Plans cover specific areas of the overall results chain</w:t>
      </w:r>
      <w:r w:rsidR="00900767">
        <w:t xml:space="preserve">, and the way in which the Financial Plan </w:t>
      </w:r>
      <w:r w:rsidR="002F0CE0">
        <w:t>is</w:t>
      </w:r>
      <w:r w:rsidR="00900767">
        <w:t xml:space="preserve"> integrated into the process</w:t>
      </w:r>
      <w:r>
        <w:t xml:space="preserve">. </w:t>
      </w:r>
    </w:p>
    <w:p w14:paraId="08876AFB" w14:textId="77777777" w:rsidR="00D75148" w:rsidRDefault="005D028B" w:rsidP="00D75148">
      <w:pPr>
        <w:pStyle w:val="FigureNo"/>
      </w:pPr>
      <w:r w:rsidRPr="0DDE4238">
        <w:t>Diagram 1</w:t>
      </w:r>
    </w:p>
    <w:p w14:paraId="67017475" w14:textId="385412E0" w:rsidR="005D028B" w:rsidRPr="00174F05" w:rsidRDefault="005D028B" w:rsidP="00D75148">
      <w:pPr>
        <w:pStyle w:val="Figuretitle"/>
      </w:pPr>
      <w:r w:rsidRPr="0DDE4238">
        <w:t>Integration of Strategic, Operational and Financial Plans in overall results chain</w:t>
      </w:r>
    </w:p>
    <w:p w14:paraId="3DDD8E70" w14:textId="51445D45" w:rsidR="005D028B" w:rsidRPr="00D75148" w:rsidRDefault="008E47E4" w:rsidP="00D75148">
      <w:pPr>
        <w:pStyle w:val="Figure"/>
      </w:pPr>
      <w:r w:rsidRPr="00D75148">
        <w:drawing>
          <wp:inline distT="0" distB="0" distL="0" distR="0" wp14:anchorId="46BAF3D6" wp14:editId="4AC51CD1">
            <wp:extent cx="6180636" cy="3228975"/>
            <wp:effectExtent l="0" t="0" r="0" b="0"/>
            <wp:docPr id="2060536275" name="Picture 1" descr="A diagram of a financial pl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536275" name="Picture 1" descr="A diagram of a financial plan&#10;&#10;AI-generated content may be incorrect."/>
                    <pic:cNvPicPr/>
                  </pic:nvPicPr>
                  <pic:blipFill>
                    <a:blip r:embed="rId13"/>
                    <a:stretch>
                      <a:fillRect/>
                    </a:stretch>
                  </pic:blipFill>
                  <pic:spPr>
                    <a:xfrm>
                      <a:off x="0" y="0"/>
                      <a:ext cx="6186614" cy="3232098"/>
                    </a:xfrm>
                    <a:prstGeom prst="rect">
                      <a:avLst/>
                    </a:prstGeom>
                  </pic:spPr>
                </pic:pic>
              </a:graphicData>
            </a:graphic>
          </wp:inline>
        </w:drawing>
      </w:r>
    </w:p>
    <w:p w14:paraId="0E747729" w14:textId="39F78E84" w:rsidR="5FD35189" w:rsidRDefault="5FD35189" w:rsidP="000438D2">
      <w:pPr>
        <w:pStyle w:val="Headingb"/>
      </w:pPr>
      <w:r w:rsidRPr="7C7463A7">
        <w:lastRenderedPageBreak/>
        <w:t>Financial Plan at the Strategic Level</w:t>
      </w:r>
    </w:p>
    <w:p w14:paraId="77FD43AD" w14:textId="1D251FF8" w:rsidR="00ED5BAA" w:rsidRDefault="5FD35189" w:rsidP="00D75148">
      <w:pPr>
        <w:jc w:val="both"/>
      </w:pPr>
      <w:r>
        <w:t xml:space="preserve">The Financial Plan </w:t>
      </w:r>
      <w:r w:rsidR="66EF74AA">
        <w:t xml:space="preserve">developed </w:t>
      </w:r>
      <w:r>
        <w:t xml:space="preserve">at </w:t>
      </w:r>
      <w:r w:rsidR="6F633DEB">
        <w:t xml:space="preserve">the </w:t>
      </w:r>
      <w:r w:rsidR="00E8663E">
        <w:t>S</w:t>
      </w:r>
      <w:r>
        <w:t xml:space="preserve">trategic </w:t>
      </w:r>
      <w:r w:rsidR="00E8663E">
        <w:t>P</w:t>
      </w:r>
      <w:r w:rsidR="65835D33">
        <w:t xml:space="preserve">lan </w:t>
      </w:r>
      <w:r w:rsidR="53D3D0A7">
        <w:t>l</w:t>
      </w:r>
      <w:r>
        <w:t xml:space="preserve">evel </w:t>
      </w:r>
      <w:r w:rsidR="1C5EB91F">
        <w:t>is</w:t>
      </w:r>
      <w:r>
        <w:t xml:space="preserve"> an estimate of the </w:t>
      </w:r>
      <w:r w:rsidR="052998F0">
        <w:t xml:space="preserve">expected revenues and </w:t>
      </w:r>
      <w:r>
        <w:t>allocation</w:t>
      </w:r>
      <w:r w:rsidR="4875B47B">
        <w:t>s</w:t>
      </w:r>
      <w:r>
        <w:t xml:space="preserve"> </w:t>
      </w:r>
      <w:r w:rsidR="09272BD8">
        <w:t xml:space="preserve">of resources </w:t>
      </w:r>
      <w:r>
        <w:t xml:space="preserve">to </w:t>
      </w:r>
      <w:r w:rsidR="4EA1CDAA">
        <w:t>each of the</w:t>
      </w:r>
      <w:r>
        <w:t xml:space="preserve"> </w:t>
      </w:r>
      <w:r w:rsidR="75501FD2">
        <w:t xml:space="preserve">desired </w:t>
      </w:r>
      <w:r w:rsidR="00E8663E">
        <w:t>Thematic Priorities/</w:t>
      </w:r>
      <w:r w:rsidR="75501FD2">
        <w:t>Outcomes</w:t>
      </w:r>
      <w:r w:rsidR="5A78F14B">
        <w:t xml:space="preserve"> </w:t>
      </w:r>
      <w:r w:rsidR="1A5D0330">
        <w:t xml:space="preserve">based on </w:t>
      </w:r>
      <w:r w:rsidR="7A748290">
        <w:t xml:space="preserve">their relative priorities as </w:t>
      </w:r>
      <w:r w:rsidR="1C15EA8D">
        <w:t>defined by the Strategic Plan</w:t>
      </w:r>
      <w:r w:rsidR="2CDD9843">
        <w:t>. Th</w:t>
      </w:r>
      <w:r w:rsidR="00ED5BAA">
        <w:t>e</w:t>
      </w:r>
      <w:r w:rsidR="2CDD9843">
        <w:t xml:space="preserve"> Financial Plan provides </w:t>
      </w:r>
      <w:r w:rsidR="31ADB4BD">
        <w:t>guidance for</w:t>
      </w:r>
      <w:r w:rsidR="1C15EA8D">
        <w:t xml:space="preserve"> </w:t>
      </w:r>
      <w:r w:rsidR="01C5F265">
        <w:t>the</w:t>
      </w:r>
      <w:r w:rsidR="1C15EA8D">
        <w:t xml:space="preserve"> budgeting and delivery of Outputs in Operational Plans</w:t>
      </w:r>
      <w:r w:rsidR="21E2AF40">
        <w:t xml:space="preserve"> during the period covered by the Strategic Plan</w:t>
      </w:r>
      <w:r w:rsidR="5A78F14B">
        <w:t>.</w:t>
      </w:r>
      <w:r w:rsidR="1C15EA8D">
        <w:t xml:space="preserve"> </w:t>
      </w:r>
    </w:p>
    <w:p w14:paraId="7627B202" w14:textId="49EE913A" w:rsidR="5FD35189" w:rsidRPr="006D6A4B" w:rsidRDefault="307ED133" w:rsidP="00D75148">
      <w:pPr>
        <w:jc w:val="both"/>
      </w:pPr>
      <w:r>
        <w:t xml:space="preserve">The process </w:t>
      </w:r>
      <w:r w:rsidR="14A7B86D">
        <w:t>for</w:t>
      </w:r>
      <w:r>
        <w:t xml:space="preserve"> generating </w:t>
      </w:r>
      <w:r w:rsidR="14A7B86D">
        <w:t xml:space="preserve">the </w:t>
      </w:r>
      <w:r>
        <w:t xml:space="preserve">cost estimates </w:t>
      </w:r>
      <w:r w:rsidR="14A7B86D">
        <w:t xml:space="preserve">included in the Financial Plan </w:t>
      </w:r>
      <w:r w:rsidR="0F06B135">
        <w:t xml:space="preserve">at the </w:t>
      </w:r>
      <w:r w:rsidR="76F4FDB9">
        <w:t xml:space="preserve">level of the </w:t>
      </w:r>
      <w:r w:rsidR="0F06B135">
        <w:t>Outcome</w:t>
      </w:r>
      <w:r w:rsidR="76F4FDB9">
        <w:t>s</w:t>
      </w:r>
      <w:r w:rsidR="0F06B135">
        <w:t xml:space="preserve"> </w:t>
      </w:r>
      <w:r w:rsidR="1394D2DD">
        <w:t xml:space="preserve">will </w:t>
      </w:r>
      <w:r w:rsidR="76F4FDB9">
        <w:t xml:space="preserve">be developed by the Council Working Group for </w:t>
      </w:r>
      <w:r w:rsidR="447E716A">
        <w:t>s</w:t>
      </w:r>
      <w:r w:rsidR="76F4FDB9">
        <w:t xml:space="preserve">trategic and </w:t>
      </w:r>
      <w:r w:rsidR="68521EF4">
        <w:t>f</w:t>
      </w:r>
      <w:r w:rsidR="76F4FDB9">
        <w:t xml:space="preserve">inancial </w:t>
      </w:r>
      <w:r w:rsidR="0656F048">
        <w:t>p</w:t>
      </w:r>
      <w:r w:rsidR="76F4FDB9">
        <w:t xml:space="preserve">lans (CWG-SFP), based </w:t>
      </w:r>
      <w:r w:rsidR="6E3BAFB9">
        <w:t>on the proposal of the Secretariat. This proposal will take</w:t>
      </w:r>
      <w:r w:rsidR="64171B53">
        <w:t xml:space="preserve"> </w:t>
      </w:r>
      <w:r w:rsidR="6E3BAFB9">
        <w:t xml:space="preserve">into account proposals from </w:t>
      </w:r>
      <w:r w:rsidR="76F4FDB9">
        <w:t xml:space="preserve">the General Secretariat and Bureaus </w:t>
      </w:r>
      <w:r w:rsidR="27BF6315">
        <w:t xml:space="preserve">regarding </w:t>
      </w:r>
      <w:r w:rsidR="58910C5B">
        <w:t xml:space="preserve">the </w:t>
      </w:r>
      <w:r w:rsidR="1C02F2EB">
        <w:t>a</w:t>
      </w:r>
      <w:r w:rsidR="58910C5B">
        <w:t xml:space="preserve">ctivities </w:t>
      </w:r>
      <w:r w:rsidR="1C372CEB">
        <w:t xml:space="preserve">they </w:t>
      </w:r>
      <w:r w:rsidR="1C02F2EB">
        <w:t xml:space="preserve">propose to </w:t>
      </w:r>
      <w:r w:rsidR="1C372CEB">
        <w:t xml:space="preserve">carry out during the period to </w:t>
      </w:r>
      <w:r w:rsidR="1C02F2EB">
        <w:t>produce</w:t>
      </w:r>
      <w:r w:rsidR="1C372CEB">
        <w:t xml:space="preserve"> the </w:t>
      </w:r>
      <w:r w:rsidR="1C02F2EB">
        <w:t>Outputs that will deliver on the</w:t>
      </w:r>
      <w:r w:rsidR="1C372CEB">
        <w:t xml:space="preserve"> </w:t>
      </w:r>
      <w:r w:rsidR="58910C5B">
        <w:t>Outcome</w:t>
      </w:r>
      <w:r w:rsidR="1C02F2EB">
        <w:t xml:space="preserve"> targets</w:t>
      </w:r>
      <w:r w:rsidR="58910C5B">
        <w:t xml:space="preserve">. </w:t>
      </w:r>
      <w:r w:rsidR="0390F45F">
        <w:t xml:space="preserve">The resources needed to </w:t>
      </w:r>
      <w:r w:rsidR="7A961215">
        <w:t>conduct th</w:t>
      </w:r>
      <w:r w:rsidR="1C02F2EB">
        <w:t>os</w:t>
      </w:r>
      <w:r w:rsidR="7A961215">
        <w:t xml:space="preserve">e activities are </w:t>
      </w:r>
      <w:r w:rsidR="368A5D8B">
        <w:t xml:space="preserve">estimated </w:t>
      </w:r>
      <w:r w:rsidR="5F5E2CEE">
        <w:t>and</w:t>
      </w:r>
      <w:r w:rsidR="1C02F2EB">
        <w:t xml:space="preserve"> aggregated across the Bureaus and General Secretariat to produce the estimated resources needed to achieve each Outcome in the Strategic Plan. </w:t>
      </w:r>
      <w:r w:rsidR="1BCE0879">
        <w:t>Those estimates comprise the Financial Plan at the Strategic level.</w:t>
      </w:r>
      <w:r w:rsidR="63C772F2">
        <w:t xml:space="preserve"> </w:t>
      </w:r>
    </w:p>
    <w:p w14:paraId="77AE21AC" w14:textId="3661F16D" w:rsidR="005D028B" w:rsidRPr="00B76158" w:rsidRDefault="005D028B" w:rsidP="000438D2">
      <w:pPr>
        <w:pStyle w:val="Headingb"/>
      </w:pPr>
      <w:r w:rsidRPr="00B76158">
        <w:t>Results at the Level of the Strategic Plan</w:t>
      </w:r>
    </w:p>
    <w:p w14:paraId="6E4EAC28" w14:textId="1876CC89" w:rsidR="005D028B" w:rsidRPr="00F34C03" w:rsidRDefault="00F85503" w:rsidP="000438D2">
      <w:pPr>
        <w:pStyle w:val="enumlev1"/>
        <w:jc w:val="both"/>
      </w:pPr>
      <w:r w:rsidRPr="00F85503">
        <w:t>–</w:t>
      </w:r>
      <w:r w:rsidRPr="00F85503">
        <w:tab/>
      </w:r>
      <w:r w:rsidR="005D028B" w:rsidRPr="00F34C03">
        <w:rPr>
          <w:b/>
          <w:bCs/>
        </w:rPr>
        <w:t>Impact</w:t>
      </w:r>
      <w:r w:rsidR="005D028B" w:rsidRPr="00F34C03">
        <w:t xml:space="preserve">: </w:t>
      </w:r>
      <w:r w:rsidR="0081176F" w:rsidRPr="00F34C03">
        <w:t>Impact implies changes in people’s lives (this might include changes in knowledge, skill, behaviour, health or living conditions for children, adults, families or communities). Such changes are positive or negative long-term effects on identifiable population groups produced by an intervention, directly or indirectly, intended or unintended. These effects can be economic, socio-cultural, institutional, environmental, technological or of other types. Positive impacts should have some relationship to the Sustainable Development Goals (SDGs), internationally agreed strategic goals</w:t>
      </w:r>
      <w:r w:rsidR="00DE6E8F" w:rsidRPr="00F34C03">
        <w:t xml:space="preserve"> (i.e., ITU’s</w:t>
      </w:r>
      <w:r w:rsidR="00DE6E8F" w:rsidRPr="00F34C03">
        <w:rPr>
          <w:u w:val="single"/>
        </w:rPr>
        <w:t xml:space="preserve"> strategic goals</w:t>
      </w:r>
      <w:r w:rsidR="00DE6E8F" w:rsidRPr="00F34C03">
        <w:t>: 1) Universal Connectivity; and 2) Sustainable Digital Transformation</w:t>
      </w:r>
      <w:r w:rsidR="00710140" w:rsidRPr="00F34C03">
        <w:t>)</w:t>
      </w:r>
      <w:r w:rsidR="0081176F" w:rsidRPr="00F34C03">
        <w:t xml:space="preserve"> as well as national development goals.</w:t>
      </w:r>
    </w:p>
    <w:p w14:paraId="5B2F714B" w14:textId="0F5D9054" w:rsidR="005D028B" w:rsidRPr="00A661C1" w:rsidRDefault="00C220B1" w:rsidP="000438D2">
      <w:pPr>
        <w:pStyle w:val="enumlev1"/>
        <w:jc w:val="both"/>
      </w:pPr>
      <w:r>
        <w:tab/>
      </w:r>
      <w:r w:rsidR="005D028B" w:rsidRPr="00A661C1">
        <w:t>For example:</w:t>
      </w:r>
    </w:p>
    <w:p w14:paraId="461A2057" w14:textId="00B2C950" w:rsidR="005D028B" w:rsidRPr="00A661C1" w:rsidRDefault="000438D2" w:rsidP="000438D2">
      <w:pPr>
        <w:pStyle w:val="enumlev2"/>
        <w:jc w:val="both"/>
      </w:pPr>
      <w:r>
        <w:t>•</w:t>
      </w:r>
      <w:r>
        <w:tab/>
      </w:r>
      <w:r w:rsidR="005D028B" w:rsidRPr="00A661C1">
        <w:t xml:space="preserve">Universal broadband coverage (measured through the </w:t>
      </w:r>
      <w:r w:rsidR="005D028B">
        <w:t xml:space="preserve">performance </w:t>
      </w:r>
      <w:r w:rsidR="005D028B" w:rsidRPr="00A661C1">
        <w:t>indicator “Percentage of the world covered by broadband services”)</w:t>
      </w:r>
    </w:p>
    <w:p w14:paraId="73577821" w14:textId="5DD60E17" w:rsidR="005D028B" w:rsidRPr="002D7929" w:rsidRDefault="000438D2" w:rsidP="000438D2">
      <w:pPr>
        <w:pStyle w:val="enumlev2"/>
        <w:jc w:val="both"/>
      </w:pPr>
      <w:r>
        <w:t>•</w:t>
      </w:r>
      <w:r>
        <w:tab/>
      </w:r>
      <w:r w:rsidR="005D028B" w:rsidRPr="00A661C1">
        <w:t xml:space="preserve">Broadband services to be affordable for all (measured through the </w:t>
      </w:r>
      <w:r w:rsidR="005D028B">
        <w:t xml:space="preserve">performance </w:t>
      </w:r>
      <w:r w:rsidR="005D028B" w:rsidRPr="00A661C1">
        <w:t>indicator “Cost of entry-level broadband in developing countries as percentage of monthly GNI per capita”)</w:t>
      </w:r>
    </w:p>
    <w:p w14:paraId="7DA8719C" w14:textId="4CA6B8FD" w:rsidR="005D028B" w:rsidRPr="00A661C1" w:rsidRDefault="000438D2" w:rsidP="000438D2">
      <w:pPr>
        <w:pStyle w:val="enumlev1"/>
        <w:jc w:val="both"/>
      </w:pPr>
      <w:r w:rsidRPr="00F85503">
        <w:t>–</w:t>
      </w:r>
      <w:r w:rsidRPr="00F85503">
        <w:tab/>
      </w:r>
      <w:r w:rsidR="005D028B" w:rsidRPr="0DB7FA77">
        <w:rPr>
          <w:b/>
          <w:bCs/>
        </w:rPr>
        <w:t>Outcomes</w:t>
      </w:r>
      <w:r w:rsidR="005D028B">
        <w:t xml:space="preserve">: Changes in the institutional </w:t>
      </w:r>
      <w:r w:rsidR="4F85B755">
        <w:t xml:space="preserve">and behavioral capacities of </w:t>
      </w:r>
      <w:r w:rsidR="001C1E57">
        <w:t xml:space="preserve">ITU </w:t>
      </w:r>
      <w:r w:rsidR="0A50C051">
        <w:t>M</w:t>
      </w:r>
      <w:r w:rsidR="4F85B755">
        <w:t>embership</w:t>
      </w:r>
      <w:r w:rsidR="00370A1A">
        <w:t xml:space="preserve"> and stakeholders</w:t>
      </w:r>
      <w:r w:rsidR="005D028B">
        <w:t xml:space="preserve">, as framed by current Thematic Priorities, </w:t>
      </w:r>
      <w:r w:rsidR="006762DA">
        <w:t xml:space="preserve">that occur between the completion of outputs and the achievement of Goals. </w:t>
      </w:r>
    </w:p>
    <w:p w14:paraId="421B75F7" w14:textId="3BC6974A" w:rsidR="005D028B" w:rsidRPr="00A661C1" w:rsidRDefault="000438D2" w:rsidP="000438D2">
      <w:pPr>
        <w:pStyle w:val="enumlev1"/>
        <w:jc w:val="both"/>
      </w:pPr>
      <w:r>
        <w:tab/>
      </w:r>
      <w:r w:rsidR="005D028B" w:rsidRPr="00A661C1">
        <w:t>For example</w:t>
      </w:r>
      <w:r w:rsidR="005D028B">
        <w:t xml:space="preserve">: </w:t>
      </w:r>
    </w:p>
    <w:p w14:paraId="32896E28" w14:textId="675DEF7C" w:rsidR="005D028B" w:rsidRPr="00A661C1" w:rsidRDefault="000438D2" w:rsidP="000438D2">
      <w:pPr>
        <w:pStyle w:val="enumlev2"/>
        <w:jc w:val="both"/>
      </w:pPr>
      <w:r>
        <w:t>•</w:t>
      </w:r>
      <w:r>
        <w:tab/>
      </w:r>
      <w:r w:rsidR="005D028B" w:rsidRPr="00A661C1">
        <w:t>Avoidance of causing harmful interference (measured through</w:t>
      </w:r>
      <w:r w:rsidR="005D028B">
        <w:t xml:space="preserve"> the performance</w:t>
      </w:r>
      <w:r w:rsidR="005D028B" w:rsidRPr="00A661C1">
        <w:t xml:space="preserve"> indicator “Cases of harmful interference reported to the BR and resolved”)</w:t>
      </w:r>
    </w:p>
    <w:p w14:paraId="5D53BDCF" w14:textId="53530EC8" w:rsidR="005D028B" w:rsidRDefault="000438D2" w:rsidP="000438D2">
      <w:pPr>
        <w:pStyle w:val="enumlev2"/>
        <w:jc w:val="both"/>
      </w:pPr>
      <w:r>
        <w:t>•</w:t>
      </w:r>
      <w:r>
        <w:tab/>
      </w:r>
      <w:r w:rsidR="005D028B" w:rsidRPr="00A661C1">
        <w:t xml:space="preserve">Enhanced interoperability and performance of telecommunications/ICT applications (measured through </w:t>
      </w:r>
      <w:r w:rsidR="005D028B">
        <w:t xml:space="preserve">the performance </w:t>
      </w:r>
      <w:r w:rsidR="005D028B" w:rsidRPr="00A661C1">
        <w:t>indicator “Implementation of ITU standards”)</w:t>
      </w:r>
    </w:p>
    <w:p w14:paraId="70A5A0C3" w14:textId="31DEE4E7" w:rsidR="005D028B" w:rsidRDefault="000438D2" w:rsidP="000438D2">
      <w:pPr>
        <w:pStyle w:val="enumlev2"/>
        <w:jc w:val="both"/>
      </w:pPr>
      <w:r>
        <w:t>•</w:t>
      </w:r>
      <w:r>
        <w:tab/>
      </w:r>
      <w:r w:rsidR="005D028B">
        <w:t>Strengthened partnerships to adequately resource and support capacity building and cybersecurity activities (measured through performance indicator “Global Cybersecurity Index (GCI)”)</w:t>
      </w:r>
    </w:p>
    <w:p w14:paraId="55763EA5" w14:textId="4C88D544" w:rsidR="005D028B" w:rsidRPr="00A415D9" w:rsidRDefault="005D028B" w:rsidP="005D028B">
      <w:pPr>
        <w:rPr>
          <w:b/>
          <w:bCs/>
        </w:rPr>
      </w:pPr>
      <w:r w:rsidRPr="6B29999C">
        <w:rPr>
          <w:b/>
          <w:bCs/>
        </w:rPr>
        <w:lastRenderedPageBreak/>
        <w:t>Results at the Level of the Operational Plans</w:t>
      </w:r>
    </w:p>
    <w:p w14:paraId="344E16B6" w14:textId="018C6B87" w:rsidR="005D028B" w:rsidRDefault="000438D2" w:rsidP="000438D2">
      <w:pPr>
        <w:pStyle w:val="enumlev1"/>
        <w:jc w:val="both"/>
      </w:pPr>
      <w:r w:rsidRPr="00F85503">
        <w:t>–</w:t>
      </w:r>
      <w:r w:rsidRPr="00F85503">
        <w:tab/>
      </w:r>
      <w:r w:rsidR="005D028B" w:rsidRPr="0DB7FA77">
        <w:rPr>
          <w:b/>
          <w:bCs/>
        </w:rPr>
        <w:t>Outputs</w:t>
      </w:r>
      <w:r w:rsidR="005D028B">
        <w:t xml:space="preserve">: </w:t>
      </w:r>
      <w:r w:rsidR="00C23319">
        <w:t xml:space="preserve">Changes in skills or abilities and capacities of individuals or institutions, or the </w:t>
      </w:r>
      <w:r w:rsidR="7638A359">
        <w:t>availability of new</w:t>
      </w:r>
      <w:r w:rsidR="006E7418">
        <w:t xml:space="preserve"> or enhanced</w:t>
      </w:r>
      <w:r w:rsidR="7638A359">
        <w:t xml:space="preserve"> products and services that result from the completion of activities within </w:t>
      </w:r>
      <w:r w:rsidR="00914903">
        <w:t xml:space="preserve">an intervention within </w:t>
      </w:r>
      <w:r w:rsidR="7638A359">
        <w:t xml:space="preserve">the control of the organization. They are achieved with the resources </w:t>
      </w:r>
      <w:r w:rsidR="00285F7D">
        <w:t>provided</w:t>
      </w:r>
      <w:r w:rsidR="7638A359">
        <w:t xml:space="preserve"> and within a specified time frame (</w:t>
      </w:r>
      <w:r w:rsidR="00A057F4">
        <w:t>i.e.,</w:t>
      </w:r>
      <w:r w:rsidR="7638A359">
        <w:t xml:space="preserve"> annual operational plans).</w:t>
      </w:r>
    </w:p>
    <w:p w14:paraId="32CA04A2" w14:textId="479953B4" w:rsidR="005D028B" w:rsidRDefault="000438D2" w:rsidP="000438D2">
      <w:pPr>
        <w:pStyle w:val="enumlev2"/>
        <w:jc w:val="both"/>
      </w:pPr>
      <w:r>
        <w:t>•</w:t>
      </w:r>
      <w:r>
        <w:tab/>
      </w:r>
      <w:r w:rsidR="005D028B">
        <w:t>Strategic linkage – Outputs programmed in each annual Operational Plan should set targets towards the achievement of measurable Outcome Indicators defined in the Strategic Plan. A few possible examples:</w:t>
      </w:r>
    </w:p>
    <w:p w14:paraId="0B207D64" w14:textId="48BBC316" w:rsidR="005D028B" w:rsidRDefault="000438D2" w:rsidP="000438D2">
      <w:pPr>
        <w:pStyle w:val="enumlev3"/>
        <w:jc w:val="both"/>
      </w:pPr>
      <w:r w:rsidRPr="00F85503">
        <w:t>–</w:t>
      </w:r>
      <w:r w:rsidRPr="00F85503">
        <w:tab/>
      </w:r>
      <w:r w:rsidR="005D028B">
        <w:t>A planned Output of National Cyber Security Strategies to X countries should target improvement of Y increase in future GCI scores for assisted countries</w:t>
      </w:r>
    </w:p>
    <w:p w14:paraId="78772431" w14:textId="35524EC6" w:rsidR="005D028B" w:rsidRDefault="000438D2" w:rsidP="000438D2">
      <w:pPr>
        <w:pStyle w:val="enumlev3"/>
        <w:jc w:val="both"/>
      </w:pPr>
      <w:r w:rsidRPr="00F85503">
        <w:t>–</w:t>
      </w:r>
      <w:r w:rsidRPr="00F85503">
        <w:tab/>
      </w:r>
      <w:r w:rsidR="005D028B">
        <w:t>A planned Output of BR software should target below X cases of harmful interference among countries implementing Radio Regulations</w:t>
      </w:r>
    </w:p>
    <w:p w14:paraId="0DB454DB" w14:textId="71CE9AC4" w:rsidR="005D028B" w:rsidRDefault="000438D2" w:rsidP="000438D2">
      <w:pPr>
        <w:pStyle w:val="enumlev3"/>
        <w:jc w:val="both"/>
      </w:pPr>
      <w:r w:rsidRPr="00F85503">
        <w:t>–</w:t>
      </w:r>
      <w:r w:rsidRPr="00F85503">
        <w:tab/>
      </w:r>
      <w:r w:rsidR="005D028B">
        <w:t xml:space="preserve">A planned Output of Interoperability Standards should target X% implementation rate among targeted </w:t>
      </w:r>
      <w:r w:rsidR="00C71EED">
        <w:t>members</w:t>
      </w:r>
      <w:r w:rsidR="005D028B">
        <w:t xml:space="preserve">. </w:t>
      </w:r>
    </w:p>
    <w:p w14:paraId="5A27FC25" w14:textId="2A3E5EB9" w:rsidR="005D028B" w:rsidRPr="002D7929" w:rsidRDefault="000438D2" w:rsidP="000438D2">
      <w:pPr>
        <w:pStyle w:val="enumlev2"/>
        <w:jc w:val="both"/>
      </w:pPr>
      <w:r>
        <w:t>•</w:t>
      </w:r>
      <w:r>
        <w:tab/>
      </w:r>
      <w:r w:rsidR="005D028B">
        <w:t>Financial linkage – each Output must include an estimate of the financial resources required to implement during each year of operational planning (</w:t>
      </w:r>
      <w:r w:rsidR="005D028B" w:rsidRPr="009674FD">
        <w:t xml:space="preserve">detailed further in Section </w:t>
      </w:r>
      <w:r w:rsidR="3FAE45E9" w:rsidRPr="009674FD">
        <w:t>3</w:t>
      </w:r>
      <w:r w:rsidR="005D028B">
        <w:t>). Costing at Output level should apply to all financial resources, regardless of the source</w:t>
      </w:r>
      <w:r w:rsidR="00475266">
        <w:t xml:space="preserve"> or category</w:t>
      </w:r>
      <w:r w:rsidR="005D028B">
        <w:t xml:space="preserve"> (i.e., </w:t>
      </w:r>
      <w:r w:rsidR="00475266">
        <w:t>staff costs, travel costs</w:t>
      </w:r>
      <w:r w:rsidR="00E11AE0">
        <w:t xml:space="preserve">, </w:t>
      </w:r>
      <w:r w:rsidR="00681EFD">
        <w:t>contractual services</w:t>
      </w:r>
      <w:r w:rsidR="008F203B">
        <w:t>,</w:t>
      </w:r>
      <w:r w:rsidR="00681EFD">
        <w:t xml:space="preserve"> </w:t>
      </w:r>
      <w:r w:rsidR="00E11AE0">
        <w:t>etc</w:t>
      </w:r>
      <w:r w:rsidR="008F203B">
        <w:t>.</w:t>
      </w:r>
      <w:r w:rsidR="00681EFD">
        <w:t>,</w:t>
      </w:r>
      <w:r w:rsidR="00E11AE0">
        <w:t xml:space="preserve"> whether from</w:t>
      </w:r>
      <w:r w:rsidR="00475266">
        <w:t xml:space="preserve"> </w:t>
      </w:r>
      <w:r w:rsidR="005D028B">
        <w:t>Regular Budget or Extrabudgetary</w:t>
      </w:r>
      <w:r w:rsidR="00E11AE0">
        <w:t xml:space="preserve"> Funds</w:t>
      </w:r>
      <w:r w:rsidR="005D028B">
        <w:t>)</w:t>
      </w:r>
      <w:r w:rsidR="00071232">
        <w:t>.</w:t>
      </w:r>
    </w:p>
    <w:p w14:paraId="4B01062F" w14:textId="3E7CA232" w:rsidR="005D028B" w:rsidRPr="00B971ED" w:rsidRDefault="000438D2" w:rsidP="000438D2">
      <w:pPr>
        <w:pStyle w:val="enumlev1"/>
        <w:jc w:val="both"/>
      </w:pPr>
      <w:r w:rsidRPr="00F85503">
        <w:t>–</w:t>
      </w:r>
      <w:r w:rsidRPr="00F85503">
        <w:tab/>
      </w:r>
      <w:r w:rsidR="005D028B" w:rsidRPr="0DB7FA77">
        <w:rPr>
          <w:b/>
          <w:bCs/>
        </w:rPr>
        <w:t>Activities</w:t>
      </w:r>
      <w:r w:rsidR="005D028B">
        <w:t>: Actions taken or work perf</w:t>
      </w:r>
      <w:r w:rsidR="594E89CC">
        <w:t xml:space="preserve">ormed through which </w:t>
      </w:r>
      <w:r w:rsidR="00CB01E6">
        <w:t xml:space="preserve">resources </w:t>
      </w:r>
      <w:r w:rsidR="594E89CC">
        <w:t>(</w:t>
      </w:r>
      <w:r w:rsidR="00CB01E6">
        <w:t>including</w:t>
      </w:r>
      <w:r w:rsidR="594E89CC">
        <w:t xml:space="preserve"> </w:t>
      </w:r>
      <w:r w:rsidR="00CB01E6">
        <w:t>financial resources</w:t>
      </w:r>
      <w:r w:rsidR="594E89CC">
        <w:t>, ITU staff effort and other types of resources) are mobilized to produce specific outputs</w:t>
      </w:r>
      <w:r w:rsidR="005D028B">
        <w:t xml:space="preserve">. To better capture the contribution of ITU staff time and effort towards planned Outputs (as well as to better integrate staff costs into the results chain), the Activity level of the results chain should closely integrate with the annual </w:t>
      </w:r>
      <w:r w:rsidR="001C1E57">
        <w:t xml:space="preserve">work </w:t>
      </w:r>
      <w:r w:rsidR="005D028B">
        <w:t xml:space="preserve">plans of all ITU staff </w:t>
      </w:r>
      <w:r w:rsidR="001C1E57">
        <w:t xml:space="preserve">and be properly reflected </w:t>
      </w:r>
      <w:r w:rsidR="005D028B">
        <w:t xml:space="preserve">in </w:t>
      </w:r>
      <w:r w:rsidR="001C1E57">
        <w:t xml:space="preserve">ITU’s </w:t>
      </w:r>
      <w:r w:rsidR="005D028B">
        <w:t xml:space="preserve">electronic Performance Management and Development System (e-PMDS). Examples of activities include events, meetings, conferences, study groups, workshops, technical assistance, working groups, advisory groups, etc. </w:t>
      </w:r>
    </w:p>
    <w:p w14:paraId="07298DE7" w14:textId="257EB0C6" w:rsidR="005D028B" w:rsidRPr="004557F2" w:rsidRDefault="00BC0AA3" w:rsidP="000438D2">
      <w:pPr>
        <w:pStyle w:val="Heading1"/>
      </w:pPr>
      <w:r>
        <w:t>3</w:t>
      </w:r>
      <w:r w:rsidR="00C220B1">
        <w:tab/>
      </w:r>
      <w:r w:rsidR="005D028B" w:rsidRPr="004557F2">
        <w:t xml:space="preserve">Operational Planning and Budgeting </w:t>
      </w:r>
    </w:p>
    <w:p w14:paraId="60359A94" w14:textId="2C6D3944" w:rsidR="005D028B" w:rsidRDefault="00CB01E6" w:rsidP="000438D2">
      <w:pPr>
        <w:jc w:val="both"/>
      </w:pPr>
      <w:r>
        <w:t>ITU’s operational</w:t>
      </w:r>
      <w:r w:rsidR="005D028B">
        <w:t xml:space="preserve"> planning and budgeting </w:t>
      </w:r>
      <w:r>
        <w:t xml:space="preserve">processes </w:t>
      </w:r>
      <w:r w:rsidR="005D028B">
        <w:t xml:space="preserve">will be enhanced in order to further focus operations, work effort and financial resources towards expected results in the </w:t>
      </w:r>
      <w:r>
        <w:t xml:space="preserve">organization’s </w:t>
      </w:r>
      <w:r w:rsidR="005D028B">
        <w:t xml:space="preserve">Strategic Plan. Planning and budgeting steps that will be required </w:t>
      </w:r>
      <w:r w:rsidR="005D028B" w:rsidRPr="00043855">
        <w:rPr>
          <w:b/>
          <w:bCs/>
        </w:rPr>
        <w:t>each year</w:t>
      </w:r>
      <w:r w:rsidR="005D028B">
        <w:t xml:space="preserve"> are outlined as follows: </w:t>
      </w:r>
    </w:p>
    <w:p w14:paraId="037805EF" w14:textId="332346BB" w:rsidR="005D028B" w:rsidRPr="00F34C03" w:rsidRDefault="00F34C03" w:rsidP="000438D2">
      <w:pPr>
        <w:pStyle w:val="enumlev1"/>
        <w:jc w:val="both"/>
      </w:pPr>
      <w:r w:rsidRPr="00B21915">
        <w:rPr>
          <w:rFonts w:asciiTheme="minorHAnsi" w:eastAsiaTheme="minorHAnsi" w:hAnsiTheme="minorHAnsi" w:cstheme="minorBidi"/>
          <w:kern w:val="2"/>
          <w14:ligatures w14:val="standardContextual"/>
        </w:rPr>
        <w:t>1</w:t>
      </w:r>
      <w:r w:rsidRPr="00B21915">
        <w:rPr>
          <w:rFonts w:asciiTheme="minorHAnsi" w:eastAsiaTheme="minorHAnsi" w:hAnsiTheme="minorHAnsi" w:cstheme="minorBidi"/>
          <w:kern w:val="2"/>
          <w14:ligatures w14:val="standardContextual"/>
        </w:rPr>
        <w:tab/>
      </w:r>
      <w:r w:rsidR="005D028B" w:rsidRPr="00F34C03">
        <w:t>Review and refine outputs (each Bureau and Department)</w:t>
      </w:r>
    </w:p>
    <w:p w14:paraId="2E885BAC" w14:textId="424475CA" w:rsidR="005D028B" w:rsidRPr="00B21915" w:rsidRDefault="00C220B1" w:rsidP="000438D2">
      <w:pPr>
        <w:pStyle w:val="enumlev1"/>
        <w:jc w:val="both"/>
      </w:pPr>
      <w:r>
        <w:tab/>
      </w:r>
      <w:r w:rsidR="005D028B" w:rsidRPr="00B21915">
        <w:t xml:space="preserve">Review current Outputs to assess if they are still relevant, </w:t>
      </w:r>
      <w:r w:rsidR="00CB01E6" w:rsidRPr="00B21915">
        <w:t>fit for pu</w:t>
      </w:r>
      <w:r w:rsidR="00A65712" w:rsidRPr="00B21915">
        <w:t>r</w:t>
      </w:r>
      <w:r w:rsidR="00CB01E6" w:rsidRPr="00B21915">
        <w:t>pose,</w:t>
      </w:r>
      <w:r w:rsidR="005D028B" w:rsidRPr="00B21915">
        <w:t xml:space="preserve"> and have achieved expected Outcome</w:t>
      </w:r>
      <w:r w:rsidR="00CB01E6" w:rsidRPr="00B21915">
        <w:t xml:space="preserve"> targets</w:t>
      </w:r>
      <w:r w:rsidR="005D028B" w:rsidRPr="00B21915">
        <w:t xml:space="preserve"> in previous years</w:t>
      </w:r>
      <w:r w:rsidR="00FC4595">
        <w:t>.</w:t>
      </w:r>
    </w:p>
    <w:p w14:paraId="48AD8809" w14:textId="19276E59" w:rsidR="005D028B" w:rsidRPr="00F34C03" w:rsidRDefault="00F34C03" w:rsidP="000438D2">
      <w:pPr>
        <w:pStyle w:val="enumlev1"/>
        <w:jc w:val="both"/>
      </w:pPr>
      <w:r w:rsidRPr="00B21915">
        <w:rPr>
          <w:rFonts w:asciiTheme="minorHAnsi" w:eastAsiaTheme="minorHAnsi" w:hAnsiTheme="minorHAnsi" w:cstheme="minorBidi"/>
          <w:kern w:val="2"/>
          <w14:ligatures w14:val="standardContextual"/>
        </w:rPr>
        <w:t>2</w:t>
      </w:r>
      <w:r w:rsidRPr="00B21915">
        <w:rPr>
          <w:rFonts w:asciiTheme="minorHAnsi" w:eastAsiaTheme="minorHAnsi" w:hAnsiTheme="minorHAnsi" w:cstheme="minorBidi"/>
          <w:kern w:val="2"/>
          <w14:ligatures w14:val="standardContextual"/>
        </w:rPr>
        <w:tab/>
      </w:r>
      <w:r w:rsidR="005D028B" w:rsidRPr="00F34C03">
        <w:t>Define key attributes for each Output</w:t>
      </w:r>
      <w:r w:rsidR="00FC4595">
        <w:t>:</w:t>
      </w:r>
    </w:p>
    <w:p w14:paraId="4448AF57" w14:textId="0C347CB2" w:rsidR="005D028B" w:rsidRPr="00F34C03" w:rsidRDefault="000438D2" w:rsidP="000438D2">
      <w:pPr>
        <w:pStyle w:val="enumlev2"/>
        <w:jc w:val="both"/>
      </w:pPr>
      <w:r>
        <w:rPr>
          <w:rFonts w:asciiTheme="minorHAnsi" w:eastAsiaTheme="minorHAnsi" w:hAnsiTheme="minorHAnsi" w:cstheme="minorBidi"/>
          <w:kern w:val="2"/>
          <w14:ligatures w14:val="standardContextual"/>
        </w:rPr>
        <w:t>i</w:t>
      </w:r>
      <w:r w:rsidR="00F34C03" w:rsidRPr="00B21915">
        <w:rPr>
          <w:rFonts w:asciiTheme="minorHAnsi" w:eastAsiaTheme="minorHAnsi" w:hAnsiTheme="minorHAnsi" w:cstheme="minorBidi"/>
          <w:kern w:val="2"/>
          <w14:ligatures w14:val="standardContextual"/>
        </w:rPr>
        <w:tab/>
      </w:r>
      <w:r w:rsidR="005D028B" w:rsidRPr="00F34C03">
        <w:t xml:space="preserve">Targets: set end-of-year Outcome-level performance indicator targets for each Output </w:t>
      </w:r>
      <w:r w:rsidR="00CB01E6" w:rsidRPr="00F34C03">
        <w:t xml:space="preserve">planned </w:t>
      </w:r>
      <w:r w:rsidR="005D028B" w:rsidRPr="00F34C03">
        <w:t>for the year, considering:</w:t>
      </w:r>
    </w:p>
    <w:p w14:paraId="337B6FED" w14:textId="473C7AA1" w:rsidR="005D028B" w:rsidRPr="00F34C03" w:rsidRDefault="00F34C03" w:rsidP="000438D2">
      <w:pPr>
        <w:pStyle w:val="enumlev3"/>
        <w:jc w:val="both"/>
      </w:pPr>
      <w:r w:rsidRPr="00B21915">
        <w:rPr>
          <w:rFonts w:asciiTheme="minorHAnsi" w:eastAsiaTheme="minorHAnsi" w:hAnsiTheme="minorHAnsi" w:cstheme="minorBidi"/>
          <w:kern w:val="2"/>
          <w14:ligatures w14:val="standardContextual"/>
        </w:rPr>
        <w:t>i.</w:t>
      </w:r>
      <w:r w:rsidRPr="00B21915">
        <w:rPr>
          <w:rFonts w:asciiTheme="minorHAnsi" w:eastAsiaTheme="minorHAnsi" w:hAnsiTheme="minorHAnsi" w:cstheme="minorBidi"/>
          <w:kern w:val="2"/>
          <w14:ligatures w14:val="standardContextual"/>
        </w:rPr>
        <w:tab/>
      </w:r>
      <w:r w:rsidR="005D028B" w:rsidRPr="00F34C03">
        <w:t>baseline values (2027</w:t>
      </w:r>
      <w:r w:rsidR="00CB01E6" w:rsidRPr="00F34C03">
        <w:t xml:space="preserve"> measurements</w:t>
      </w:r>
      <w:r w:rsidR="005D028B" w:rsidRPr="00F34C03">
        <w:t xml:space="preserve">); </w:t>
      </w:r>
    </w:p>
    <w:p w14:paraId="2181B057" w14:textId="36C426F4" w:rsidR="005D028B" w:rsidRPr="00F34C03" w:rsidRDefault="00F34C03" w:rsidP="000438D2">
      <w:pPr>
        <w:pStyle w:val="enumlev3"/>
        <w:jc w:val="both"/>
      </w:pPr>
      <w:r w:rsidRPr="00B21915">
        <w:rPr>
          <w:rFonts w:asciiTheme="minorHAnsi" w:eastAsiaTheme="minorHAnsi" w:hAnsiTheme="minorHAnsi" w:cstheme="minorBidi"/>
          <w:kern w:val="2"/>
          <w14:ligatures w14:val="standardContextual"/>
        </w:rPr>
        <w:t>ii.</w:t>
      </w:r>
      <w:r w:rsidRPr="00B21915">
        <w:rPr>
          <w:rFonts w:asciiTheme="minorHAnsi" w:eastAsiaTheme="minorHAnsi" w:hAnsiTheme="minorHAnsi" w:cstheme="minorBidi"/>
          <w:kern w:val="2"/>
          <w14:ligatures w14:val="standardContextual"/>
        </w:rPr>
        <w:tab/>
      </w:r>
      <w:r w:rsidR="005D028B" w:rsidRPr="00F34C03">
        <w:t xml:space="preserve">endline targets (end of 2031); and </w:t>
      </w:r>
    </w:p>
    <w:p w14:paraId="0756B9E6" w14:textId="36DD8261" w:rsidR="005D028B" w:rsidRPr="00F34C03" w:rsidRDefault="00F34C03" w:rsidP="000438D2">
      <w:pPr>
        <w:pStyle w:val="enumlev3"/>
        <w:jc w:val="both"/>
      </w:pPr>
      <w:r w:rsidRPr="00B21915">
        <w:rPr>
          <w:rFonts w:asciiTheme="minorHAnsi" w:eastAsiaTheme="minorHAnsi" w:hAnsiTheme="minorHAnsi" w:cstheme="minorBidi"/>
          <w:kern w:val="2"/>
          <w14:ligatures w14:val="standardContextual"/>
        </w:rPr>
        <w:lastRenderedPageBreak/>
        <w:t>iii.</w:t>
      </w:r>
      <w:r w:rsidRPr="00B21915">
        <w:rPr>
          <w:rFonts w:asciiTheme="minorHAnsi" w:eastAsiaTheme="minorHAnsi" w:hAnsiTheme="minorHAnsi" w:cstheme="minorBidi"/>
          <w:kern w:val="2"/>
          <w14:ligatures w14:val="standardContextual"/>
        </w:rPr>
        <w:tab/>
      </w:r>
      <w:r w:rsidR="00CB01E6" w:rsidRPr="00F34C03">
        <w:t xml:space="preserve">assessment </w:t>
      </w:r>
      <w:r w:rsidR="005D028B" w:rsidRPr="00F34C03">
        <w:t>of Outcome-level targets expected to be achieved in the upcoming year (assuming that all planned Outputs are delivered).</w:t>
      </w:r>
    </w:p>
    <w:p w14:paraId="25265A30" w14:textId="0C9AD37F" w:rsidR="005D028B" w:rsidRPr="00F34C03" w:rsidRDefault="00F34C03" w:rsidP="000438D2">
      <w:pPr>
        <w:pStyle w:val="enumlev2"/>
        <w:jc w:val="both"/>
        <w:rPr>
          <w:szCs w:val="24"/>
        </w:rPr>
      </w:pPr>
      <w:r w:rsidRPr="000438D2">
        <w:rPr>
          <w:rFonts w:asciiTheme="minorHAnsi" w:eastAsiaTheme="minorHAnsi" w:hAnsiTheme="minorHAnsi" w:cstheme="minorBidi"/>
          <w:i/>
          <w:iCs/>
          <w:kern w:val="2"/>
          <w:szCs w:val="24"/>
          <w14:ligatures w14:val="standardContextual"/>
        </w:rPr>
        <w:t>b</w:t>
      </w:r>
      <w:r w:rsidR="000438D2" w:rsidRPr="000438D2">
        <w:rPr>
          <w:rFonts w:asciiTheme="minorHAnsi" w:eastAsiaTheme="minorHAnsi" w:hAnsiTheme="minorHAnsi" w:cstheme="minorBidi"/>
          <w:i/>
          <w:iCs/>
          <w:kern w:val="2"/>
          <w:szCs w:val="24"/>
          <w14:ligatures w14:val="standardContextual"/>
        </w:rPr>
        <w:t>)</w:t>
      </w:r>
      <w:r w:rsidRPr="00B21915">
        <w:rPr>
          <w:rFonts w:asciiTheme="minorHAnsi" w:eastAsiaTheme="minorHAnsi" w:hAnsiTheme="minorHAnsi" w:cstheme="minorBidi"/>
          <w:kern w:val="2"/>
          <w:szCs w:val="24"/>
          <w14:ligatures w14:val="standardContextual"/>
        </w:rPr>
        <w:tab/>
      </w:r>
      <w:r w:rsidR="005D028B" w:rsidRPr="00F34C03">
        <w:rPr>
          <w:szCs w:val="24"/>
        </w:rPr>
        <w:t xml:space="preserve">Cost </w:t>
      </w:r>
      <w:r w:rsidR="005D028B" w:rsidRPr="00C220B1">
        <w:t>estimate</w:t>
      </w:r>
      <w:r w:rsidR="005D028B" w:rsidRPr="00F34C03">
        <w:rPr>
          <w:szCs w:val="24"/>
        </w:rPr>
        <w:t>: budgeting of Outputs should include:</w:t>
      </w:r>
    </w:p>
    <w:p w14:paraId="4B5EAEAA" w14:textId="535E71BE" w:rsidR="005D028B" w:rsidRPr="00F34C03" w:rsidRDefault="00F34C03" w:rsidP="000438D2">
      <w:pPr>
        <w:pStyle w:val="enumlev3"/>
        <w:jc w:val="both"/>
      </w:pPr>
      <w:r w:rsidRPr="00B21915">
        <w:rPr>
          <w:rFonts w:asciiTheme="minorHAnsi" w:eastAsiaTheme="minorHAnsi" w:hAnsiTheme="minorHAnsi" w:cstheme="minorBidi"/>
          <w:kern w:val="2"/>
          <w14:ligatures w14:val="standardContextual"/>
        </w:rPr>
        <w:t>i.</w:t>
      </w:r>
      <w:r w:rsidRPr="00B21915">
        <w:rPr>
          <w:rFonts w:asciiTheme="minorHAnsi" w:eastAsiaTheme="minorHAnsi" w:hAnsiTheme="minorHAnsi" w:cstheme="minorBidi"/>
          <w:kern w:val="2"/>
          <w14:ligatures w14:val="standardContextual"/>
        </w:rPr>
        <w:tab/>
      </w:r>
      <w:r w:rsidR="005D028B" w:rsidRPr="00F34C03">
        <w:t>Personnel costs based on post levels and estimated time allocation (which should include all fixed-term, continuing, permanent and temporary staff) and be reflected in individual performance management plans (ePMDS) for the same year</w:t>
      </w:r>
    </w:p>
    <w:p w14:paraId="0A5F97B0" w14:textId="73E605B2" w:rsidR="005D028B" w:rsidRPr="00F34C03" w:rsidRDefault="00F34C03" w:rsidP="000438D2">
      <w:pPr>
        <w:pStyle w:val="enumlev3"/>
        <w:jc w:val="both"/>
      </w:pPr>
      <w:r w:rsidRPr="00B21915">
        <w:rPr>
          <w:rFonts w:asciiTheme="minorHAnsi" w:eastAsiaTheme="minorHAnsi" w:hAnsiTheme="minorHAnsi" w:cstheme="minorBidi"/>
          <w:kern w:val="2"/>
          <w14:ligatures w14:val="standardContextual"/>
        </w:rPr>
        <w:t>ii.</w:t>
      </w:r>
      <w:r w:rsidRPr="00B21915">
        <w:rPr>
          <w:rFonts w:asciiTheme="minorHAnsi" w:eastAsiaTheme="minorHAnsi" w:hAnsiTheme="minorHAnsi" w:cstheme="minorBidi"/>
          <w:kern w:val="2"/>
          <w14:ligatures w14:val="standardContextual"/>
        </w:rPr>
        <w:tab/>
      </w:r>
      <w:r w:rsidR="005D028B" w:rsidRPr="00F34C03">
        <w:t>Travel and event costs</w:t>
      </w:r>
    </w:p>
    <w:p w14:paraId="104AEBF2" w14:textId="4790BB49" w:rsidR="005D028B" w:rsidRPr="00F34C03" w:rsidRDefault="00F34C03" w:rsidP="000438D2">
      <w:pPr>
        <w:pStyle w:val="enumlev3"/>
        <w:jc w:val="both"/>
      </w:pPr>
      <w:r w:rsidRPr="00B21915">
        <w:rPr>
          <w:rFonts w:asciiTheme="minorHAnsi" w:eastAsiaTheme="minorHAnsi" w:hAnsiTheme="minorHAnsi" w:cstheme="minorBidi"/>
          <w:kern w:val="2"/>
          <w14:ligatures w14:val="standardContextual"/>
        </w:rPr>
        <w:t>iii.</w:t>
      </w:r>
      <w:r w:rsidRPr="00B21915">
        <w:rPr>
          <w:rFonts w:asciiTheme="minorHAnsi" w:eastAsiaTheme="minorHAnsi" w:hAnsiTheme="minorHAnsi" w:cstheme="minorBidi"/>
          <w:kern w:val="2"/>
          <w14:ligatures w14:val="standardContextual"/>
        </w:rPr>
        <w:tab/>
      </w:r>
      <w:r w:rsidR="005D028B" w:rsidRPr="00F34C03">
        <w:t>Consultant and contractual services</w:t>
      </w:r>
    </w:p>
    <w:p w14:paraId="254A4E73" w14:textId="1885E113" w:rsidR="005D028B" w:rsidRPr="00F34C03" w:rsidRDefault="00F34C03" w:rsidP="000438D2">
      <w:pPr>
        <w:pStyle w:val="enumlev3"/>
        <w:jc w:val="both"/>
      </w:pPr>
      <w:r w:rsidRPr="00B21915">
        <w:rPr>
          <w:rFonts w:asciiTheme="minorHAnsi" w:eastAsiaTheme="minorHAnsi" w:hAnsiTheme="minorHAnsi" w:cstheme="minorBidi"/>
          <w:kern w:val="2"/>
          <w14:ligatures w14:val="standardContextual"/>
        </w:rPr>
        <w:t>iv.</w:t>
      </w:r>
      <w:r w:rsidRPr="00B21915">
        <w:rPr>
          <w:rFonts w:asciiTheme="minorHAnsi" w:eastAsiaTheme="minorHAnsi" w:hAnsiTheme="minorHAnsi" w:cstheme="minorBidi"/>
          <w:kern w:val="2"/>
          <w14:ligatures w14:val="standardContextual"/>
        </w:rPr>
        <w:tab/>
      </w:r>
      <w:r w:rsidR="005D028B" w:rsidRPr="00F34C03">
        <w:t>Equipment and IT-related costs</w:t>
      </w:r>
    </w:p>
    <w:p w14:paraId="2EB059B6" w14:textId="208F8610" w:rsidR="005D028B" w:rsidRPr="00F34C03" w:rsidRDefault="00F34C03" w:rsidP="000438D2">
      <w:pPr>
        <w:pStyle w:val="enumlev3"/>
        <w:jc w:val="both"/>
      </w:pPr>
      <w:r w:rsidRPr="00B21915">
        <w:rPr>
          <w:rFonts w:asciiTheme="minorHAnsi" w:eastAsiaTheme="minorHAnsi" w:hAnsiTheme="minorHAnsi" w:cstheme="minorBidi"/>
          <w:kern w:val="2"/>
          <w14:ligatures w14:val="standardContextual"/>
        </w:rPr>
        <w:t>v.</w:t>
      </w:r>
      <w:r w:rsidRPr="00B21915">
        <w:rPr>
          <w:rFonts w:asciiTheme="minorHAnsi" w:eastAsiaTheme="minorHAnsi" w:hAnsiTheme="minorHAnsi" w:cstheme="minorBidi"/>
          <w:kern w:val="2"/>
          <w14:ligatures w14:val="standardContextual"/>
        </w:rPr>
        <w:tab/>
      </w:r>
      <w:r w:rsidR="005D028B" w:rsidRPr="00F34C03">
        <w:t>Any other direct or indirect support costs</w:t>
      </w:r>
    </w:p>
    <w:p w14:paraId="3E6E5CFB" w14:textId="4D8CFE25" w:rsidR="005D028B" w:rsidRPr="00F34C03" w:rsidRDefault="00F34C03" w:rsidP="000438D2">
      <w:pPr>
        <w:pStyle w:val="enumlev2"/>
        <w:jc w:val="both"/>
        <w:rPr>
          <w:szCs w:val="24"/>
        </w:rPr>
      </w:pPr>
      <w:r w:rsidRPr="000438D2">
        <w:rPr>
          <w:rFonts w:asciiTheme="minorHAnsi" w:eastAsiaTheme="minorHAnsi" w:hAnsiTheme="minorHAnsi" w:cstheme="minorBidi"/>
          <w:i/>
          <w:iCs/>
          <w:kern w:val="2"/>
          <w:szCs w:val="24"/>
          <w14:ligatures w14:val="standardContextual"/>
        </w:rPr>
        <w:t>c</w:t>
      </w:r>
      <w:r w:rsidR="000438D2" w:rsidRPr="000438D2">
        <w:rPr>
          <w:rFonts w:asciiTheme="minorHAnsi" w:eastAsiaTheme="minorHAnsi" w:hAnsiTheme="minorHAnsi" w:cstheme="minorBidi"/>
          <w:i/>
          <w:iCs/>
          <w:kern w:val="2"/>
          <w:szCs w:val="24"/>
          <w14:ligatures w14:val="standardContextual"/>
        </w:rPr>
        <w:t>)</w:t>
      </w:r>
      <w:r w:rsidRPr="00B21915">
        <w:rPr>
          <w:rFonts w:asciiTheme="minorHAnsi" w:eastAsiaTheme="minorHAnsi" w:hAnsiTheme="minorHAnsi" w:cstheme="minorBidi"/>
          <w:kern w:val="2"/>
          <w:szCs w:val="24"/>
          <w14:ligatures w14:val="standardContextual"/>
        </w:rPr>
        <w:tab/>
      </w:r>
      <w:r w:rsidR="005D028B" w:rsidRPr="00F34C03">
        <w:rPr>
          <w:szCs w:val="24"/>
        </w:rPr>
        <w:t>Risk</w:t>
      </w:r>
      <w:r w:rsidR="5AEF05C6" w:rsidRPr="00F34C03">
        <w:rPr>
          <w:szCs w:val="24"/>
        </w:rPr>
        <w:t xml:space="preserve"> </w:t>
      </w:r>
      <w:r w:rsidR="5AEF05C6" w:rsidRPr="00C220B1">
        <w:t>management</w:t>
      </w:r>
      <w:r w:rsidR="5AEF05C6" w:rsidRPr="00F34C03">
        <w:rPr>
          <w:szCs w:val="24"/>
        </w:rPr>
        <w:t xml:space="preserve">: In line with the ITU Risk Management Policy, identify and assess risks to the attainment objectives (i.e., expected results) whether </w:t>
      </w:r>
      <w:r w:rsidR="00E1602D" w:rsidRPr="00F34C03">
        <w:rPr>
          <w:szCs w:val="24"/>
        </w:rPr>
        <w:t>strategic</w:t>
      </w:r>
      <w:r w:rsidR="5AEF05C6" w:rsidRPr="00F34C03">
        <w:rPr>
          <w:szCs w:val="24"/>
        </w:rPr>
        <w:t>, operational, financial or fiduciary, while identifying appropriate risks.</w:t>
      </w:r>
    </w:p>
    <w:p w14:paraId="2AF1D610" w14:textId="438C867D" w:rsidR="005D028B" w:rsidRPr="00F34C03" w:rsidRDefault="00F34C03" w:rsidP="000438D2">
      <w:pPr>
        <w:pStyle w:val="enumlev1"/>
        <w:jc w:val="both"/>
        <w:rPr>
          <w:szCs w:val="24"/>
        </w:rPr>
      </w:pPr>
      <w:r w:rsidRPr="00B21915">
        <w:rPr>
          <w:rFonts w:asciiTheme="minorHAnsi" w:eastAsiaTheme="minorHAnsi" w:hAnsiTheme="minorHAnsi" w:cstheme="minorBidi"/>
          <w:kern w:val="2"/>
          <w:szCs w:val="24"/>
          <w14:ligatures w14:val="standardContextual"/>
        </w:rPr>
        <w:t>3</w:t>
      </w:r>
      <w:r w:rsidRPr="00B21915">
        <w:rPr>
          <w:rFonts w:asciiTheme="minorHAnsi" w:eastAsiaTheme="minorHAnsi" w:hAnsiTheme="minorHAnsi" w:cstheme="minorBidi"/>
          <w:kern w:val="2"/>
          <w:szCs w:val="24"/>
          <w14:ligatures w14:val="standardContextual"/>
        </w:rPr>
        <w:tab/>
      </w:r>
      <w:r w:rsidR="005D028B" w:rsidRPr="00C220B1">
        <w:t>Prioritize</w:t>
      </w:r>
      <w:r w:rsidR="005D028B" w:rsidRPr="00F34C03">
        <w:rPr>
          <w:szCs w:val="24"/>
        </w:rPr>
        <w:t xml:space="preserve"> planned Outputs </w:t>
      </w:r>
      <w:r w:rsidR="00A57F28" w:rsidRPr="00F34C03">
        <w:rPr>
          <w:szCs w:val="24"/>
        </w:rPr>
        <w:t xml:space="preserve">at </w:t>
      </w:r>
      <w:r w:rsidR="005D028B" w:rsidRPr="00F34C03">
        <w:rPr>
          <w:szCs w:val="24"/>
        </w:rPr>
        <w:t xml:space="preserve">Senior Management level: </w:t>
      </w:r>
    </w:p>
    <w:p w14:paraId="1AADE53A" w14:textId="2876A0E8" w:rsidR="005D028B" w:rsidRPr="00F34C03" w:rsidRDefault="00F34C03" w:rsidP="000438D2">
      <w:pPr>
        <w:pStyle w:val="enumlev2"/>
        <w:jc w:val="both"/>
        <w:rPr>
          <w:szCs w:val="24"/>
        </w:rPr>
      </w:pPr>
      <w:r w:rsidRPr="000438D2">
        <w:rPr>
          <w:rFonts w:asciiTheme="minorHAnsi" w:eastAsiaTheme="minorHAnsi" w:hAnsiTheme="minorHAnsi" w:cstheme="minorBidi"/>
          <w:i/>
          <w:iCs/>
          <w:kern w:val="2"/>
          <w:szCs w:val="24"/>
          <w14:ligatures w14:val="standardContextual"/>
        </w:rPr>
        <w:t>a</w:t>
      </w:r>
      <w:r w:rsidR="000438D2" w:rsidRPr="000438D2">
        <w:rPr>
          <w:rFonts w:asciiTheme="minorHAnsi" w:eastAsiaTheme="minorHAnsi" w:hAnsiTheme="minorHAnsi" w:cstheme="minorBidi"/>
          <w:i/>
          <w:iCs/>
          <w:kern w:val="2"/>
          <w:szCs w:val="24"/>
          <w14:ligatures w14:val="standardContextual"/>
        </w:rPr>
        <w:t>)</w:t>
      </w:r>
      <w:r w:rsidRPr="00B21915">
        <w:rPr>
          <w:rFonts w:asciiTheme="minorHAnsi" w:eastAsiaTheme="minorHAnsi" w:hAnsiTheme="minorHAnsi" w:cstheme="minorBidi"/>
          <w:kern w:val="2"/>
          <w:szCs w:val="24"/>
          <w14:ligatures w14:val="standardContextual"/>
        </w:rPr>
        <w:tab/>
      </w:r>
      <w:r w:rsidR="005D028B" w:rsidRPr="00F34C03">
        <w:rPr>
          <w:szCs w:val="24"/>
        </w:rPr>
        <w:t>Must – critical to ITU’s mandate and strategy</w:t>
      </w:r>
    </w:p>
    <w:p w14:paraId="1C3FAB81" w14:textId="464C1A7A" w:rsidR="005D028B" w:rsidRPr="00F34C03" w:rsidRDefault="00F34C03" w:rsidP="000438D2">
      <w:pPr>
        <w:pStyle w:val="enumlev2"/>
        <w:jc w:val="both"/>
        <w:rPr>
          <w:szCs w:val="24"/>
        </w:rPr>
      </w:pPr>
      <w:r w:rsidRPr="000438D2">
        <w:rPr>
          <w:rFonts w:asciiTheme="minorHAnsi" w:eastAsiaTheme="minorHAnsi" w:hAnsiTheme="minorHAnsi" w:cstheme="minorBidi"/>
          <w:i/>
          <w:iCs/>
          <w:kern w:val="2"/>
          <w:szCs w:val="24"/>
          <w14:ligatures w14:val="standardContextual"/>
        </w:rPr>
        <w:t>b</w:t>
      </w:r>
      <w:r w:rsidR="000438D2" w:rsidRPr="000438D2">
        <w:rPr>
          <w:rFonts w:asciiTheme="minorHAnsi" w:eastAsiaTheme="minorHAnsi" w:hAnsiTheme="minorHAnsi" w:cstheme="minorBidi"/>
          <w:i/>
          <w:iCs/>
          <w:kern w:val="2"/>
          <w:szCs w:val="24"/>
          <w14:ligatures w14:val="standardContextual"/>
        </w:rPr>
        <w:t>)</w:t>
      </w:r>
      <w:r w:rsidRPr="00B21915">
        <w:rPr>
          <w:rFonts w:asciiTheme="minorHAnsi" w:eastAsiaTheme="minorHAnsi" w:hAnsiTheme="minorHAnsi" w:cstheme="minorBidi"/>
          <w:kern w:val="2"/>
          <w:szCs w:val="24"/>
          <w14:ligatures w14:val="standardContextual"/>
        </w:rPr>
        <w:tab/>
      </w:r>
      <w:r w:rsidR="005D028B" w:rsidRPr="00C220B1">
        <w:t>Should</w:t>
      </w:r>
      <w:r w:rsidR="005D028B" w:rsidRPr="00F34C03">
        <w:rPr>
          <w:szCs w:val="24"/>
        </w:rPr>
        <w:t xml:space="preserve"> – important but not vital for 2028-2031</w:t>
      </w:r>
    </w:p>
    <w:p w14:paraId="51A327A3" w14:textId="5B131E0F" w:rsidR="005D028B" w:rsidRPr="00F34C03" w:rsidRDefault="00F34C03" w:rsidP="000438D2">
      <w:pPr>
        <w:pStyle w:val="enumlev2"/>
        <w:jc w:val="both"/>
        <w:rPr>
          <w:szCs w:val="24"/>
        </w:rPr>
      </w:pPr>
      <w:r w:rsidRPr="000438D2">
        <w:rPr>
          <w:rFonts w:asciiTheme="minorHAnsi" w:eastAsiaTheme="minorHAnsi" w:hAnsiTheme="minorHAnsi" w:cstheme="minorBidi"/>
          <w:i/>
          <w:iCs/>
          <w:kern w:val="2"/>
          <w:szCs w:val="24"/>
          <w14:ligatures w14:val="standardContextual"/>
        </w:rPr>
        <w:t>c</w:t>
      </w:r>
      <w:r w:rsidR="000438D2" w:rsidRPr="000438D2">
        <w:rPr>
          <w:rFonts w:asciiTheme="minorHAnsi" w:eastAsiaTheme="minorHAnsi" w:hAnsiTheme="minorHAnsi" w:cstheme="minorBidi"/>
          <w:i/>
          <w:iCs/>
          <w:kern w:val="2"/>
          <w:szCs w:val="24"/>
          <w14:ligatures w14:val="standardContextual"/>
        </w:rPr>
        <w:t>)</w:t>
      </w:r>
      <w:r w:rsidRPr="00B21915">
        <w:rPr>
          <w:rFonts w:asciiTheme="minorHAnsi" w:eastAsiaTheme="minorHAnsi" w:hAnsiTheme="minorHAnsi" w:cstheme="minorBidi"/>
          <w:kern w:val="2"/>
          <w:szCs w:val="24"/>
          <w14:ligatures w14:val="standardContextual"/>
        </w:rPr>
        <w:tab/>
      </w:r>
      <w:r w:rsidR="005D028B" w:rsidRPr="00C220B1">
        <w:t>Could</w:t>
      </w:r>
      <w:r w:rsidR="005D028B" w:rsidRPr="00F34C03">
        <w:rPr>
          <w:szCs w:val="24"/>
        </w:rPr>
        <w:t xml:space="preserve"> – valuable if resources allow</w:t>
      </w:r>
    </w:p>
    <w:p w14:paraId="7B3485C2" w14:textId="606C8010" w:rsidR="005D028B" w:rsidRPr="00F34C03" w:rsidRDefault="00F34C03" w:rsidP="000438D2">
      <w:pPr>
        <w:pStyle w:val="enumlev2"/>
        <w:jc w:val="both"/>
        <w:rPr>
          <w:szCs w:val="24"/>
        </w:rPr>
      </w:pPr>
      <w:r w:rsidRPr="000438D2">
        <w:rPr>
          <w:rFonts w:asciiTheme="minorHAnsi" w:eastAsiaTheme="minorHAnsi" w:hAnsiTheme="minorHAnsi" w:cstheme="minorBidi"/>
          <w:i/>
          <w:iCs/>
          <w:kern w:val="2"/>
          <w:szCs w:val="24"/>
          <w14:ligatures w14:val="standardContextual"/>
        </w:rPr>
        <w:t>d</w:t>
      </w:r>
      <w:r w:rsidR="000438D2" w:rsidRPr="000438D2">
        <w:rPr>
          <w:rFonts w:asciiTheme="minorHAnsi" w:eastAsiaTheme="minorHAnsi" w:hAnsiTheme="minorHAnsi" w:cstheme="minorBidi"/>
          <w:i/>
          <w:iCs/>
          <w:kern w:val="2"/>
          <w:szCs w:val="24"/>
          <w14:ligatures w14:val="standardContextual"/>
        </w:rPr>
        <w:t>)</w:t>
      </w:r>
      <w:r w:rsidRPr="00B21915">
        <w:rPr>
          <w:rFonts w:asciiTheme="minorHAnsi" w:eastAsiaTheme="minorHAnsi" w:hAnsiTheme="minorHAnsi" w:cstheme="minorBidi"/>
          <w:kern w:val="2"/>
          <w:szCs w:val="24"/>
          <w14:ligatures w14:val="standardContextual"/>
        </w:rPr>
        <w:tab/>
      </w:r>
      <w:r w:rsidR="005D028B" w:rsidRPr="00C220B1">
        <w:t>Won’t</w:t>
      </w:r>
      <w:r w:rsidR="005D028B" w:rsidRPr="00F34C03">
        <w:rPr>
          <w:szCs w:val="24"/>
        </w:rPr>
        <w:t xml:space="preserve"> – not pursued in this cycle (can be revisited in the future)</w:t>
      </w:r>
      <w:r w:rsidR="000438D2">
        <w:rPr>
          <w:szCs w:val="24"/>
        </w:rPr>
        <w:t>.</w:t>
      </w:r>
    </w:p>
    <w:p w14:paraId="40FF087B" w14:textId="6556872C" w:rsidR="00BD26B7" w:rsidRPr="00F34C03" w:rsidRDefault="00F34C03" w:rsidP="000438D2">
      <w:pPr>
        <w:pStyle w:val="enumlev1"/>
        <w:jc w:val="both"/>
        <w:rPr>
          <w:szCs w:val="24"/>
        </w:rPr>
      </w:pPr>
      <w:r w:rsidRPr="00BC537A">
        <w:rPr>
          <w:rFonts w:asciiTheme="minorHAnsi" w:eastAsiaTheme="minorHAnsi" w:hAnsiTheme="minorHAnsi" w:cstheme="minorBidi"/>
          <w:kern w:val="2"/>
          <w:szCs w:val="24"/>
          <w14:ligatures w14:val="standardContextual"/>
        </w:rPr>
        <w:t>4</w:t>
      </w:r>
      <w:r w:rsidRPr="00BC537A">
        <w:rPr>
          <w:rFonts w:asciiTheme="minorHAnsi" w:eastAsiaTheme="minorHAnsi" w:hAnsiTheme="minorHAnsi" w:cstheme="minorBidi"/>
          <w:kern w:val="2"/>
          <w:szCs w:val="24"/>
          <w14:ligatures w14:val="standardContextual"/>
        </w:rPr>
        <w:tab/>
      </w:r>
      <w:r w:rsidR="509384EB" w:rsidRPr="00F34C03">
        <w:rPr>
          <w:rFonts w:eastAsiaTheme="minorEastAsia"/>
          <w:szCs w:val="24"/>
        </w:rPr>
        <w:t xml:space="preserve">Adaptive management - regular reviews of progress towards delivery of outputs </w:t>
      </w:r>
      <w:r w:rsidR="509384EB" w:rsidRPr="00C220B1">
        <w:t>against</w:t>
      </w:r>
      <w:r w:rsidR="528A52CB" w:rsidRPr="00F34C03">
        <w:rPr>
          <w:rFonts w:eastAsiaTheme="minorEastAsia"/>
          <w:szCs w:val="24"/>
        </w:rPr>
        <w:t xml:space="preserve"> expected and targeted outcomes, through </w:t>
      </w:r>
      <w:r w:rsidR="509384EB" w:rsidRPr="00F34C03">
        <w:rPr>
          <w:rFonts w:eastAsiaTheme="minorEastAsia"/>
          <w:szCs w:val="24"/>
        </w:rPr>
        <w:t>data-driven insights</w:t>
      </w:r>
      <w:r w:rsidR="3415657D" w:rsidRPr="00F34C03">
        <w:rPr>
          <w:rFonts w:eastAsiaTheme="minorEastAsia"/>
          <w:szCs w:val="24"/>
        </w:rPr>
        <w:t>, will enable adjustment and reprioritization of</w:t>
      </w:r>
      <w:r w:rsidR="30DF6784" w:rsidRPr="00F34C03">
        <w:rPr>
          <w:rFonts w:eastAsiaTheme="minorEastAsia"/>
          <w:szCs w:val="24"/>
        </w:rPr>
        <w:t xml:space="preserve"> planned outputs, activities</w:t>
      </w:r>
      <w:r w:rsidR="509384EB" w:rsidRPr="00F34C03">
        <w:rPr>
          <w:rFonts w:eastAsiaTheme="minorEastAsia"/>
          <w:szCs w:val="24"/>
        </w:rPr>
        <w:t>, timelines</w:t>
      </w:r>
      <w:r w:rsidR="5AB7ACFF" w:rsidRPr="00F34C03">
        <w:rPr>
          <w:rFonts w:eastAsiaTheme="minorEastAsia"/>
          <w:szCs w:val="24"/>
        </w:rPr>
        <w:t xml:space="preserve"> and</w:t>
      </w:r>
      <w:r w:rsidR="509384EB" w:rsidRPr="00F34C03">
        <w:rPr>
          <w:rFonts w:eastAsiaTheme="minorEastAsia"/>
          <w:szCs w:val="24"/>
        </w:rPr>
        <w:t xml:space="preserve"> resource allocations as needed</w:t>
      </w:r>
      <w:r w:rsidR="564688E2" w:rsidRPr="00F34C03">
        <w:rPr>
          <w:rFonts w:eastAsiaTheme="minorEastAsia"/>
          <w:szCs w:val="24"/>
        </w:rPr>
        <w:t xml:space="preserve"> during the implementation of each operational plan</w:t>
      </w:r>
      <w:r w:rsidR="509384EB" w:rsidRPr="00F34C03">
        <w:rPr>
          <w:rFonts w:eastAsiaTheme="minorEastAsia"/>
          <w:szCs w:val="24"/>
        </w:rPr>
        <w:t xml:space="preserve">. </w:t>
      </w:r>
    </w:p>
    <w:p w14:paraId="40E3DA83" w14:textId="4AD84186" w:rsidR="00246F45" w:rsidRDefault="00F34C03" w:rsidP="000438D2">
      <w:pPr>
        <w:pStyle w:val="enumlev1"/>
        <w:jc w:val="both"/>
      </w:pPr>
      <w:r w:rsidRPr="00BC537A">
        <w:rPr>
          <w:rFonts w:asciiTheme="minorHAnsi" w:eastAsiaTheme="minorHAnsi" w:hAnsiTheme="minorHAnsi" w:cstheme="minorBidi"/>
          <w:kern w:val="2"/>
          <w14:ligatures w14:val="standardContextual"/>
        </w:rPr>
        <w:t>5</w:t>
      </w:r>
      <w:r w:rsidRPr="00BC537A">
        <w:rPr>
          <w:rFonts w:asciiTheme="minorHAnsi" w:eastAsiaTheme="minorHAnsi" w:hAnsiTheme="minorHAnsi" w:cstheme="minorBidi"/>
          <w:kern w:val="2"/>
          <w14:ligatures w14:val="standardContextual"/>
        </w:rPr>
        <w:tab/>
      </w:r>
      <w:r w:rsidR="005D028B" w:rsidRPr="00F34C03">
        <w:t>Monitoring, Evaluation and Learning</w:t>
      </w:r>
      <w:r w:rsidR="6CB88402" w:rsidRPr="00F34C03">
        <w:t xml:space="preserve"> (MEL) of the delivery of Outputs and attribution towards the achievement o</w:t>
      </w:r>
      <w:r w:rsidR="3D81CBC8" w:rsidRPr="00F34C03">
        <w:t>f Outcomes will provide the evidence base needed to inform timely and effective adjustments for adaptive management. By systematically reviewing what works, what doesn't and why, MEL enabled by the improved results chain will foster continu</w:t>
      </w:r>
      <w:r w:rsidR="6680FAB3" w:rsidRPr="00F34C03">
        <w:t>ous improvement and accountability, ensuring that future Operational Plans remain relevant and maximize their value towards results.</w:t>
      </w:r>
      <w:r w:rsidR="6DB31308" w:rsidRPr="00F34C03">
        <w:t xml:space="preserve"> Data-driven insights on the delivery of Outputs against expected and targeted Outcomes will enable adjustment and reprioritization of planned Outputs, Activities, timelines and resource allocations as needed during the implementation </w:t>
      </w:r>
      <w:r w:rsidR="292BA731" w:rsidRPr="00F34C03">
        <w:t xml:space="preserve">active </w:t>
      </w:r>
      <w:r w:rsidR="6DB31308" w:rsidRPr="00F34C03">
        <w:t>Operational Plan</w:t>
      </w:r>
      <w:r w:rsidR="067D3895" w:rsidRPr="00F34C03">
        <w:t>s and improvement of future Operational Plans</w:t>
      </w:r>
      <w:r w:rsidR="6DB31308" w:rsidRPr="00F34C03">
        <w:t xml:space="preserve">. </w:t>
      </w:r>
    </w:p>
    <w:p w14:paraId="253097E6" w14:textId="77777777" w:rsidR="000438D2" w:rsidRDefault="000438D2" w:rsidP="0032202E">
      <w:pPr>
        <w:pStyle w:val="Reasons"/>
      </w:pPr>
    </w:p>
    <w:p w14:paraId="54400B46" w14:textId="77777777" w:rsidR="000438D2" w:rsidRDefault="000438D2">
      <w:pPr>
        <w:jc w:val="center"/>
      </w:pPr>
      <w:r>
        <w:t>______________</w:t>
      </w:r>
    </w:p>
    <w:sectPr w:rsidR="000438D2"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8AF3" w14:textId="77777777" w:rsidR="00EC4D4D" w:rsidRDefault="00EC4D4D">
      <w:r>
        <w:separator/>
      </w:r>
    </w:p>
  </w:endnote>
  <w:endnote w:type="continuationSeparator" w:id="0">
    <w:p w14:paraId="5A73FB05" w14:textId="77777777" w:rsidR="00EC4D4D" w:rsidRDefault="00EC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232820CC" w14:textId="77777777" w:rsidTr="000A11DC">
      <w:trPr>
        <w:jc w:val="center"/>
      </w:trPr>
      <w:tc>
        <w:tcPr>
          <w:tcW w:w="1803" w:type="dxa"/>
          <w:vAlign w:val="center"/>
        </w:tcPr>
        <w:p w14:paraId="55C84B8A" w14:textId="77777777" w:rsidR="00EE49E8" w:rsidRDefault="00EE49E8" w:rsidP="00EE49E8">
          <w:pPr>
            <w:pStyle w:val="Header"/>
            <w:jc w:val="left"/>
            <w:rPr>
              <w:noProof/>
            </w:rPr>
          </w:pPr>
        </w:p>
      </w:tc>
      <w:tc>
        <w:tcPr>
          <w:tcW w:w="8261" w:type="dxa"/>
        </w:tcPr>
        <w:p w14:paraId="0006E266" w14:textId="24DA5623"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00B82C1B">
            <w:rPr>
              <w:bCs/>
              <w:lang w:val="es-ES"/>
            </w:rPr>
            <w:t>CWG-SFP</w:t>
          </w:r>
          <w:r w:rsidR="00B82C1B" w:rsidRPr="00870C17">
            <w:rPr>
              <w:bCs/>
              <w:lang w:val="es-ES"/>
            </w:rPr>
            <w:t>-</w:t>
          </w:r>
          <w:r w:rsidR="00395BCD">
            <w:rPr>
              <w:bCs/>
              <w:lang w:val="es-ES"/>
            </w:rPr>
            <w:t>3</w:t>
          </w:r>
          <w:r w:rsidR="00B82C1B">
            <w:rPr>
              <w:bCs/>
              <w:lang w:val="es-ES"/>
            </w:rPr>
            <w:t>/</w:t>
          </w:r>
          <w:r w:rsidR="00F34C03">
            <w:rPr>
              <w:bCs/>
              <w:lang w:val="es-ES"/>
            </w:rPr>
            <w:t>6</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557EFF5C"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660B5049" w14:textId="77777777" w:rsidTr="000A11DC">
      <w:trPr>
        <w:jc w:val="center"/>
      </w:trPr>
      <w:tc>
        <w:tcPr>
          <w:tcW w:w="3107" w:type="dxa"/>
          <w:vAlign w:val="center"/>
        </w:tcPr>
        <w:p w14:paraId="3ABDA1AA" w14:textId="0B818E94"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17EFD000" w14:textId="6C13D6FA" w:rsidR="00EE49E8" w:rsidRPr="000F6AB8" w:rsidRDefault="00EE49E8" w:rsidP="00B82C1B">
          <w:pPr>
            <w:pStyle w:val="Header"/>
            <w:tabs>
              <w:tab w:val="left" w:pos="5150"/>
              <w:tab w:val="right" w:pos="8505"/>
              <w:tab w:val="right" w:pos="9639"/>
            </w:tabs>
            <w:jc w:val="left"/>
            <w:rPr>
              <w:rFonts w:ascii="Arial" w:hAnsi="Arial" w:cs="Arial"/>
              <w:b/>
              <w:bCs/>
              <w:szCs w:val="18"/>
              <w:lang w:val="es-ES"/>
            </w:rPr>
          </w:pPr>
          <w:r>
            <w:rPr>
              <w:bCs/>
            </w:rPr>
            <w:tab/>
          </w:r>
          <w:r w:rsidR="00B82C1B">
            <w:rPr>
              <w:bCs/>
              <w:lang w:val="es-ES"/>
            </w:rPr>
            <w:t>CWG-SFP</w:t>
          </w:r>
          <w:r w:rsidR="00F73B2C" w:rsidRPr="00870C17">
            <w:rPr>
              <w:bCs/>
              <w:lang w:val="es-ES"/>
            </w:rPr>
            <w:t>-</w:t>
          </w:r>
          <w:r w:rsidR="00395BCD">
            <w:rPr>
              <w:bCs/>
              <w:lang w:val="es-ES"/>
            </w:rPr>
            <w:t>3</w:t>
          </w:r>
          <w:r w:rsidR="00205D4E">
            <w:rPr>
              <w:bCs/>
              <w:lang w:val="es-ES"/>
            </w:rPr>
            <w:t>/</w:t>
          </w:r>
          <w:r w:rsidR="00F34C03">
            <w:rPr>
              <w:bCs/>
              <w:lang w:val="es-ES"/>
            </w:rPr>
            <w:t>6</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B13FAE0"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9B9A" w14:textId="77777777" w:rsidR="00EC4D4D" w:rsidRDefault="00EC4D4D">
      <w:r>
        <w:t>____________________</w:t>
      </w:r>
    </w:p>
  </w:footnote>
  <w:footnote w:type="continuationSeparator" w:id="0">
    <w:p w14:paraId="14A72280" w14:textId="77777777" w:rsidR="00EC4D4D" w:rsidRDefault="00EC4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485C97" w:rsidRPr="00784011" w14:paraId="023C4028" w14:textId="77777777" w:rsidTr="000A11DC">
      <w:trPr>
        <w:trHeight w:val="1304"/>
        <w:jc w:val="center"/>
      </w:trPr>
      <w:tc>
        <w:tcPr>
          <w:tcW w:w="6546" w:type="dxa"/>
        </w:tcPr>
        <w:p w14:paraId="0463463C" w14:textId="77777777" w:rsidR="00485C97" w:rsidRPr="009621F8" w:rsidRDefault="00485C97" w:rsidP="00485C97">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273582E" wp14:editId="0E0AAACA">
                    <wp:simplePos x="0" y="0"/>
                    <wp:positionH relativeFrom="column">
                      <wp:posOffset>1428645</wp:posOffset>
                    </wp:positionH>
                    <wp:positionV relativeFrom="paragraph">
                      <wp:posOffset>2540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35BF3BBB" w14:textId="13AC8CAD" w:rsidR="00485C97" w:rsidRDefault="00485C97" w:rsidP="00CC3229">
                                <w:pPr>
                                  <w:spacing w:before="0"/>
                                  <w:ind w:left="-57"/>
                                </w:pPr>
                                <w:r w:rsidRPr="00F74694">
                                  <w:rPr>
                                    <w:b/>
                                    <w:bCs/>
                                    <w:szCs w:val="24"/>
                                  </w:rPr>
                                  <w:t xml:space="preserve">Council Working Group </w:t>
                                </w:r>
                                <w:r w:rsidRPr="00F74694">
                                  <w:rPr>
                                    <w:b/>
                                    <w:bCs/>
                                    <w:szCs w:val="24"/>
                                  </w:rPr>
                                  <w:br/>
                                </w:r>
                                <w:r w:rsidRPr="00CC3229">
                                  <w:rPr>
                                    <w:b/>
                                    <w:bCs/>
                                    <w:szCs w:val="24"/>
                                  </w:rPr>
                                  <w:t>for strategic and financial plans 2028-2031</w:t>
                                </w:r>
                                <w:r w:rsidRPr="00CC3229">
                                  <w:br/>
                                </w:r>
                                <w:r w:rsidR="00395BCD" w:rsidRPr="00CC3229">
                                  <w:rPr>
                                    <w:sz w:val="20"/>
                                  </w:rPr>
                                  <w:t>Third</w:t>
                                </w:r>
                                <w:r w:rsidRPr="00CC3229">
                                  <w:rPr>
                                    <w:sz w:val="20"/>
                                  </w:rPr>
                                  <w:t xml:space="preserve"> meeting – </w:t>
                                </w:r>
                                <w:r w:rsidR="00CC3229" w:rsidRPr="00CC3229">
                                  <w:rPr>
                                    <w:sz w:val="20"/>
                                  </w:rPr>
                                  <w:t xml:space="preserve">From 8 to </w:t>
                                </w:r>
                                <w:r w:rsidR="00F719C5">
                                  <w:rPr>
                                    <w:sz w:val="20"/>
                                  </w:rPr>
                                  <w:t>10</w:t>
                                </w:r>
                                <w:r w:rsidR="00CC3229" w:rsidRPr="00CC3229">
                                  <w:rPr>
                                    <w:sz w:val="20"/>
                                  </w:rPr>
                                  <w:t xml:space="preserve">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73582E" id="_x0000_t202" coordsize="21600,21600" o:spt="202" path="m,l,21600r21600,l21600,xe">
                    <v:stroke joinstyle="miter"/>
                    <v:path gradientshapeok="t" o:connecttype="rect"/>
                  </v:shapetype>
                  <v:shape id="Text Box 2" o:spid="_x0000_s1026" type="#_x0000_t202" style="position:absolute;margin-left:112.5pt;margin-top:.2pt;width:314.9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" fillcolor="white [3212]" stroked="f">
                    <v:textbox style="mso-fit-shape-to-text:t" inset="1mm">
                      <w:txbxContent>
                        <w:p w14:paraId="35BF3BBB" w14:textId="13AC8CAD" w:rsidR="00485C97" w:rsidRDefault="00485C97" w:rsidP="00CC3229">
                          <w:pPr>
                            <w:spacing w:before="0"/>
                            <w:ind w:left="-57"/>
                          </w:pPr>
                          <w:r w:rsidRPr="00F74694">
                            <w:rPr>
                              <w:b/>
                              <w:bCs/>
                              <w:szCs w:val="24"/>
                            </w:rPr>
                            <w:t xml:space="preserve">Council Working Group </w:t>
                          </w:r>
                          <w:r w:rsidRPr="00F74694">
                            <w:rPr>
                              <w:b/>
                              <w:bCs/>
                              <w:szCs w:val="24"/>
                            </w:rPr>
                            <w:br/>
                          </w:r>
                          <w:r w:rsidRPr="00CC3229">
                            <w:rPr>
                              <w:b/>
                              <w:bCs/>
                              <w:szCs w:val="24"/>
                            </w:rPr>
                            <w:t>for strategic and financial plans 2028-2031</w:t>
                          </w:r>
                          <w:r w:rsidRPr="00CC3229">
                            <w:br/>
                          </w:r>
                          <w:r w:rsidR="00395BCD" w:rsidRPr="00CC3229">
                            <w:rPr>
                              <w:sz w:val="20"/>
                            </w:rPr>
                            <w:t>Third</w:t>
                          </w:r>
                          <w:r w:rsidRPr="00CC3229">
                            <w:rPr>
                              <w:sz w:val="20"/>
                            </w:rPr>
                            <w:t xml:space="preserve"> meeting – </w:t>
                          </w:r>
                          <w:r w:rsidR="00CC3229" w:rsidRPr="00CC3229">
                            <w:rPr>
                              <w:sz w:val="20"/>
                            </w:rPr>
                            <w:t xml:space="preserve">From 8 to </w:t>
                          </w:r>
                          <w:r w:rsidR="00F719C5">
                            <w:rPr>
                              <w:sz w:val="20"/>
                            </w:rPr>
                            <w:t>10</w:t>
                          </w:r>
                          <w:r w:rsidR="00CC3229" w:rsidRPr="00CC3229">
                            <w:rPr>
                              <w:sz w:val="20"/>
                            </w:rPr>
                            <w:t xml:space="preserve"> September 2025</w:t>
                          </w:r>
                        </w:p>
                      </w:txbxContent>
                    </v:textbox>
                  </v:shape>
                </w:pict>
              </mc:Fallback>
            </mc:AlternateContent>
          </w:r>
          <w:r>
            <w:rPr>
              <w:rFonts w:ascii="Arial" w:hAnsi="Arial" w:cs="Arial"/>
              <w:b/>
              <w:bCs/>
              <w:noProof/>
              <w:color w:val="009CD6"/>
              <w:sz w:val="36"/>
              <w:szCs w:val="36"/>
            </w:rPr>
            <w:drawing>
              <wp:inline distT="0" distB="0" distL="0" distR="0" wp14:anchorId="4A46C533" wp14:editId="180809C0">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6F8A2258" w14:textId="77777777" w:rsidR="00485C97" w:rsidRDefault="00485C97" w:rsidP="00485C97">
          <w:pPr>
            <w:pStyle w:val="Header"/>
            <w:jc w:val="right"/>
            <w:rPr>
              <w:rFonts w:ascii="Arial" w:hAnsi="Arial" w:cs="Arial"/>
              <w:b/>
              <w:bCs/>
              <w:color w:val="009CD6"/>
              <w:szCs w:val="18"/>
            </w:rPr>
          </w:pPr>
        </w:p>
        <w:p w14:paraId="21546CCD" w14:textId="77777777" w:rsidR="00485C97" w:rsidRDefault="00485C97" w:rsidP="00485C97">
          <w:pPr>
            <w:pStyle w:val="Header"/>
            <w:jc w:val="right"/>
            <w:rPr>
              <w:rFonts w:ascii="Arial" w:hAnsi="Arial" w:cs="Arial"/>
              <w:b/>
              <w:bCs/>
              <w:color w:val="009CD6"/>
              <w:szCs w:val="18"/>
            </w:rPr>
          </w:pPr>
        </w:p>
        <w:p w14:paraId="3EDEBE6D" w14:textId="77777777" w:rsidR="00485C97" w:rsidRPr="00784011" w:rsidRDefault="00485C97" w:rsidP="00485C97">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5C75E8DD" w14:textId="77777777" w:rsidR="00485C97" w:rsidRDefault="00485C97" w:rsidP="00485C97">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076AC486" wp14:editId="2601FDE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5"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14456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B2CA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2C1BC8"/>
    <w:multiLevelType w:val="hybridMultilevel"/>
    <w:tmpl w:val="A78E98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15ED8"/>
    <w:multiLevelType w:val="hybridMultilevel"/>
    <w:tmpl w:val="8EE8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A6C91"/>
    <w:multiLevelType w:val="multilevel"/>
    <w:tmpl w:val="648A7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9166B2"/>
    <w:multiLevelType w:val="hybridMultilevel"/>
    <w:tmpl w:val="2182C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660739482">
    <w:abstractNumId w:val="3"/>
  </w:num>
  <w:num w:numId="3" w16cid:durableId="1557398166">
    <w:abstractNumId w:val="1"/>
  </w:num>
  <w:num w:numId="4" w16cid:durableId="109323700">
    <w:abstractNumId w:val="2"/>
  </w:num>
  <w:num w:numId="5" w16cid:durableId="1484662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73"/>
    <w:rsid w:val="0000164B"/>
    <w:rsid w:val="000024B7"/>
    <w:rsid w:val="000039FC"/>
    <w:rsid w:val="00003A6D"/>
    <w:rsid w:val="000041A9"/>
    <w:rsid w:val="00004C8C"/>
    <w:rsid w:val="000120E4"/>
    <w:rsid w:val="000210D4"/>
    <w:rsid w:val="0003164C"/>
    <w:rsid w:val="000438D2"/>
    <w:rsid w:val="00046146"/>
    <w:rsid w:val="000525A1"/>
    <w:rsid w:val="00052AFC"/>
    <w:rsid w:val="00062025"/>
    <w:rsid w:val="00063016"/>
    <w:rsid w:val="00066795"/>
    <w:rsid w:val="00067ADB"/>
    <w:rsid w:val="00071232"/>
    <w:rsid w:val="00074214"/>
    <w:rsid w:val="00076AF6"/>
    <w:rsid w:val="00080950"/>
    <w:rsid w:val="00085761"/>
    <w:rsid w:val="00085CF2"/>
    <w:rsid w:val="00095ECA"/>
    <w:rsid w:val="000A0071"/>
    <w:rsid w:val="000A11DC"/>
    <w:rsid w:val="000A1525"/>
    <w:rsid w:val="000B1705"/>
    <w:rsid w:val="000C11FF"/>
    <w:rsid w:val="000C3371"/>
    <w:rsid w:val="000C52B4"/>
    <w:rsid w:val="000D75B2"/>
    <w:rsid w:val="000F5FDA"/>
    <w:rsid w:val="000F6AB8"/>
    <w:rsid w:val="001045D0"/>
    <w:rsid w:val="001121F5"/>
    <w:rsid w:val="0011689A"/>
    <w:rsid w:val="00116A1F"/>
    <w:rsid w:val="0013050B"/>
    <w:rsid w:val="00130599"/>
    <w:rsid w:val="00131E18"/>
    <w:rsid w:val="00133993"/>
    <w:rsid w:val="001400DC"/>
    <w:rsid w:val="00140CE1"/>
    <w:rsid w:val="00147C54"/>
    <w:rsid w:val="00162AEA"/>
    <w:rsid w:val="00170C61"/>
    <w:rsid w:val="0017539C"/>
    <w:rsid w:val="00175AC2"/>
    <w:rsid w:val="0017609F"/>
    <w:rsid w:val="001A7D1D"/>
    <w:rsid w:val="001B0595"/>
    <w:rsid w:val="001B51DD"/>
    <w:rsid w:val="001C1E57"/>
    <w:rsid w:val="001C628E"/>
    <w:rsid w:val="001D58C1"/>
    <w:rsid w:val="001D62DF"/>
    <w:rsid w:val="001E0F7B"/>
    <w:rsid w:val="001E0FBE"/>
    <w:rsid w:val="001E5FE7"/>
    <w:rsid w:val="001F10DE"/>
    <w:rsid w:val="00205D4E"/>
    <w:rsid w:val="002119FD"/>
    <w:rsid w:val="002130E0"/>
    <w:rsid w:val="00216862"/>
    <w:rsid w:val="00216EEB"/>
    <w:rsid w:val="00217323"/>
    <w:rsid w:val="00227AAB"/>
    <w:rsid w:val="00230B7B"/>
    <w:rsid w:val="00244F7F"/>
    <w:rsid w:val="00246F45"/>
    <w:rsid w:val="00250A7B"/>
    <w:rsid w:val="0025197E"/>
    <w:rsid w:val="0025570E"/>
    <w:rsid w:val="002608B7"/>
    <w:rsid w:val="00264425"/>
    <w:rsid w:val="00265875"/>
    <w:rsid w:val="0027303B"/>
    <w:rsid w:val="00275DDE"/>
    <w:rsid w:val="00276891"/>
    <w:rsid w:val="0028109B"/>
    <w:rsid w:val="00285F7D"/>
    <w:rsid w:val="002948A8"/>
    <w:rsid w:val="00295147"/>
    <w:rsid w:val="00296743"/>
    <w:rsid w:val="002A2188"/>
    <w:rsid w:val="002A57E0"/>
    <w:rsid w:val="002A58AB"/>
    <w:rsid w:val="002B1AEF"/>
    <w:rsid w:val="002B1F58"/>
    <w:rsid w:val="002C1C7A"/>
    <w:rsid w:val="002C54E2"/>
    <w:rsid w:val="002D1ED2"/>
    <w:rsid w:val="002E0AC3"/>
    <w:rsid w:val="002E16A9"/>
    <w:rsid w:val="002F0CE0"/>
    <w:rsid w:val="002F2D06"/>
    <w:rsid w:val="002F7D04"/>
    <w:rsid w:val="00300F9A"/>
    <w:rsid w:val="0030160F"/>
    <w:rsid w:val="003017F4"/>
    <w:rsid w:val="00301AEE"/>
    <w:rsid w:val="003145DF"/>
    <w:rsid w:val="00320223"/>
    <w:rsid w:val="00322D0D"/>
    <w:rsid w:val="0032412C"/>
    <w:rsid w:val="00324D34"/>
    <w:rsid w:val="003266CD"/>
    <w:rsid w:val="00332ABA"/>
    <w:rsid w:val="00344670"/>
    <w:rsid w:val="0034615B"/>
    <w:rsid w:val="00361465"/>
    <w:rsid w:val="00363263"/>
    <w:rsid w:val="00366A67"/>
    <w:rsid w:val="00366FE1"/>
    <w:rsid w:val="00370A1A"/>
    <w:rsid w:val="00372FED"/>
    <w:rsid w:val="003766C0"/>
    <w:rsid w:val="003816BD"/>
    <w:rsid w:val="003877F5"/>
    <w:rsid w:val="003942D4"/>
    <w:rsid w:val="00394776"/>
    <w:rsid w:val="0039514F"/>
    <w:rsid w:val="003958A8"/>
    <w:rsid w:val="00395BCD"/>
    <w:rsid w:val="003B29C2"/>
    <w:rsid w:val="003C20CA"/>
    <w:rsid w:val="003C2533"/>
    <w:rsid w:val="003C5D79"/>
    <w:rsid w:val="003D2E43"/>
    <w:rsid w:val="003D5A7F"/>
    <w:rsid w:val="003D635C"/>
    <w:rsid w:val="003D71D8"/>
    <w:rsid w:val="003E6BDF"/>
    <w:rsid w:val="003F1B55"/>
    <w:rsid w:val="003F78E9"/>
    <w:rsid w:val="003F7C40"/>
    <w:rsid w:val="004016E2"/>
    <w:rsid w:val="0040435A"/>
    <w:rsid w:val="00405926"/>
    <w:rsid w:val="00413EFA"/>
    <w:rsid w:val="00416A24"/>
    <w:rsid w:val="00416A30"/>
    <w:rsid w:val="0042059E"/>
    <w:rsid w:val="00431D9E"/>
    <w:rsid w:val="00433CE8"/>
    <w:rsid w:val="00434A5C"/>
    <w:rsid w:val="00435671"/>
    <w:rsid w:val="00447711"/>
    <w:rsid w:val="0045148C"/>
    <w:rsid w:val="004544D9"/>
    <w:rsid w:val="00455939"/>
    <w:rsid w:val="004632D1"/>
    <w:rsid w:val="00463968"/>
    <w:rsid w:val="00472BAD"/>
    <w:rsid w:val="00475266"/>
    <w:rsid w:val="0047621F"/>
    <w:rsid w:val="00484009"/>
    <w:rsid w:val="00485C97"/>
    <w:rsid w:val="00490E72"/>
    <w:rsid w:val="00491157"/>
    <w:rsid w:val="004921C8"/>
    <w:rsid w:val="00495B0B"/>
    <w:rsid w:val="004A0E21"/>
    <w:rsid w:val="004A1B8B"/>
    <w:rsid w:val="004A551C"/>
    <w:rsid w:val="004B0ACA"/>
    <w:rsid w:val="004B51C8"/>
    <w:rsid w:val="004C0487"/>
    <w:rsid w:val="004D1851"/>
    <w:rsid w:val="004D599D"/>
    <w:rsid w:val="004D7817"/>
    <w:rsid w:val="004E06D1"/>
    <w:rsid w:val="004E2EA5"/>
    <w:rsid w:val="004E3AEB"/>
    <w:rsid w:val="004E7838"/>
    <w:rsid w:val="004E7905"/>
    <w:rsid w:val="004F261C"/>
    <w:rsid w:val="00500CA4"/>
    <w:rsid w:val="0050223C"/>
    <w:rsid w:val="0050575E"/>
    <w:rsid w:val="00507750"/>
    <w:rsid w:val="005170FD"/>
    <w:rsid w:val="00521495"/>
    <w:rsid w:val="005243FF"/>
    <w:rsid w:val="00524E9C"/>
    <w:rsid w:val="005311D6"/>
    <w:rsid w:val="005311E1"/>
    <w:rsid w:val="00536422"/>
    <w:rsid w:val="0054526E"/>
    <w:rsid w:val="005469C2"/>
    <w:rsid w:val="00547281"/>
    <w:rsid w:val="005536C2"/>
    <w:rsid w:val="00564FBC"/>
    <w:rsid w:val="00565E59"/>
    <w:rsid w:val="005800BC"/>
    <w:rsid w:val="00580FD1"/>
    <w:rsid w:val="00582442"/>
    <w:rsid w:val="00582632"/>
    <w:rsid w:val="005844D9"/>
    <w:rsid w:val="005A335D"/>
    <w:rsid w:val="005B0869"/>
    <w:rsid w:val="005B3A0E"/>
    <w:rsid w:val="005B7073"/>
    <w:rsid w:val="005C13D4"/>
    <w:rsid w:val="005C77C0"/>
    <w:rsid w:val="005D028B"/>
    <w:rsid w:val="005E2BD5"/>
    <w:rsid w:val="005E4F47"/>
    <w:rsid w:val="005F3269"/>
    <w:rsid w:val="00612123"/>
    <w:rsid w:val="00615961"/>
    <w:rsid w:val="00616460"/>
    <w:rsid w:val="00623AE3"/>
    <w:rsid w:val="006261F4"/>
    <w:rsid w:val="00633BD5"/>
    <w:rsid w:val="006355AF"/>
    <w:rsid w:val="00644B3D"/>
    <w:rsid w:val="0064737F"/>
    <w:rsid w:val="006535F1"/>
    <w:rsid w:val="0065557D"/>
    <w:rsid w:val="00657299"/>
    <w:rsid w:val="00657CBF"/>
    <w:rsid w:val="00660D50"/>
    <w:rsid w:val="00662984"/>
    <w:rsid w:val="00663050"/>
    <w:rsid w:val="006702E0"/>
    <w:rsid w:val="006716BB"/>
    <w:rsid w:val="006758CF"/>
    <w:rsid w:val="006762DA"/>
    <w:rsid w:val="00681EFD"/>
    <w:rsid w:val="006973C8"/>
    <w:rsid w:val="006A4862"/>
    <w:rsid w:val="006B1859"/>
    <w:rsid w:val="006B4ED3"/>
    <w:rsid w:val="006B6680"/>
    <w:rsid w:val="006B6DCC"/>
    <w:rsid w:val="006D0A4C"/>
    <w:rsid w:val="006D6A4B"/>
    <w:rsid w:val="006E5D10"/>
    <w:rsid w:val="006E7418"/>
    <w:rsid w:val="00701C70"/>
    <w:rsid w:val="00702DEF"/>
    <w:rsid w:val="00706861"/>
    <w:rsid w:val="00710140"/>
    <w:rsid w:val="00724588"/>
    <w:rsid w:val="007247CF"/>
    <w:rsid w:val="00726B8C"/>
    <w:rsid w:val="00727C44"/>
    <w:rsid w:val="00730EAE"/>
    <w:rsid w:val="00737D28"/>
    <w:rsid w:val="0075051B"/>
    <w:rsid w:val="0077110E"/>
    <w:rsid w:val="00775655"/>
    <w:rsid w:val="007849D5"/>
    <w:rsid w:val="00785ECD"/>
    <w:rsid w:val="00790DF6"/>
    <w:rsid w:val="00793188"/>
    <w:rsid w:val="00794D34"/>
    <w:rsid w:val="007963A9"/>
    <w:rsid w:val="007C29F3"/>
    <w:rsid w:val="007C5C3C"/>
    <w:rsid w:val="007D54E3"/>
    <w:rsid w:val="007D7558"/>
    <w:rsid w:val="007F21FC"/>
    <w:rsid w:val="00806E3C"/>
    <w:rsid w:val="00811463"/>
    <w:rsid w:val="0081176F"/>
    <w:rsid w:val="00813E5E"/>
    <w:rsid w:val="00814639"/>
    <w:rsid w:val="00814C5B"/>
    <w:rsid w:val="0081505B"/>
    <w:rsid w:val="00816C2C"/>
    <w:rsid w:val="00816FEC"/>
    <w:rsid w:val="0083581B"/>
    <w:rsid w:val="008462B9"/>
    <w:rsid w:val="0085631E"/>
    <w:rsid w:val="00856E22"/>
    <w:rsid w:val="00860EED"/>
    <w:rsid w:val="00863874"/>
    <w:rsid w:val="00864AFF"/>
    <w:rsid w:val="00865925"/>
    <w:rsid w:val="00870C17"/>
    <w:rsid w:val="00871961"/>
    <w:rsid w:val="00872B5C"/>
    <w:rsid w:val="008733E4"/>
    <w:rsid w:val="00877BF2"/>
    <w:rsid w:val="008814AD"/>
    <w:rsid w:val="00882332"/>
    <w:rsid w:val="00884F3A"/>
    <w:rsid w:val="0088700C"/>
    <w:rsid w:val="00891503"/>
    <w:rsid w:val="008966DF"/>
    <w:rsid w:val="008A2F06"/>
    <w:rsid w:val="008B27EB"/>
    <w:rsid w:val="008B4A6A"/>
    <w:rsid w:val="008C7E27"/>
    <w:rsid w:val="008D45EE"/>
    <w:rsid w:val="008D5135"/>
    <w:rsid w:val="008E374F"/>
    <w:rsid w:val="008E47E4"/>
    <w:rsid w:val="008F203B"/>
    <w:rsid w:val="008F31F2"/>
    <w:rsid w:val="008F3822"/>
    <w:rsid w:val="008F7448"/>
    <w:rsid w:val="00900767"/>
    <w:rsid w:val="0090147A"/>
    <w:rsid w:val="00903868"/>
    <w:rsid w:val="0090389B"/>
    <w:rsid w:val="00903F2C"/>
    <w:rsid w:val="00914903"/>
    <w:rsid w:val="009173EF"/>
    <w:rsid w:val="00932906"/>
    <w:rsid w:val="009426FF"/>
    <w:rsid w:val="0094776C"/>
    <w:rsid w:val="00960759"/>
    <w:rsid w:val="00961860"/>
    <w:rsid w:val="00961B0B"/>
    <w:rsid w:val="009623AB"/>
    <w:rsid w:val="00962D33"/>
    <w:rsid w:val="009674FD"/>
    <w:rsid w:val="009750B2"/>
    <w:rsid w:val="00983121"/>
    <w:rsid w:val="00990F79"/>
    <w:rsid w:val="009A0876"/>
    <w:rsid w:val="009A67DA"/>
    <w:rsid w:val="009B38C3"/>
    <w:rsid w:val="009B44BD"/>
    <w:rsid w:val="009E17BD"/>
    <w:rsid w:val="009E485A"/>
    <w:rsid w:val="009E7525"/>
    <w:rsid w:val="00A04CEC"/>
    <w:rsid w:val="00A057F4"/>
    <w:rsid w:val="00A10F17"/>
    <w:rsid w:val="00A12B21"/>
    <w:rsid w:val="00A16497"/>
    <w:rsid w:val="00A224CE"/>
    <w:rsid w:val="00A239DB"/>
    <w:rsid w:val="00A27F92"/>
    <w:rsid w:val="00A32257"/>
    <w:rsid w:val="00A32DE0"/>
    <w:rsid w:val="00A3514F"/>
    <w:rsid w:val="00A36D20"/>
    <w:rsid w:val="00A43C03"/>
    <w:rsid w:val="00A46CD0"/>
    <w:rsid w:val="00A514A4"/>
    <w:rsid w:val="00A52C84"/>
    <w:rsid w:val="00A55622"/>
    <w:rsid w:val="00A57F28"/>
    <w:rsid w:val="00A65712"/>
    <w:rsid w:val="00A83502"/>
    <w:rsid w:val="00A83F2B"/>
    <w:rsid w:val="00A84032"/>
    <w:rsid w:val="00A93B2F"/>
    <w:rsid w:val="00A97CA3"/>
    <w:rsid w:val="00AA0948"/>
    <w:rsid w:val="00AB50A6"/>
    <w:rsid w:val="00AB5F5B"/>
    <w:rsid w:val="00AB7448"/>
    <w:rsid w:val="00AC4FE2"/>
    <w:rsid w:val="00AC581A"/>
    <w:rsid w:val="00AD15B3"/>
    <w:rsid w:val="00AD3606"/>
    <w:rsid w:val="00AD4A3D"/>
    <w:rsid w:val="00AD59EC"/>
    <w:rsid w:val="00AF6E49"/>
    <w:rsid w:val="00B035F7"/>
    <w:rsid w:val="00B03CB6"/>
    <w:rsid w:val="00B04A67"/>
    <w:rsid w:val="00B0583C"/>
    <w:rsid w:val="00B156E4"/>
    <w:rsid w:val="00B21915"/>
    <w:rsid w:val="00B248BC"/>
    <w:rsid w:val="00B324B2"/>
    <w:rsid w:val="00B358B2"/>
    <w:rsid w:val="00B37436"/>
    <w:rsid w:val="00B40A81"/>
    <w:rsid w:val="00B44910"/>
    <w:rsid w:val="00B61C39"/>
    <w:rsid w:val="00B70AEB"/>
    <w:rsid w:val="00B72267"/>
    <w:rsid w:val="00B73DD1"/>
    <w:rsid w:val="00B76158"/>
    <w:rsid w:val="00B76EB6"/>
    <w:rsid w:val="00B7737B"/>
    <w:rsid w:val="00B824C8"/>
    <w:rsid w:val="00B82C1B"/>
    <w:rsid w:val="00B849D3"/>
    <w:rsid w:val="00B84B9D"/>
    <w:rsid w:val="00BA3A51"/>
    <w:rsid w:val="00BA5EE4"/>
    <w:rsid w:val="00BC0AA3"/>
    <w:rsid w:val="00BC251A"/>
    <w:rsid w:val="00BC537A"/>
    <w:rsid w:val="00BD032B"/>
    <w:rsid w:val="00BD0614"/>
    <w:rsid w:val="00BD094B"/>
    <w:rsid w:val="00BD26B7"/>
    <w:rsid w:val="00BD7F24"/>
    <w:rsid w:val="00BE2640"/>
    <w:rsid w:val="00BF064B"/>
    <w:rsid w:val="00C01189"/>
    <w:rsid w:val="00C07497"/>
    <w:rsid w:val="00C220B1"/>
    <w:rsid w:val="00C23319"/>
    <w:rsid w:val="00C31B5A"/>
    <w:rsid w:val="00C374DE"/>
    <w:rsid w:val="00C4550B"/>
    <w:rsid w:val="00C45784"/>
    <w:rsid w:val="00C47AD4"/>
    <w:rsid w:val="00C52D81"/>
    <w:rsid w:val="00C55198"/>
    <w:rsid w:val="00C63C28"/>
    <w:rsid w:val="00C660A4"/>
    <w:rsid w:val="00C71EED"/>
    <w:rsid w:val="00C725C6"/>
    <w:rsid w:val="00C922C7"/>
    <w:rsid w:val="00C923F9"/>
    <w:rsid w:val="00CA3004"/>
    <w:rsid w:val="00CA3DBF"/>
    <w:rsid w:val="00CA6393"/>
    <w:rsid w:val="00CB01E6"/>
    <w:rsid w:val="00CB18FF"/>
    <w:rsid w:val="00CB24AA"/>
    <w:rsid w:val="00CC3229"/>
    <w:rsid w:val="00CC79A8"/>
    <w:rsid w:val="00CD0C08"/>
    <w:rsid w:val="00CD3C91"/>
    <w:rsid w:val="00CE03FB"/>
    <w:rsid w:val="00CE433C"/>
    <w:rsid w:val="00CF0161"/>
    <w:rsid w:val="00CF33F3"/>
    <w:rsid w:val="00CF347E"/>
    <w:rsid w:val="00D02C7E"/>
    <w:rsid w:val="00D06183"/>
    <w:rsid w:val="00D143DF"/>
    <w:rsid w:val="00D22C42"/>
    <w:rsid w:val="00D437AF"/>
    <w:rsid w:val="00D45669"/>
    <w:rsid w:val="00D46314"/>
    <w:rsid w:val="00D464CC"/>
    <w:rsid w:val="00D476E8"/>
    <w:rsid w:val="00D522F6"/>
    <w:rsid w:val="00D61082"/>
    <w:rsid w:val="00D629E8"/>
    <w:rsid w:val="00D65041"/>
    <w:rsid w:val="00D67039"/>
    <w:rsid w:val="00D708A8"/>
    <w:rsid w:val="00D75148"/>
    <w:rsid w:val="00D86E6C"/>
    <w:rsid w:val="00DA43D0"/>
    <w:rsid w:val="00DB00D5"/>
    <w:rsid w:val="00DB1936"/>
    <w:rsid w:val="00DB384B"/>
    <w:rsid w:val="00DB5EFC"/>
    <w:rsid w:val="00DC1282"/>
    <w:rsid w:val="00DC5C83"/>
    <w:rsid w:val="00DD2653"/>
    <w:rsid w:val="00DE3A92"/>
    <w:rsid w:val="00DE6E8F"/>
    <w:rsid w:val="00DF0189"/>
    <w:rsid w:val="00DF5C2D"/>
    <w:rsid w:val="00E06FD5"/>
    <w:rsid w:val="00E10267"/>
    <w:rsid w:val="00E10E80"/>
    <w:rsid w:val="00E11AE0"/>
    <w:rsid w:val="00E124F0"/>
    <w:rsid w:val="00E1602D"/>
    <w:rsid w:val="00E160FB"/>
    <w:rsid w:val="00E227F3"/>
    <w:rsid w:val="00E2331A"/>
    <w:rsid w:val="00E2587E"/>
    <w:rsid w:val="00E26240"/>
    <w:rsid w:val="00E3642D"/>
    <w:rsid w:val="00E46673"/>
    <w:rsid w:val="00E4728B"/>
    <w:rsid w:val="00E545C6"/>
    <w:rsid w:val="00E5742C"/>
    <w:rsid w:val="00E60F04"/>
    <w:rsid w:val="00E63EFF"/>
    <w:rsid w:val="00E65B24"/>
    <w:rsid w:val="00E854E4"/>
    <w:rsid w:val="00E85B67"/>
    <w:rsid w:val="00E8663E"/>
    <w:rsid w:val="00E86DBF"/>
    <w:rsid w:val="00E95DB5"/>
    <w:rsid w:val="00EB0D6F"/>
    <w:rsid w:val="00EB2232"/>
    <w:rsid w:val="00EC4D4D"/>
    <w:rsid w:val="00EC5337"/>
    <w:rsid w:val="00EC6CE8"/>
    <w:rsid w:val="00EC7C07"/>
    <w:rsid w:val="00ED4890"/>
    <w:rsid w:val="00ED5BAA"/>
    <w:rsid w:val="00ED625C"/>
    <w:rsid w:val="00EE49E8"/>
    <w:rsid w:val="00EE7752"/>
    <w:rsid w:val="00EF2B83"/>
    <w:rsid w:val="00EF2C26"/>
    <w:rsid w:val="00EF5355"/>
    <w:rsid w:val="00F03610"/>
    <w:rsid w:val="00F10B59"/>
    <w:rsid w:val="00F12F93"/>
    <w:rsid w:val="00F136B1"/>
    <w:rsid w:val="00F16BAB"/>
    <w:rsid w:val="00F17969"/>
    <w:rsid w:val="00F2150A"/>
    <w:rsid w:val="00F231D8"/>
    <w:rsid w:val="00F260A2"/>
    <w:rsid w:val="00F273A6"/>
    <w:rsid w:val="00F31471"/>
    <w:rsid w:val="00F321A2"/>
    <w:rsid w:val="00F34C03"/>
    <w:rsid w:val="00F44C00"/>
    <w:rsid w:val="00F45D2C"/>
    <w:rsid w:val="00F46C5F"/>
    <w:rsid w:val="00F55FAD"/>
    <w:rsid w:val="00F56BED"/>
    <w:rsid w:val="00F632C0"/>
    <w:rsid w:val="00F66A26"/>
    <w:rsid w:val="00F719C5"/>
    <w:rsid w:val="00F73B2C"/>
    <w:rsid w:val="00F74694"/>
    <w:rsid w:val="00F823DB"/>
    <w:rsid w:val="00F85503"/>
    <w:rsid w:val="00F86596"/>
    <w:rsid w:val="00F93FD4"/>
    <w:rsid w:val="00F945A0"/>
    <w:rsid w:val="00F94A63"/>
    <w:rsid w:val="00F94DFB"/>
    <w:rsid w:val="00FA1C28"/>
    <w:rsid w:val="00FB1279"/>
    <w:rsid w:val="00FB6B76"/>
    <w:rsid w:val="00FB7596"/>
    <w:rsid w:val="00FC2883"/>
    <w:rsid w:val="00FC4595"/>
    <w:rsid w:val="00FC636C"/>
    <w:rsid w:val="00FC689A"/>
    <w:rsid w:val="00FE4077"/>
    <w:rsid w:val="00FE500D"/>
    <w:rsid w:val="00FE77D2"/>
    <w:rsid w:val="00FF44C8"/>
    <w:rsid w:val="00FF6EF8"/>
    <w:rsid w:val="01C5F265"/>
    <w:rsid w:val="02B6927F"/>
    <w:rsid w:val="02FC5601"/>
    <w:rsid w:val="0390F45F"/>
    <w:rsid w:val="052998F0"/>
    <w:rsid w:val="05A73542"/>
    <w:rsid w:val="0614D5FA"/>
    <w:rsid w:val="0656F048"/>
    <w:rsid w:val="067D3895"/>
    <w:rsid w:val="06B52154"/>
    <w:rsid w:val="08E9DE99"/>
    <w:rsid w:val="09272BD8"/>
    <w:rsid w:val="09C7A0A1"/>
    <w:rsid w:val="0A108EE6"/>
    <w:rsid w:val="0A50C051"/>
    <w:rsid w:val="0A9DC64B"/>
    <w:rsid w:val="0AADB4BF"/>
    <w:rsid w:val="0D0637D1"/>
    <w:rsid w:val="0DB7FA77"/>
    <w:rsid w:val="0DDE4238"/>
    <w:rsid w:val="0F06B135"/>
    <w:rsid w:val="0F0840D6"/>
    <w:rsid w:val="0F8145DC"/>
    <w:rsid w:val="0F82DFE2"/>
    <w:rsid w:val="10000342"/>
    <w:rsid w:val="1010A1C7"/>
    <w:rsid w:val="111D03F0"/>
    <w:rsid w:val="123AAE49"/>
    <w:rsid w:val="12B4434F"/>
    <w:rsid w:val="134D0FA0"/>
    <w:rsid w:val="1394D2DD"/>
    <w:rsid w:val="14A7B86D"/>
    <w:rsid w:val="1540CEC6"/>
    <w:rsid w:val="193B86AA"/>
    <w:rsid w:val="1A5D0330"/>
    <w:rsid w:val="1A761A2D"/>
    <w:rsid w:val="1A8C3BCA"/>
    <w:rsid w:val="1ABA0F7F"/>
    <w:rsid w:val="1BCE0879"/>
    <w:rsid w:val="1C02F2EB"/>
    <w:rsid w:val="1C15EA8D"/>
    <w:rsid w:val="1C1B13F7"/>
    <w:rsid w:val="1C372CEB"/>
    <w:rsid w:val="1C5EB91F"/>
    <w:rsid w:val="1C9F3414"/>
    <w:rsid w:val="1DC058C1"/>
    <w:rsid w:val="1F9B28D1"/>
    <w:rsid w:val="1FCB532A"/>
    <w:rsid w:val="20248B70"/>
    <w:rsid w:val="21E2AF40"/>
    <w:rsid w:val="22B502E9"/>
    <w:rsid w:val="22F97547"/>
    <w:rsid w:val="24599FC8"/>
    <w:rsid w:val="24D02F4B"/>
    <w:rsid w:val="2513A2E2"/>
    <w:rsid w:val="2526536C"/>
    <w:rsid w:val="2620D050"/>
    <w:rsid w:val="2622A104"/>
    <w:rsid w:val="277D2684"/>
    <w:rsid w:val="27BF6315"/>
    <w:rsid w:val="28517935"/>
    <w:rsid w:val="292BA731"/>
    <w:rsid w:val="29B430D9"/>
    <w:rsid w:val="2B062C73"/>
    <w:rsid w:val="2B12797D"/>
    <w:rsid w:val="2CDD9843"/>
    <w:rsid w:val="2D4D321B"/>
    <w:rsid w:val="2D8ECD7A"/>
    <w:rsid w:val="2DF01266"/>
    <w:rsid w:val="307ED133"/>
    <w:rsid w:val="30DF6784"/>
    <w:rsid w:val="31ADB4BD"/>
    <w:rsid w:val="3215F49E"/>
    <w:rsid w:val="325B939D"/>
    <w:rsid w:val="332AEBD8"/>
    <w:rsid w:val="33CF9729"/>
    <w:rsid w:val="3415657D"/>
    <w:rsid w:val="341E1BA5"/>
    <w:rsid w:val="34B05EC4"/>
    <w:rsid w:val="34EF2AA4"/>
    <w:rsid w:val="3557B089"/>
    <w:rsid w:val="368A5D8B"/>
    <w:rsid w:val="36F5B0F1"/>
    <w:rsid w:val="38FC943A"/>
    <w:rsid w:val="38FE7918"/>
    <w:rsid w:val="39966F93"/>
    <w:rsid w:val="3A3E4154"/>
    <w:rsid w:val="3ACCFEE2"/>
    <w:rsid w:val="3B034F6B"/>
    <w:rsid w:val="3B4D3842"/>
    <w:rsid w:val="3BE15B78"/>
    <w:rsid w:val="3C915777"/>
    <w:rsid w:val="3D02478B"/>
    <w:rsid w:val="3D0D6A24"/>
    <w:rsid w:val="3D10D7B2"/>
    <w:rsid w:val="3D66A6D7"/>
    <w:rsid w:val="3D81CBC8"/>
    <w:rsid w:val="3FAE45E9"/>
    <w:rsid w:val="4046AAC7"/>
    <w:rsid w:val="447E716A"/>
    <w:rsid w:val="44B33EA3"/>
    <w:rsid w:val="4582C03C"/>
    <w:rsid w:val="45EF8A6D"/>
    <w:rsid w:val="482A5FFF"/>
    <w:rsid w:val="486D5291"/>
    <w:rsid w:val="4875B47B"/>
    <w:rsid w:val="49117342"/>
    <w:rsid w:val="497C79E0"/>
    <w:rsid w:val="4A47E7A0"/>
    <w:rsid w:val="4C02FDF5"/>
    <w:rsid w:val="4C1F64BE"/>
    <w:rsid w:val="4C749ACD"/>
    <w:rsid w:val="4D17EF29"/>
    <w:rsid w:val="4D3D6915"/>
    <w:rsid w:val="4EA1CDAA"/>
    <w:rsid w:val="4F17FC0B"/>
    <w:rsid w:val="4F85B755"/>
    <w:rsid w:val="4FD3D32E"/>
    <w:rsid w:val="4FEC8C85"/>
    <w:rsid w:val="509384EB"/>
    <w:rsid w:val="50AF400D"/>
    <w:rsid w:val="528A52CB"/>
    <w:rsid w:val="53D3D0A7"/>
    <w:rsid w:val="55654C0F"/>
    <w:rsid w:val="564688E2"/>
    <w:rsid w:val="5673356F"/>
    <w:rsid w:val="56A5AE4C"/>
    <w:rsid w:val="5792AEA6"/>
    <w:rsid w:val="57E70894"/>
    <w:rsid w:val="58910C5B"/>
    <w:rsid w:val="594E89CC"/>
    <w:rsid w:val="599909EF"/>
    <w:rsid w:val="59CAE110"/>
    <w:rsid w:val="5A75189F"/>
    <w:rsid w:val="5A78F14B"/>
    <w:rsid w:val="5AB7ACFF"/>
    <w:rsid w:val="5AE1B8A7"/>
    <w:rsid w:val="5AEF05C6"/>
    <w:rsid w:val="5B04851E"/>
    <w:rsid w:val="5BFBC7F5"/>
    <w:rsid w:val="5D1F9083"/>
    <w:rsid w:val="5D65B2EC"/>
    <w:rsid w:val="5F5E2CEE"/>
    <w:rsid w:val="5FD35189"/>
    <w:rsid w:val="60D507D8"/>
    <w:rsid w:val="61227A4F"/>
    <w:rsid w:val="61691893"/>
    <w:rsid w:val="61A3D148"/>
    <w:rsid w:val="63C772F2"/>
    <w:rsid w:val="64171B53"/>
    <w:rsid w:val="64C72A86"/>
    <w:rsid w:val="65835D33"/>
    <w:rsid w:val="6680FAB3"/>
    <w:rsid w:val="66EF74AA"/>
    <w:rsid w:val="67366A43"/>
    <w:rsid w:val="68521EF4"/>
    <w:rsid w:val="69F4B269"/>
    <w:rsid w:val="6B29999C"/>
    <w:rsid w:val="6BEB3198"/>
    <w:rsid w:val="6CB88402"/>
    <w:rsid w:val="6D2BE695"/>
    <w:rsid w:val="6DB31308"/>
    <w:rsid w:val="6DFC11EA"/>
    <w:rsid w:val="6E3BAFB9"/>
    <w:rsid w:val="6F633DEB"/>
    <w:rsid w:val="6FD923FC"/>
    <w:rsid w:val="709D7C9A"/>
    <w:rsid w:val="71D7CEC4"/>
    <w:rsid w:val="73C3098F"/>
    <w:rsid w:val="74177CB2"/>
    <w:rsid w:val="74AF32CB"/>
    <w:rsid w:val="753A007E"/>
    <w:rsid w:val="75501FD2"/>
    <w:rsid w:val="755D33B9"/>
    <w:rsid w:val="75EAB76A"/>
    <w:rsid w:val="7638A359"/>
    <w:rsid w:val="764977BA"/>
    <w:rsid w:val="76F4FDB9"/>
    <w:rsid w:val="7720DA1F"/>
    <w:rsid w:val="786DFF0B"/>
    <w:rsid w:val="7885CF81"/>
    <w:rsid w:val="78C6131A"/>
    <w:rsid w:val="78F16255"/>
    <w:rsid w:val="797BEC0E"/>
    <w:rsid w:val="7A748290"/>
    <w:rsid w:val="7A76E02A"/>
    <w:rsid w:val="7A961215"/>
    <w:rsid w:val="7AA73FB3"/>
    <w:rsid w:val="7B986871"/>
    <w:rsid w:val="7BFEA90B"/>
    <w:rsid w:val="7C7463A7"/>
    <w:rsid w:val="7D03333A"/>
    <w:rsid w:val="7FA720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DFD8E"/>
  <w15:docId w15:val="{7ABF039D-9BAE-4142-96DA-742A27BF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0438D2"/>
    <w:pPr>
      <w:keepNext/>
      <w:keepLines/>
      <w:spacing w:before="36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fNormal"/>
    <w:next w:val="Figuretitle"/>
    <w:rsid w:val="00D75148"/>
    <w:pPr>
      <w:spacing w:after="240"/>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45148C"/>
    <w:rPr>
      <w:color w:val="666666"/>
    </w:rPr>
  </w:style>
  <w:style w:type="paragraph" w:customStyle="1" w:styleId="Reasons">
    <w:name w:val="Reasons"/>
    <w:basedOn w:val="Normal"/>
    <w:qFormat/>
    <w:rsid w:val="00246F45"/>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paragraph" w:styleId="ListParagraph">
    <w:name w:val="List Paragraph"/>
    <w:basedOn w:val="Normal"/>
    <w:uiPriority w:val="34"/>
    <w:qFormat/>
    <w:rsid w:val="005D028B"/>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paragraph" w:styleId="ListBullet">
    <w:name w:val="List Bullet"/>
    <w:basedOn w:val="Normal"/>
    <w:uiPriority w:val="99"/>
    <w:unhideWhenUsed/>
    <w:rsid w:val="005D028B"/>
    <w:pPr>
      <w:tabs>
        <w:tab w:val="clear" w:pos="567"/>
        <w:tab w:val="clear" w:pos="1134"/>
        <w:tab w:val="clear" w:pos="1701"/>
        <w:tab w:val="clear" w:pos="2268"/>
        <w:tab w:val="clear" w:pos="2835"/>
        <w:tab w:val="num" w:pos="360"/>
      </w:tabs>
      <w:overflowPunct/>
      <w:autoSpaceDE/>
      <w:autoSpaceDN/>
      <w:adjustRightInd/>
      <w:spacing w:before="0" w:after="200" w:line="276" w:lineRule="auto"/>
      <w:ind w:left="360" w:hanging="360"/>
      <w:contextualSpacing/>
      <w:textAlignment w:val="auto"/>
    </w:pPr>
    <w:rPr>
      <w:rFonts w:asciiTheme="minorHAnsi" w:eastAsiaTheme="minorEastAsia" w:hAnsiTheme="minorHAnsi" w:cstheme="minorBidi"/>
      <w:sz w:val="22"/>
      <w:szCs w:val="22"/>
      <w:lang w:val="en-US"/>
    </w:rPr>
  </w:style>
  <w:style w:type="character" w:styleId="CommentReference">
    <w:name w:val="annotation reference"/>
    <w:basedOn w:val="DefaultParagraphFont"/>
    <w:uiPriority w:val="99"/>
    <w:semiHidden/>
    <w:unhideWhenUsed/>
    <w:rsid w:val="005D028B"/>
    <w:rPr>
      <w:sz w:val="16"/>
      <w:szCs w:val="16"/>
    </w:rPr>
  </w:style>
  <w:style w:type="paragraph" w:styleId="CommentText">
    <w:name w:val="annotation text"/>
    <w:basedOn w:val="Normal"/>
    <w:link w:val="CommentTextChar"/>
    <w:uiPriority w:val="99"/>
    <w:unhideWhenUsed/>
    <w:rsid w:val="005D028B"/>
    <w:pPr>
      <w:tabs>
        <w:tab w:val="clear" w:pos="567"/>
        <w:tab w:val="clear" w:pos="1134"/>
        <w:tab w:val="clear" w:pos="1701"/>
        <w:tab w:val="clear" w:pos="2268"/>
        <w:tab w:val="clear" w:pos="2835"/>
      </w:tabs>
      <w:overflowPunct/>
      <w:autoSpaceDE/>
      <w:autoSpaceDN/>
      <w:adjustRightInd/>
      <w:spacing w:before="0" w:after="160"/>
      <w:textAlignment w:val="auto"/>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5D028B"/>
    <w:rPr>
      <w:rFonts w:asciiTheme="minorHAnsi" w:eastAsiaTheme="minorHAnsi" w:hAnsiTheme="minorHAnsi" w:cstheme="minorBidi"/>
      <w:kern w:val="2"/>
      <w:lang w:val="en-GB" w:eastAsia="en-US"/>
      <w14:ligatures w14:val="standardContextual"/>
    </w:rPr>
  </w:style>
  <w:style w:type="paragraph" w:styleId="Revision">
    <w:name w:val="Revision"/>
    <w:hidden/>
    <w:uiPriority w:val="99"/>
    <w:semiHidden/>
    <w:rsid w:val="00882332"/>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814639"/>
    <w:pPr>
      <w:tabs>
        <w:tab w:val="left" w:pos="567"/>
        <w:tab w:val="left" w:pos="1134"/>
        <w:tab w:val="left" w:pos="1701"/>
        <w:tab w:val="left" w:pos="2268"/>
        <w:tab w:val="left" w:pos="2835"/>
      </w:tabs>
      <w:overflowPunct w:val="0"/>
      <w:autoSpaceDE w:val="0"/>
      <w:autoSpaceDN w:val="0"/>
      <w:adjustRightInd w:val="0"/>
      <w:spacing w:before="120" w:after="0"/>
      <w:textAlignment w:val="baseline"/>
    </w:pPr>
    <w:rPr>
      <w:rFonts w:ascii="Calibri" w:eastAsia="Times New Roman" w:hAnsi="Calibri" w:cs="Times New Roman"/>
      <w:b/>
      <w:bCs/>
      <w:kern w:val="0"/>
      <w14:ligatures w14:val="none"/>
    </w:rPr>
  </w:style>
  <w:style w:type="character" w:customStyle="1" w:styleId="CommentSubjectChar">
    <w:name w:val="Comment Subject Char"/>
    <w:basedOn w:val="CommentTextChar"/>
    <w:link w:val="CommentSubject"/>
    <w:semiHidden/>
    <w:rsid w:val="00814639"/>
    <w:rPr>
      <w:rFonts w:ascii="Calibri" w:eastAsiaTheme="minorHAnsi" w:hAnsi="Calibri" w:cstheme="minorBidi"/>
      <w:b/>
      <w:bCs/>
      <w:kern w:val="2"/>
      <w:lang w:val="en-GB" w:eastAsia="en-US"/>
      <w14:ligatures w14:val="standardContextual"/>
    </w:rPr>
  </w:style>
  <w:style w:type="character" w:styleId="Mention">
    <w:name w:val="Mention"/>
    <w:basedOn w:val="DefaultParagraphFont"/>
    <w:uiPriority w:val="99"/>
    <w:unhideWhenUsed/>
    <w:rsid w:val="00463968"/>
    <w:rPr>
      <w:color w:val="2B579A"/>
      <w:shd w:val="clear" w:color="auto" w:fill="E1DFDD"/>
    </w:rPr>
  </w:style>
  <w:style w:type="character" w:customStyle="1" w:styleId="normaltextrun">
    <w:name w:val="normaltextrun"/>
    <w:basedOn w:val="DefaultParagraphFont"/>
    <w:rsid w:val="00162AEA"/>
  </w:style>
  <w:style w:type="paragraph" w:customStyle="1" w:styleId="fNormal">
    <w:name w:val="fNormal"/>
    <w:basedOn w:val="Normal"/>
    <w:rsid w:val="00D7514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4-CL-C-0139/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SFP-2028-2031/Pages/default.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8F50CE82-4032-4455-B500-1BEBF1F5154C}">
  <ds:schemaRefs>
    <ds:schemaRef ds:uri="http://www.w3.org/XML/1998/namespace"/>
    <ds:schemaRef ds:uri="a1cf676c-2816-4389-ad5d-0f2e7c7e67c4"/>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B96CFFA-40B7-4681-9B69-9C9A7AC5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99A331-847B-4E9B-BECA-36C9B68AB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1489</Words>
  <Characters>9269</Characters>
  <Application>Microsoft Office Word</Application>
  <DocSecurity>0</DocSecurity>
  <Lines>174</Lines>
  <Paragraphs>82</Paragraphs>
  <ScaleCrop>false</ScaleCrop>
  <HeadingPairs>
    <vt:vector size="2" baseType="variant">
      <vt:variant>
        <vt:lpstr>Title</vt:lpstr>
      </vt:variant>
      <vt:variant>
        <vt:i4>1</vt:i4>
      </vt:variant>
    </vt:vector>
  </HeadingPairs>
  <TitlesOfParts>
    <vt:vector size="1" baseType="lpstr">
      <vt:lpstr>Linking ITU strategic, financial and operational plans</vt:lpstr>
    </vt:vector>
  </TitlesOfParts>
  <Manager/>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Linking ITU strategic, financial and operational plans</dc:title>
  <dc:subject>ITU Council Working Group for strategic and financial plans 2028-2031</dc:subject>
  <cp:keywords>CWG-SFP</cp:keywords>
  <dc:description/>
  <dcterms:created xsi:type="dcterms:W3CDTF">2025-08-08T15:04:00Z</dcterms:created>
  <dcterms:modified xsi:type="dcterms:W3CDTF">2025-08-08T15:12:00Z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4e96cefee9424fa6b843bdff7952341a10db7280bfbfa5e7566be193e7b25e84</vt:lpwstr>
  </property>
  <property fmtid="{D5CDD505-2E9C-101B-9397-08002B2CF9AE}" pid="3" name="ContentTypeId">
    <vt:lpwstr>0x01010096B2CC4DF5F10149B2E37F08EDC3AC3A</vt:lpwstr>
  </property>
  <property fmtid="{D5CDD505-2E9C-101B-9397-08002B2CF9AE}" pid="4" name="MediaServiceImageTags">
    <vt:lpwstr/>
  </property>
  <property fmtid="{D5CDD505-2E9C-101B-9397-08002B2CF9AE}" pid="5" name="Order">
    <vt:r8>312900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