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610BB1" w14:paraId="449992C0" w14:textId="77777777" w:rsidTr="00AD3606">
        <w:trPr>
          <w:cantSplit/>
          <w:trHeight w:val="23"/>
        </w:trPr>
        <w:tc>
          <w:tcPr>
            <w:tcW w:w="3969" w:type="dxa"/>
            <w:vMerge w:val="restart"/>
            <w:tcMar>
              <w:left w:w="0" w:type="dxa"/>
            </w:tcMar>
          </w:tcPr>
          <w:p w14:paraId="693ADD14" w14:textId="77777777" w:rsidR="00AD3606" w:rsidRPr="00147C54"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12403763" w14:textId="52E0F4D7" w:rsidR="00AD3606" w:rsidRPr="00301AEE" w:rsidRDefault="00E85B67" w:rsidP="00472BAD">
            <w:pPr>
              <w:tabs>
                <w:tab w:val="left" w:pos="851"/>
              </w:tabs>
              <w:spacing w:before="0" w:line="240" w:lineRule="atLeast"/>
              <w:jc w:val="right"/>
              <w:rPr>
                <w:b/>
                <w:lang w:val="fr-FR"/>
              </w:rPr>
            </w:pPr>
            <w:r w:rsidRPr="00A52C84">
              <w:rPr>
                <w:b/>
                <w:lang w:val="fr-CH"/>
              </w:rPr>
              <w:t xml:space="preserve">Document </w:t>
            </w:r>
            <w:r w:rsidR="00612123">
              <w:rPr>
                <w:b/>
                <w:lang w:val="fr-CH"/>
              </w:rPr>
              <w:t>CWG-SFP</w:t>
            </w:r>
            <w:r w:rsidR="00524E9C">
              <w:rPr>
                <w:b/>
                <w:lang w:val="fr-CH"/>
              </w:rPr>
              <w:t>-</w:t>
            </w:r>
            <w:r w:rsidR="004F0FE8">
              <w:rPr>
                <w:b/>
                <w:lang w:val="fr-CH"/>
              </w:rPr>
              <w:t>3</w:t>
            </w:r>
            <w:r w:rsidR="00F66A26">
              <w:rPr>
                <w:b/>
                <w:lang w:val="fr-FR"/>
              </w:rPr>
              <w:t>/</w:t>
            </w:r>
            <w:r w:rsidR="00417184">
              <w:rPr>
                <w:b/>
                <w:lang w:val="fr-FR"/>
              </w:rPr>
              <w:t>5</w:t>
            </w:r>
          </w:p>
        </w:tc>
      </w:tr>
      <w:tr w:rsidR="00AD3606" w:rsidRPr="00147C54" w14:paraId="07B7F08A" w14:textId="77777777" w:rsidTr="00AD3606">
        <w:trPr>
          <w:cantSplit/>
        </w:trPr>
        <w:tc>
          <w:tcPr>
            <w:tcW w:w="3969" w:type="dxa"/>
            <w:vMerge/>
          </w:tcPr>
          <w:p w14:paraId="529FBC05" w14:textId="77777777" w:rsidR="00AD3606" w:rsidRPr="00301AEE" w:rsidRDefault="00AD3606" w:rsidP="00AD3606">
            <w:pPr>
              <w:tabs>
                <w:tab w:val="left" w:pos="851"/>
              </w:tabs>
              <w:spacing w:line="240" w:lineRule="atLeast"/>
              <w:rPr>
                <w:b/>
                <w:lang w:val="fr-FR"/>
              </w:rPr>
            </w:pPr>
            <w:bookmarkStart w:id="6" w:name="ddate" w:colFirst="1" w:colLast="1"/>
            <w:bookmarkEnd w:id="0"/>
            <w:bookmarkEnd w:id="1"/>
          </w:p>
        </w:tc>
        <w:tc>
          <w:tcPr>
            <w:tcW w:w="5245" w:type="dxa"/>
          </w:tcPr>
          <w:p w14:paraId="54FCF7B6" w14:textId="16F4B2B6" w:rsidR="00AD3606" w:rsidRPr="00147C54" w:rsidRDefault="00436777" w:rsidP="00AD3606">
            <w:pPr>
              <w:tabs>
                <w:tab w:val="left" w:pos="851"/>
              </w:tabs>
              <w:spacing w:before="0"/>
              <w:jc w:val="right"/>
              <w:rPr>
                <w:b/>
              </w:rPr>
            </w:pPr>
            <w:r>
              <w:rPr>
                <w:b/>
              </w:rPr>
              <w:t>8</w:t>
            </w:r>
            <w:r w:rsidR="00BE34F0">
              <w:rPr>
                <w:b/>
              </w:rPr>
              <w:t xml:space="preserve"> August 2025</w:t>
            </w:r>
          </w:p>
        </w:tc>
      </w:tr>
      <w:tr w:rsidR="00AD3606" w:rsidRPr="00147C54" w14:paraId="499D24C8" w14:textId="77777777" w:rsidTr="00AD3606">
        <w:trPr>
          <w:cantSplit/>
          <w:trHeight w:val="23"/>
        </w:trPr>
        <w:tc>
          <w:tcPr>
            <w:tcW w:w="3969" w:type="dxa"/>
            <w:vMerge/>
          </w:tcPr>
          <w:p w14:paraId="3693956E" w14:textId="77777777" w:rsidR="00AD3606" w:rsidRPr="00147C54" w:rsidRDefault="00AD3606" w:rsidP="00AD3606">
            <w:pPr>
              <w:tabs>
                <w:tab w:val="left" w:pos="851"/>
              </w:tabs>
              <w:spacing w:line="240" w:lineRule="atLeast"/>
              <w:rPr>
                <w:b/>
              </w:rPr>
            </w:pPr>
            <w:bookmarkStart w:id="7" w:name="dorlang" w:colFirst="1" w:colLast="1"/>
            <w:bookmarkEnd w:id="6"/>
          </w:p>
        </w:tc>
        <w:tc>
          <w:tcPr>
            <w:tcW w:w="5245" w:type="dxa"/>
          </w:tcPr>
          <w:p w14:paraId="56D878BF" w14:textId="77777777" w:rsidR="00AD3606" w:rsidRPr="00147C54" w:rsidRDefault="00891503" w:rsidP="00AD3606">
            <w:pPr>
              <w:tabs>
                <w:tab w:val="left" w:pos="851"/>
              </w:tabs>
              <w:spacing w:before="0" w:line="240" w:lineRule="atLeast"/>
              <w:jc w:val="right"/>
              <w:rPr>
                <w:b/>
              </w:rPr>
            </w:pPr>
            <w:r w:rsidRPr="00147C54">
              <w:rPr>
                <w:b/>
              </w:rPr>
              <w:t>English only</w:t>
            </w:r>
          </w:p>
        </w:tc>
      </w:tr>
      <w:tr w:rsidR="00472BAD" w:rsidRPr="00147C54" w14:paraId="434FA6A8" w14:textId="77777777" w:rsidTr="00AD3606">
        <w:trPr>
          <w:cantSplit/>
          <w:trHeight w:val="23"/>
        </w:trPr>
        <w:tc>
          <w:tcPr>
            <w:tcW w:w="3969" w:type="dxa"/>
          </w:tcPr>
          <w:p w14:paraId="2C98EDFD" w14:textId="77777777" w:rsidR="00472BAD" w:rsidRPr="00147C54" w:rsidRDefault="00472BAD" w:rsidP="00AD3606">
            <w:pPr>
              <w:tabs>
                <w:tab w:val="left" w:pos="851"/>
              </w:tabs>
              <w:spacing w:line="240" w:lineRule="atLeast"/>
              <w:rPr>
                <w:b/>
              </w:rPr>
            </w:pPr>
          </w:p>
        </w:tc>
        <w:tc>
          <w:tcPr>
            <w:tcW w:w="5245" w:type="dxa"/>
          </w:tcPr>
          <w:p w14:paraId="01EEDAE1" w14:textId="77777777" w:rsidR="00472BAD" w:rsidRPr="00147C54" w:rsidRDefault="00472BAD" w:rsidP="00AD3606">
            <w:pPr>
              <w:tabs>
                <w:tab w:val="left" w:pos="851"/>
              </w:tabs>
              <w:spacing w:before="0" w:line="240" w:lineRule="atLeast"/>
              <w:jc w:val="right"/>
              <w:rPr>
                <w:b/>
              </w:rPr>
            </w:pPr>
          </w:p>
        </w:tc>
      </w:tr>
      <w:tr w:rsidR="00AD3606" w:rsidRPr="00147C54" w14:paraId="1C19CD49" w14:textId="77777777" w:rsidTr="00AD3606">
        <w:trPr>
          <w:cantSplit/>
        </w:trPr>
        <w:tc>
          <w:tcPr>
            <w:tcW w:w="9214" w:type="dxa"/>
            <w:gridSpan w:val="2"/>
            <w:tcMar>
              <w:left w:w="0" w:type="dxa"/>
            </w:tcMar>
          </w:tcPr>
          <w:p w14:paraId="61B9485C" w14:textId="77777777" w:rsidR="00AD3606" w:rsidRPr="00147C54" w:rsidRDefault="00EA2E93" w:rsidP="00E4728B">
            <w:pPr>
              <w:pStyle w:val="Source"/>
              <w:framePr w:hSpace="0" w:wrap="auto" w:vAnchor="margin" w:hAnchor="text" w:xAlign="left" w:yAlign="inline"/>
            </w:pPr>
            <w:bookmarkStart w:id="8" w:name="dsource" w:colFirst="0" w:colLast="0"/>
            <w:bookmarkEnd w:id="7"/>
            <w:r>
              <w:t>Note</w:t>
            </w:r>
            <w:r w:rsidRPr="00676C7D">
              <w:t xml:space="preserve"> by the </w:t>
            </w:r>
            <w:r w:rsidR="004247E5">
              <w:t>Secretary-General</w:t>
            </w:r>
          </w:p>
        </w:tc>
      </w:tr>
      <w:tr w:rsidR="00AD3606" w:rsidRPr="00147C54" w14:paraId="088FC688" w14:textId="77777777" w:rsidTr="00AD3606">
        <w:trPr>
          <w:cantSplit/>
        </w:trPr>
        <w:tc>
          <w:tcPr>
            <w:tcW w:w="9214" w:type="dxa"/>
            <w:gridSpan w:val="2"/>
            <w:tcMar>
              <w:left w:w="0" w:type="dxa"/>
            </w:tcMar>
          </w:tcPr>
          <w:p w14:paraId="24E53786" w14:textId="6C48FFC7" w:rsidR="00AD3606" w:rsidRPr="00147C54" w:rsidRDefault="00D53DA6" w:rsidP="00E4728B">
            <w:pPr>
              <w:pStyle w:val="Subtitle"/>
              <w:framePr w:hSpace="0" w:wrap="auto" w:xAlign="left" w:yAlign="inline"/>
            </w:pPr>
            <w:bookmarkStart w:id="9" w:name="dtitle1" w:colFirst="0" w:colLast="0"/>
            <w:bookmarkEnd w:id="8"/>
            <w:r>
              <w:t>SUMMARY</w:t>
            </w:r>
            <w:r w:rsidR="005C4CD3" w:rsidRPr="005C4CD3">
              <w:t xml:space="preserve"> OF THE ITU WORLD CAFÉ</w:t>
            </w:r>
            <w:r>
              <w:t xml:space="preserve"> 2025</w:t>
            </w:r>
          </w:p>
        </w:tc>
      </w:tr>
      <w:tr w:rsidR="00AD3606" w:rsidRPr="00E91713" w14:paraId="1CFB7CDB" w14:textId="77777777" w:rsidTr="00AD3606">
        <w:trPr>
          <w:cantSplit/>
        </w:trPr>
        <w:tc>
          <w:tcPr>
            <w:tcW w:w="9214" w:type="dxa"/>
            <w:gridSpan w:val="2"/>
            <w:tcBorders>
              <w:top w:val="single" w:sz="4" w:space="0" w:color="auto"/>
              <w:bottom w:val="single" w:sz="4" w:space="0" w:color="auto"/>
            </w:tcBorders>
            <w:tcMar>
              <w:left w:w="0" w:type="dxa"/>
            </w:tcMar>
          </w:tcPr>
          <w:p w14:paraId="0EC00163" w14:textId="77777777" w:rsidR="00AD3606" w:rsidRPr="00147C54" w:rsidRDefault="00F16BAB" w:rsidP="00F16BAB">
            <w:pPr>
              <w:spacing w:before="160"/>
              <w:rPr>
                <w:b/>
                <w:bCs/>
                <w:sz w:val="26"/>
                <w:szCs w:val="26"/>
              </w:rPr>
            </w:pPr>
            <w:r w:rsidRPr="00147C54">
              <w:rPr>
                <w:b/>
                <w:bCs/>
                <w:sz w:val="26"/>
                <w:szCs w:val="26"/>
              </w:rPr>
              <w:t>Purpose</w:t>
            </w:r>
          </w:p>
          <w:p w14:paraId="5875E3E2" w14:textId="77777777" w:rsidR="00603F4E" w:rsidRDefault="00603F4E" w:rsidP="00603F4E">
            <w:pPr>
              <w:jc w:val="both"/>
            </w:pPr>
            <w:r w:rsidRPr="009910B5">
              <w:t xml:space="preserve">This report outlines the </w:t>
            </w:r>
            <w:r>
              <w:t xml:space="preserve">outcomes and recommendations of the ITU World Café convened by the Secretary-General at Council 2025. </w:t>
            </w:r>
            <w:r w:rsidRPr="00EA3CC4">
              <w:t>It provides a summary of the key themes discussed, the perspectives shared and the recommendations</w:t>
            </w:r>
            <w:r>
              <w:t xml:space="preserve"> </w:t>
            </w:r>
            <w:r w:rsidRPr="00EA3CC4">
              <w:t>that emerged from the dialogue.</w:t>
            </w:r>
          </w:p>
          <w:p w14:paraId="1FD56482" w14:textId="77777777" w:rsidR="00AD3606" w:rsidRPr="00147C54" w:rsidRDefault="00AD3606" w:rsidP="00F16BAB">
            <w:pPr>
              <w:spacing w:before="160"/>
              <w:rPr>
                <w:b/>
                <w:bCs/>
                <w:sz w:val="26"/>
                <w:szCs w:val="26"/>
              </w:rPr>
            </w:pPr>
            <w:r w:rsidRPr="00147C54">
              <w:rPr>
                <w:b/>
                <w:bCs/>
                <w:sz w:val="26"/>
                <w:szCs w:val="26"/>
              </w:rPr>
              <w:t>Action required</w:t>
            </w:r>
          </w:p>
          <w:p w14:paraId="587D9608" w14:textId="77737647" w:rsidR="00EA2E93" w:rsidRDefault="00417184" w:rsidP="0057153B">
            <w:pPr>
              <w:spacing w:before="160"/>
              <w:jc w:val="both"/>
            </w:pPr>
            <w:r>
              <w:t>The</w:t>
            </w:r>
            <w:r w:rsidR="00EA2E93" w:rsidRPr="00273D16">
              <w:t xml:space="preserve"> Council Working Group </w:t>
            </w:r>
            <w:r w:rsidR="00202BAF" w:rsidRPr="00202BAF">
              <w:t>for strategic and financial plans 2028-2031</w:t>
            </w:r>
            <w:r>
              <w:t xml:space="preserve"> is invited to </w:t>
            </w:r>
            <w:r w:rsidR="001864B1">
              <w:rPr>
                <w:b/>
                <w:bCs/>
              </w:rPr>
              <w:t>consider</w:t>
            </w:r>
            <w:r>
              <w:t xml:space="preserve"> this document.</w:t>
            </w:r>
            <w:r w:rsidR="00202BAF">
              <w:t xml:space="preserve"> </w:t>
            </w:r>
          </w:p>
          <w:p w14:paraId="64F1A3B2" w14:textId="77777777" w:rsidR="00AD3606" w:rsidRPr="00E91713" w:rsidRDefault="00CD3C91" w:rsidP="00CD3C91">
            <w:pPr>
              <w:rPr>
                <w:lang w:val="fr-FR"/>
              </w:rPr>
            </w:pPr>
            <w:r w:rsidRPr="00E91713">
              <w:rPr>
                <w:lang w:val="fr-FR"/>
              </w:rPr>
              <w:t>_______________</w:t>
            </w:r>
          </w:p>
          <w:p w14:paraId="2521C7FF" w14:textId="77777777" w:rsidR="00AD3606" w:rsidRPr="00E91713" w:rsidRDefault="00AD3606" w:rsidP="00663050">
            <w:pPr>
              <w:spacing w:before="160"/>
              <w:rPr>
                <w:sz w:val="26"/>
                <w:szCs w:val="26"/>
                <w:lang w:val="fr-FR"/>
              </w:rPr>
            </w:pPr>
            <w:proofErr w:type="spellStart"/>
            <w:r w:rsidRPr="00E91713">
              <w:rPr>
                <w:b/>
                <w:bCs/>
                <w:sz w:val="26"/>
                <w:szCs w:val="26"/>
                <w:lang w:val="fr-FR"/>
              </w:rPr>
              <w:t>References</w:t>
            </w:r>
            <w:proofErr w:type="spellEnd"/>
            <w:r w:rsidR="00301AEE" w:rsidRPr="00E91713">
              <w:rPr>
                <w:b/>
                <w:bCs/>
                <w:sz w:val="26"/>
                <w:szCs w:val="26"/>
                <w:lang w:val="fr-FR"/>
              </w:rPr>
              <w:t xml:space="preserve"> </w:t>
            </w:r>
          </w:p>
          <w:p w14:paraId="1C023D6F" w14:textId="5929FB51" w:rsidR="00AD3606" w:rsidRPr="00B55F1B" w:rsidRDefault="00EA2E93" w:rsidP="00F16BAB">
            <w:pPr>
              <w:spacing w:after="160"/>
              <w:rPr>
                <w:rFonts w:asciiTheme="minorHAnsi" w:hAnsiTheme="minorHAnsi" w:cstheme="minorHAnsi"/>
                <w:i/>
                <w:iCs/>
                <w:sz w:val="22"/>
                <w:szCs w:val="22"/>
                <w:lang w:val="fr-FR"/>
              </w:rPr>
            </w:pPr>
            <w:hyperlink r:id="rId11" w:history="1">
              <w:r w:rsidRPr="00B55F1B">
                <w:rPr>
                  <w:rStyle w:val="Hyperlink"/>
                  <w:rFonts w:asciiTheme="minorHAnsi" w:hAnsiTheme="minorHAnsi" w:cstheme="minorHAnsi"/>
                  <w:i/>
                  <w:iCs/>
                  <w:sz w:val="22"/>
                  <w:szCs w:val="22"/>
                  <w:lang w:val="fr-FR"/>
                </w:rPr>
                <w:t xml:space="preserve">CWG-SFP </w:t>
              </w:r>
              <w:proofErr w:type="spellStart"/>
              <w:r w:rsidRPr="00B55F1B">
                <w:rPr>
                  <w:rStyle w:val="Hyperlink"/>
                  <w:rFonts w:asciiTheme="minorHAnsi" w:hAnsiTheme="minorHAnsi" w:cstheme="minorHAnsi"/>
                  <w:i/>
                  <w:iCs/>
                  <w:sz w:val="22"/>
                  <w:szCs w:val="22"/>
                  <w:lang w:val="fr-FR"/>
                </w:rPr>
                <w:t>website</w:t>
              </w:r>
              <w:proofErr w:type="spellEnd"/>
            </w:hyperlink>
            <w:r w:rsidR="00B55F1B" w:rsidRPr="00B55F1B">
              <w:rPr>
                <w:rFonts w:asciiTheme="minorHAnsi" w:hAnsiTheme="minorHAnsi" w:cstheme="minorHAnsi"/>
                <w:i/>
                <w:iCs/>
                <w:color w:val="000000"/>
                <w:sz w:val="22"/>
                <w:szCs w:val="22"/>
                <w:shd w:val="clear" w:color="auto" w:fill="FFFFFF"/>
                <w:lang w:val="fr-FR"/>
              </w:rPr>
              <w:t xml:space="preserve"> ; Document </w:t>
            </w:r>
            <w:hyperlink r:id="rId12" w:history="1">
              <w:r w:rsidR="00B55F1B" w:rsidRPr="00B55F1B">
                <w:rPr>
                  <w:rStyle w:val="Hyperlink"/>
                  <w:rFonts w:asciiTheme="minorHAnsi" w:hAnsiTheme="minorHAnsi" w:cstheme="minorHAnsi"/>
                  <w:i/>
                  <w:iCs/>
                  <w:sz w:val="22"/>
                  <w:szCs w:val="22"/>
                  <w:shd w:val="clear" w:color="auto" w:fill="FFFFFF"/>
                  <w:lang w:val="fr-FR"/>
                </w:rPr>
                <w:t>CWG-FHR-21/12</w:t>
              </w:r>
            </w:hyperlink>
          </w:p>
        </w:tc>
      </w:tr>
    </w:tbl>
    <w:p w14:paraId="76F19381" w14:textId="77777777" w:rsidR="00E227F3" w:rsidRPr="00B55F1B" w:rsidRDefault="00E227F3">
      <w:pPr>
        <w:tabs>
          <w:tab w:val="clear" w:pos="567"/>
          <w:tab w:val="clear" w:pos="1134"/>
          <w:tab w:val="clear" w:pos="1701"/>
          <w:tab w:val="clear" w:pos="2268"/>
          <w:tab w:val="clear" w:pos="2835"/>
        </w:tabs>
        <w:overflowPunct/>
        <w:autoSpaceDE/>
        <w:autoSpaceDN/>
        <w:adjustRightInd/>
        <w:spacing w:before="0"/>
        <w:textAlignment w:val="auto"/>
        <w:rPr>
          <w:lang w:val="fr-FR"/>
        </w:rPr>
      </w:pPr>
      <w:bookmarkStart w:id="10" w:name="_Hlk133421428"/>
      <w:bookmarkEnd w:id="2"/>
      <w:bookmarkEnd w:id="9"/>
    </w:p>
    <w:bookmarkEnd w:id="3"/>
    <w:bookmarkEnd w:id="4"/>
    <w:p w14:paraId="2CB4B3AD" w14:textId="77777777" w:rsidR="0090147A" w:rsidRPr="00B55F1B" w:rsidRDefault="0090147A">
      <w:pPr>
        <w:tabs>
          <w:tab w:val="clear" w:pos="567"/>
          <w:tab w:val="clear" w:pos="1134"/>
          <w:tab w:val="clear" w:pos="1701"/>
          <w:tab w:val="clear" w:pos="2268"/>
          <w:tab w:val="clear" w:pos="2835"/>
        </w:tabs>
        <w:overflowPunct/>
        <w:autoSpaceDE/>
        <w:autoSpaceDN/>
        <w:adjustRightInd/>
        <w:spacing w:before="0"/>
        <w:textAlignment w:val="auto"/>
        <w:rPr>
          <w:b/>
          <w:lang w:val="fr-FR"/>
        </w:rPr>
      </w:pPr>
      <w:r w:rsidRPr="00B55F1B">
        <w:rPr>
          <w:lang w:val="fr-FR"/>
        </w:rPr>
        <w:br w:type="page"/>
      </w:r>
    </w:p>
    <w:bookmarkEnd w:id="5"/>
    <w:bookmarkEnd w:id="10"/>
    <w:p w14:paraId="6526967D" w14:textId="77777777" w:rsidR="00AF0CCF" w:rsidRPr="00AF0CCF" w:rsidRDefault="00AF0CCF" w:rsidP="00B55F1B">
      <w:pPr>
        <w:pStyle w:val="Headingb"/>
      </w:pPr>
      <w:r w:rsidRPr="00AF0CCF">
        <w:lastRenderedPageBreak/>
        <w:t>Introduction</w:t>
      </w:r>
    </w:p>
    <w:p w14:paraId="146827A2" w14:textId="77777777" w:rsidR="00AF0CCF" w:rsidRPr="00AF0CCF" w:rsidRDefault="00AF0CCF" w:rsidP="00B55F1B">
      <w:pPr>
        <w:jc w:val="both"/>
      </w:pPr>
      <w:r w:rsidRPr="00AF0CCF">
        <w:t>On 26 June 2025, the Secretary-General convened a World Café with the ITU Council to provide a dedicated forum for strategic reflection and forward-looking dialogue. This initiative served to support the Council in considering ITU’s future direction in the context of its Transformation Roadmap and ongoing UN reform efforts with a view to exploring how the Union could continue to serve its Membership effectively within an evolving technological and multilateral landscape.</w:t>
      </w:r>
    </w:p>
    <w:p w14:paraId="7AC52CBE" w14:textId="77777777" w:rsidR="00AF0CCF" w:rsidRPr="00AF0CCF" w:rsidRDefault="00AF0CCF" w:rsidP="00B55F1B">
      <w:pPr>
        <w:jc w:val="both"/>
      </w:pPr>
      <w:r w:rsidRPr="00AF0CCF">
        <w:t xml:space="preserve">The World Café was designed as an informal and participatory exchange, providing an open space for Councillors to reflect and share perspectives on the ITU’s long-term vision, operational priorities and potential areas for adaptation. </w:t>
      </w:r>
    </w:p>
    <w:p w14:paraId="79526C62" w14:textId="77777777" w:rsidR="00AF0CCF" w:rsidRPr="00AF0CCF" w:rsidRDefault="00AF0CCF" w:rsidP="00B55F1B">
      <w:pPr>
        <w:jc w:val="both"/>
      </w:pPr>
      <w:r w:rsidRPr="00AF0CCF">
        <w:t>Thirty-one Councillors participated in the session, engaging in interactive group discussions structured around three overarching themes:</w:t>
      </w:r>
    </w:p>
    <w:p w14:paraId="6A14D313" w14:textId="42533FB3" w:rsidR="00AF0CCF" w:rsidRPr="00AF0CCF" w:rsidRDefault="00B55F1B" w:rsidP="00B55F1B">
      <w:pPr>
        <w:pStyle w:val="enumlev1"/>
        <w:jc w:val="both"/>
        <w:rPr>
          <w:rFonts w:eastAsiaTheme="minorHAnsi"/>
        </w:rPr>
      </w:pPr>
      <w:r w:rsidRPr="00AF0CCF">
        <w:rPr>
          <w:rFonts w:eastAsiaTheme="minorHAnsi"/>
        </w:rPr>
        <w:t>A.</w:t>
      </w:r>
      <w:r w:rsidRPr="00AF0CCF">
        <w:rPr>
          <w:rFonts w:eastAsiaTheme="minorHAnsi"/>
        </w:rPr>
        <w:tab/>
      </w:r>
      <w:r w:rsidR="00AF0CCF" w:rsidRPr="00AF0CCF">
        <w:rPr>
          <w:rFonts w:eastAsiaTheme="minorHAnsi"/>
        </w:rPr>
        <w:t xml:space="preserve">Vision: What kind of ITU does our Membership need by 2031?  </w:t>
      </w:r>
    </w:p>
    <w:p w14:paraId="3BF27A43" w14:textId="1C173B86" w:rsidR="00AF0CCF" w:rsidRPr="00AF0CCF" w:rsidRDefault="00B55F1B" w:rsidP="00B55F1B">
      <w:pPr>
        <w:pStyle w:val="enumlev1"/>
        <w:jc w:val="both"/>
        <w:rPr>
          <w:rFonts w:eastAsiaTheme="minorHAnsi"/>
        </w:rPr>
      </w:pPr>
      <w:r w:rsidRPr="00AF0CCF">
        <w:rPr>
          <w:rFonts w:eastAsiaTheme="minorHAnsi"/>
        </w:rPr>
        <w:t>B.</w:t>
      </w:r>
      <w:r w:rsidRPr="00AF0CCF">
        <w:rPr>
          <w:rFonts w:eastAsiaTheme="minorHAnsi"/>
        </w:rPr>
        <w:tab/>
      </w:r>
      <w:r w:rsidR="00AF0CCF" w:rsidRPr="00AF0CCF">
        <w:rPr>
          <w:rFonts w:eastAsiaTheme="minorHAnsi"/>
        </w:rPr>
        <w:t xml:space="preserve">Delivering Impact: In what ways can the ITU deliver its existing mandate more effectively? </w:t>
      </w:r>
    </w:p>
    <w:p w14:paraId="60492791" w14:textId="5AB991B2" w:rsidR="00AF0CCF" w:rsidRPr="00AF0CCF" w:rsidRDefault="00B55F1B" w:rsidP="00B55F1B">
      <w:pPr>
        <w:pStyle w:val="enumlev1"/>
        <w:jc w:val="both"/>
        <w:rPr>
          <w:rFonts w:eastAsiaTheme="minorHAnsi"/>
        </w:rPr>
      </w:pPr>
      <w:r w:rsidRPr="00AF0CCF">
        <w:rPr>
          <w:rFonts w:eastAsiaTheme="minorHAnsi"/>
        </w:rPr>
        <w:t>C.</w:t>
      </w:r>
      <w:r w:rsidRPr="00AF0CCF">
        <w:rPr>
          <w:rFonts w:eastAsiaTheme="minorHAnsi"/>
        </w:rPr>
        <w:tab/>
      </w:r>
      <w:r w:rsidR="00AF0CCF" w:rsidRPr="00AF0CCF">
        <w:rPr>
          <w:rFonts w:eastAsiaTheme="minorHAnsi"/>
        </w:rPr>
        <w:t>Adapting to Change: Is it time for comprehensive ITU reforms to adapt and respond to the changing environment?</w:t>
      </w:r>
    </w:p>
    <w:p w14:paraId="717FCD99" w14:textId="3E19F986" w:rsidR="00AF0CCF" w:rsidRPr="00AF0CCF" w:rsidRDefault="00AF0CCF" w:rsidP="00B55F1B">
      <w:pPr>
        <w:jc w:val="both"/>
      </w:pPr>
      <w:r w:rsidRPr="45072B42">
        <w:t>The discussions produced rich insights, underscoring the Membership’s shared commitment to an ITU that remains firmly anchored in its core mandate of delivering universal connectivity</w:t>
      </w:r>
      <w:r w:rsidR="70C6BC87" w:rsidRPr="45072B42">
        <w:t xml:space="preserve"> and sustainable digital transformation</w:t>
      </w:r>
      <w:r w:rsidRPr="45072B42">
        <w:t>, while remaining responsive to technological, institutional, and multilateral developments. Participants highlighted the importance of maintaining the Union’s relevance through agility and modernization, with proposals aimed at ensuring the organization continues to deliver value in a changing global context. The dialogue also brought forward ideas on enhancing operational efficiency, improving transparency, and deepening collaboration both within the ITU membership and across the wider UN system.</w:t>
      </w:r>
    </w:p>
    <w:p w14:paraId="4EFF6450" w14:textId="77777777" w:rsidR="00AF0CCF" w:rsidRPr="00AF0CCF" w:rsidRDefault="00AF0CCF" w:rsidP="00B55F1B">
      <w:pPr>
        <w:jc w:val="both"/>
      </w:pPr>
      <w:r w:rsidRPr="00AF0CCF">
        <w:t xml:space="preserve">The World Café process generated a set of seven recommendations, each accompanied by suggested sub-actions. They covered aspects such as institutional reform, strategic vision, operational performance, members’ engagement, technology-enabled governance, and coordination with membership and partners. </w:t>
      </w:r>
    </w:p>
    <w:p w14:paraId="4629A932" w14:textId="77777777" w:rsidR="00B55F1B" w:rsidRDefault="00AF0CCF" w:rsidP="00B55F1B">
      <w:pPr>
        <w:jc w:val="both"/>
        <w:rPr>
          <w:spacing w:val="-2"/>
        </w:rPr>
      </w:pPr>
      <w:r w:rsidRPr="00AF0CCF">
        <w:t xml:space="preserve">The Council Working Group for strategic and financial plans is invited to review these outcomes detailed below with a view to identifying how they could be integrated into the </w:t>
      </w:r>
      <w:r w:rsidRPr="00436777">
        <w:rPr>
          <w:spacing w:val="-2"/>
        </w:rPr>
        <w:t>Strategic Plan, Transformation Roadmap, future work of the Union and preparations for PP-26.</w:t>
      </w:r>
    </w:p>
    <w:p w14:paraId="36B8231C" w14:textId="49831E2E" w:rsidR="00AF0CCF" w:rsidRPr="00AF0CCF" w:rsidRDefault="00AF0CCF" w:rsidP="00B55F1B">
      <w:pPr>
        <w:jc w:val="both"/>
        <w:rPr>
          <w:b/>
          <w:bCs/>
        </w:rPr>
      </w:pPr>
      <w:r w:rsidRPr="00AF0CCF">
        <w:rPr>
          <w:b/>
          <w:bCs/>
        </w:rPr>
        <w:br w:type="page"/>
      </w:r>
    </w:p>
    <w:p w14:paraId="5127BF0A" w14:textId="6A392849" w:rsidR="00AF0CCF" w:rsidRPr="00AF0CCF" w:rsidRDefault="00AF0CCF" w:rsidP="00B55F1B">
      <w:pPr>
        <w:pStyle w:val="Annextitle"/>
      </w:pPr>
      <w:r w:rsidRPr="00AF0CCF">
        <w:lastRenderedPageBreak/>
        <w:t xml:space="preserve">Summary of </w:t>
      </w:r>
      <w:r w:rsidR="0057153B" w:rsidRPr="00AF0CCF">
        <w:t xml:space="preserve">feedback on themes </w:t>
      </w:r>
      <w:r w:rsidRPr="00AF0CCF">
        <w:t>of the ITU World Café</w:t>
      </w:r>
    </w:p>
    <w:p w14:paraId="7CD8C29D" w14:textId="1CE4C17A" w:rsidR="00AF0CCF" w:rsidRPr="00AF0CCF" w:rsidRDefault="00AF0CCF" w:rsidP="00B55F1B">
      <w:pPr>
        <w:pStyle w:val="Headingb"/>
      </w:pPr>
      <w:r w:rsidRPr="00AF0CCF">
        <w:t>Theme A</w:t>
      </w:r>
      <w:r w:rsidR="0057153B">
        <w:t xml:space="preserve"> –</w:t>
      </w:r>
      <w:r w:rsidRPr="00AF0CCF">
        <w:t xml:space="preserve"> ITU’s </w:t>
      </w:r>
      <w:r w:rsidR="0057153B" w:rsidRPr="00AF0CCF">
        <w:t xml:space="preserve">vision </w:t>
      </w:r>
      <w:r w:rsidRPr="00AF0CCF">
        <w:t>for 2031</w:t>
      </w:r>
    </w:p>
    <w:p w14:paraId="22AEF507" w14:textId="706259A8" w:rsidR="00AF0CCF" w:rsidRPr="00AF0CCF" w:rsidRDefault="00AF0CCF" w:rsidP="004C0A3A">
      <w:pPr>
        <w:pStyle w:val="Headingi"/>
      </w:pPr>
      <w:r w:rsidRPr="00AF0CCF">
        <w:t>Key findings</w:t>
      </w:r>
    </w:p>
    <w:p w14:paraId="2CFAC7EA" w14:textId="2C5F6C5A" w:rsidR="00AF0CCF" w:rsidRPr="00AF0CCF" w:rsidRDefault="004C0A3A" w:rsidP="004C0A3A">
      <w:pPr>
        <w:pStyle w:val="enumlev1"/>
        <w:jc w:val="both"/>
      </w:pPr>
      <w:r>
        <w:t>–</w:t>
      </w:r>
      <w:r>
        <w:tab/>
      </w:r>
      <w:r w:rsidR="00AF0CCF" w:rsidRPr="45072B42">
        <w:t xml:space="preserve">ITU’s mandate: Remain focused on the core mandate of universal connectivity, </w:t>
      </w:r>
      <w:r w:rsidR="05A2C7B2" w:rsidRPr="45072B42">
        <w:t xml:space="preserve">and sustainable digital transformation </w:t>
      </w:r>
      <w:r w:rsidR="00AF0CCF" w:rsidRPr="45072B42">
        <w:t>avoiding politicization, while evolving with emerging technologies.</w:t>
      </w:r>
    </w:p>
    <w:p w14:paraId="2BD42298" w14:textId="0B5B6C69" w:rsidR="00AF0CCF" w:rsidRPr="00AF0CCF" w:rsidRDefault="004C0A3A" w:rsidP="004C0A3A">
      <w:pPr>
        <w:pStyle w:val="enumlev1"/>
        <w:jc w:val="both"/>
        <w:rPr>
          <w:rFonts w:cstheme="minorHAnsi"/>
          <w:szCs w:val="24"/>
        </w:rPr>
      </w:pPr>
      <w:r>
        <w:t>–</w:t>
      </w:r>
      <w:r>
        <w:tab/>
      </w:r>
      <w:r w:rsidR="00AF0CCF" w:rsidRPr="00AF0CCF">
        <w:rPr>
          <w:rFonts w:cstheme="minorHAnsi"/>
          <w:szCs w:val="24"/>
        </w:rPr>
        <w:t>Agility and Relevance: Adapt the pace of work to align with rapid technological shifts to avoid irrelevance.</w:t>
      </w:r>
    </w:p>
    <w:p w14:paraId="043FD8BF" w14:textId="5118187D" w:rsidR="00AF0CCF" w:rsidRPr="00AF0CCF" w:rsidRDefault="004C0A3A" w:rsidP="004C0A3A">
      <w:pPr>
        <w:pStyle w:val="enumlev1"/>
        <w:jc w:val="both"/>
        <w:rPr>
          <w:rFonts w:cstheme="minorHAnsi"/>
          <w:szCs w:val="24"/>
        </w:rPr>
      </w:pPr>
      <w:r>
        <w:t>–</w:t>
      </w:r>
      <w:r>
        <w:tab/>
      </w:r>
      <w:r w:rsidR="00AF0CCF" w:rsidRPr="00AF0CCF">
        <w:rPr>
          <w:rFonts w:cstheme="minorHAnsi"/>
          <w:szCs w:val="24"/>
        </w:rPr>
        <w:t xml:space="preserve">Value Proposition: Strengthen ITU’s appeal to Member States and industry through increased and more effective communication of membership benefits. </w:t>
      </w:r>
    </w:p>
    <w:p w14:paraId="206ABB5B" w14:textId="5981F2FB" w:rsidR="00AF0CCF" w:rsidRPr="00AF0CCF" w:rsidRDefault="004C0A3A" w:rsidP="004C0A3A">
      <w:pPr>
        <w:pStyle w:val="enumlev1"/>
        <w:jc w:val="both"/>
        <w:rPr>
          <w:rFonts w:cstheme="minorHAnsi"/>
          <w:szCs w:val="24"/>
        </w:rPr>
      </w:pPr>
      <w:r>
        <w:t>–</w:t>
      </w:r>
      <w:r>
        <w:tab/>
      </w:r>
      <w:r w:rsidR="00AF0CCF" w:rsidRPr="00AF0CCF">
        <w:rPr>
          <w:rFonts w:cstheme="minorHAnsi"/>
          <w:szCs w:val="24"/>
        </w:rPr>
        <w:t>Global Leadership: Position ITU as a leading neutral platform for digital cooperation emphasizing our convening role and inclusive approach.</w:t>
      </w:r>
    </w:p>
    <w:p w14:paraId="39A24CBA" w14:textId="0EBC14B7" w:rsidR="00AF0CCF" w:rsidRPr="00AF0CCF" w:rsidRDefault="004C0A3A" w:rsidP="004C0A3A">
      <w:pPr>
        <w:pStyle w:val="enumlev1"/>
        <w:jc w:val="both"/>
      </w:pPr>
      <w:r>
        <w:t>–</w:t>
      </w:r>
      <w:r>
        <w:tab/>
      </w:r>
      <w:r w:rsidR="00AF0CCF" w:rsidRPr="45072B42">
        <w:t>Rebranding: Consider modernizing ITU’s image and potentially even its name to reflect a broader digital remit.</w:t>
      </w:r>
    </w:p>
    <w:p w14:paraId="4C31FFF2" w14:textId="404850C0" w:rsidR="00AF0CCF" w:rsidRPr="00AF0CCF" w:rsidRDefault="00AF0CCF" w:rsidP="00B55F1B">
      <w:pPr>
        <w:pStyle w:val="Headingb"/>
      </w:pPr>
      <w:r w:rsidRPr="00AF0CCF">
        <w:t>Theme B</w:t>
      </w:r>
      <w:r w:rsidR="0057153B">
        <w:t xml:space="preserve"> –</w:t>
      </w:r>
      <w:r w:rsidRPr="00AF0CCF">
        <w:t xml:space="preserve"> Delivering </w:t>
      </w:r>
      <w:r w:rsidR="0057153B" w:rsidRPr="00AF0CCF">
        <w:t>impact</w:t>
      </w:r>
    </w:p>
    <w:p w14:paraId="3534B2BE" w14:textId="11B59CDB" w:rsidR="00AF0CCF" w:rsidRPr="00AF0CCF" w:rsidRDefault="00AF0CCF" w:rsidP="004C0A3A">
      <w:pPr>
        <w:pStyle w:val="Headingi"/>
      </w:pPr>
      <w:r w:rsidRPr="00AF0CCF">
        <w:t>Key findings</w:t>
      </w:r>
    </w:p>
    <w:p w14:paraId="41B9F5F8" w14:textId="02D5B0D0" w:rsidR="00AF0CCF" w:rsidRPr="00AF0CCF" w:rsidRDefault="004C0A3A" w:rsidP="004C0A3A">
      <w:pPr>
        <w:pStyle w:val="enumlev1"/>
        <w:jc w:val="both"/>
      </w:pPr>
      <w:r>
        <w:t>–</w:t>
      </w:r>
      <w:r>
        <w:tab/>
      </w:r>
      <w:r w:rsidR="00AF0CCF" w:rsidRPr="00AF0CCF">
        <w:t>Capacity Building: Scale training, especially in Africa and developing regions though Centres of Excellence, technical assistance, skills development and the Partner to Connect Initiative.</w:t>
      </w:r>
    </w:p>
    <w:p w14:paraId="161E07DC" w14:textId="66C3E3E8" w:rsidR="00AF0CCF" w:rsidRPr="00AF0CCF" w:rsidRDefault="004C0A3A" w:rsidP="004C0A3A">
      <w:pPr>
        <w:pStyle w:val="enumlev1"/>
        <w:jc w:val="both"/>
      </w:pPr>
      <w:r>
        <w:t>–</w:t>
      </w:r>
      <w:r>
        <w:tab/>
      </w:r>
      <w:r w:rsidR="00AF0CCF" w:rsidRPr="00AF0CCF">
        <w:t>Partnerships: Strengthen engagement with industry, academia and multistakeholder initiatives.</w:t>
      </w:r>
    </w:p>
    <w:p w14:paraId="19203174" w14:textId="3543BF59" w:rsidR="00AF0CCF" w:rsidRPr="00AF0CCF" w:rsidRDefault="004C0A3A" w:rsidP="004C0A3A">
      <w:pPr>
        <w:pStyle w:val="enumlev1"/>
        <w:jc w:val="both"/>
      </w:pPr>
      <w:r>
        <w:t>–</w:t>
      </w:r>
      <w:r>
        <w:tab/>
      </w:r>
      <w:r w:rsidR="00AF0CCF" w:rsidRPr="00AF0CCF">
        <w:t>Measurement of Results: Move from measuring outputs to measuring impact when tracking progress on digital skills, infrastructure development, digital resilience and inclusivity.</w:t>
      </w:r>
    </w:p>
    <w:p w14:paraId="03160144" w14:textId="09178BFF" w:rsidR="00AF0CCF" w:rsidRPr="00AF0CCF" w:rsidRDefault="004C0A3A" w:rsidP="004C0A3A">
      <w:pPr>
        <w:pStyle w:val="enumlev1"/>
        <w:jc w:val="both"/>
      </w:pPr>
      <w:r>
        <w:t>–</w:t>
      </w:r>
      <w:r>
        <w:tab/>
      </w:r>
      <w:r w:rsidR="00AF0CCF" w:rsidRPr="00AF0CCF">
        <w:t>Operational Efficiency: Improve alignment between policy, strategy, and execution and streamline internal procedures to speed up delivery.</w:t>
      </w:r>
    </w:p>
    <w:p w14:paraId="7E3B442C" w14:textId="32A0B8EC" w:rsidR="00AF0CCF" w:rsidRPr="00AF0CCF" w:rsidRDefault="004C0A3A" w:rsidP="004C0A3A">
      <w:pPr>
        <w:pStyle w:val="enumlev1"/>
        <w:jc w:val="both"/>
      </w:pPr>
      <w:r>
        <w:t>–</w:t>
      </w:r>
      <w:r>
        <w:tab/>
      </w:r>
      <w:r w:rsidR="00AF0CCF" w:rsidRPr="00AF0CCF">
        <w:t>Transparency and Member Engagement: Enhance information sharing on budgets and operational plans so members can make informed decisions.</w:t>
      </w:r>
    </w:p>
    <w:p w14:paraId="73CC52B1" w14:textId="0F2736E7" w:rsidR="00AF0CCF" w:rsidRPr="00AF0CCF" w:rsidRDefault="00AF0CCF" w:rsidP="00B55F1B">
      <w:pPr>
        <w:pStyle w:val="Headingb"/>
      </w:pPr>
      <w:r w:rsidRPr="00AF0CCF">
        <w:t>Theme C</w:t>
      </w:r>
      <w:r w:rsidR="0057153B">
        <w:t xml:space="preserve"> –</w:t>
      </w:r>
      <w:r w:rsidRPr="00AF0CCF">
        <w:t xml:space="preserve"> Adapting to Change </w:t>
      </w:r>
    </w:p>
    <w:p w14:paraId="008D51C8" w14:textId="7F4F30BB" w:rsidR="00AF0CCF" w:rsidRPr="00AF0CCF" w:rsidRDefault="00AF0CCF" w:rsidP="004C0A3A">
      <w:pPr>
        <w:pStyle w:val="Headingi"/>
      </w:pPr>
      <w:r w:rsidRPr="00AF0CCF">
        <w:t>Key findings</w:t>
      </w:r>
    </w:p>
    <w:p w14:paraId="48871456" w14:textId="1F9E0190" w:rsidR="00AF0CCF" w:rsidRPr="00AF0CCF" w:rsidRDefault="004C0A3A" w:rsidP="0057153B">
      <w:pPr>
        <w:pStyle w:val="enumlev1"/>
        <w:jc w:val="both"/>
      </w:pPr>
      <w:r>
        <w:t>–</w:t>
      </w:r>
      <w:r>
        <w:tab/>
      </w:r>
      <w:r w:rsidR="00AF0CCF" w:rsidRPr="004C0A3A">
        <w:t>Openness and the necessity of change: Embrace a culture of openness in all spheres of operation. Change is not optional, it is a necessity for ensuring the ITU continues to</w:t>
      </w:r>
      <w:r w:rsidR="00AF0CCF" w:rsidRPr="00AF0CCF">
        <w:t xml:space="preserve"> deliver on its mandate while adapting to emerging technologies, new actors, and shifting global priorities.</w:t>
      </w:r>
    </w:p>
    <w:p w14:paraId="0124074E" w14:textId="47AC94DA" w:rsidR="00AF0CCF" w:rsidRPr="00AF0CCF" w:rsidRDefault="004C0A3A" w:rsidP="0057153B">
      <w:pPr>
        <w:pStyle w:val="enumlev1"/>
        <w:jc w:val="both"/>
      </w:pPr>
      <w:r>
        <w:t>–</w:t>
      </w:r>
      <w:r>
        <w:tab/>
      </w:r>
      <w:r w:rsidR="00AF0CCF" w:rsidRPr="00AF0CCF">
        <w:t>Governance: Consider a holistic review of the Constitution and Convention, streamline the institutional structure and reduce governance bureaucracy.</w:t>
      </w:r>
    </w:p>
    <w:p w14:paraId="5E38F507" w14:textId="2B4DDDB2" w:rsidR="00AF0CCF" w:rsidRPr="00AF0CCF" w:rsidRDefault="004C0A3A" w:rsidP="0057153B">
      <w:pPr>
        <w:pStyle w:val="enumlev1"/>
        <w:jc w:val="both"/>
      </w:pPr>
      <w:r>
        <w:t>–</w:t>
      </w:r>
      <w:r>
        <w:tab/>
      </w:r>
      <w:r w:rsidR="00AF0CCF" w:rsidRPr="00AF0CCF">
        <w:t>Internal Operations: Increase efficiency in financial and HR management; foster “One ITU” coordination across sectors.</w:t>
      </w:r>
    </w:p>
    <w:p w14:paraId="4A1D0880" w14:textId="722873DB" w:rsidR="00AF0CCF" w:rsidRPr="00AF0CCF" w:rsidRDefault="004C0A3A" w:rsidP="0057153B">
      <w:pPr>
        <w:pStyle w:val="enumlev1"/>
        <w:jc w:val="both"/>
      </w:pPr>
      <w:r>
        <w:lastRenderedPageBreak/>
        <w:t>–</w:t>
      </w:r>
      <w:r>
        <w:tab/>
      </w:r>
      <w:r w:rsidR="00AF0CCF" w:rsidRPr="00AF0CCF">
        <w:t>Use of Technology: Integrate AI and emerging tech into ITU’s own operations (administration, Governing Body processes and project management) and help guide membership and the UN in their digital transformation journeys.</w:t>
      </w:r>
    </w:p>
    <w:p w14:paraId="56DBFE93" w14:textId="40D7B450" w:rsidR="00AF0CCF" w:rsidRPr="00AF0CCF" w:rsidRDefault="004C0A3A" w:rsidP="0057153B">
      <w:pPr>
        <w:pStyle w:val="enumlev1"/>
        <w:jc w:val="both"/>
      </w:pPr>
      <w:r>
        <w:t>–</w:t>
      </w:r>
      <w:r>
        <w:tab/>
      </w:r>
      <w:r w:rsidR="00AF0CCF" w:rsidRPr="00AF0CCF">
        <w:t xml:space="preserve">Collaboration: Coordinate better with other UN agencies and global initiatives to avoid duplication. </w:t>
      </w:r>
    </w:p>
    <w:p w14:paraId="50C232B4" w14:textId="3445E78E" w:rsidR="00AF0CCF" w:rsidRPr="00AF0CCF" w:rsidRDefault="004C0A3A" w:rsidP="0057153B">
      <w:pPr>
        <w:pStyle w:val="enumlev1"/>
        <w:jc w:val="both"/>
      </w:pPr>
      <w:r>
        <w:t>–</w:t>
      </w:r>
      <w:r>
        <w:tab/>
      </w:r>
      <w:r w:rsidR="00AF0CCF" w:rsidRPr="00AF0CCF">
        <w:t>Decision-making: Modernize decision-making to be more adaptive and responsive to member needs. Assess the consensus-based decision-making approach to ensure it supports timely and effective progress while maintaining inclusivity.</w:t>
      </w:r>
    </w:p>
    <w:p w14:paraId="7A956BD2" w14:textId="147CC869" w:rsidR="00AF0CCF" w:rsidRPr="00AF0CCF" w:rsidRDefault="00AF0CCF" w:rsidP="0057153B">
      <w:pPr>
        <w:pStyle w:val="Headingb"/>
        <w:jc w:val="both"/>
      </w:pPr>
      <w:r w:rsidRPr="00AF0CCF">
        <w:t xml:space="preserve">Recommendations and </w:t>
      </w:r>
      <w:r w:rsidR="0057153B" w:rsidRPr="00AF0CCF">
        <w:t>sub</w:t>
      </w:r>
      <w:r w:rsidRPr="00AF0CCF">
        <w:t xml:space="preserve">-actions </w:t>
      </w:r>
    </w:p>
    <w:p w14:paraId="51565ED5" w14:textId="04F827FE" w:rsidR="00AF0CCF" w:rsidRPr="00AF0CCF" w:rsidRDefault="00B55F1B" w:rsidP="0057153B">
      <w:pPr>
        <w:jc w:val="both"/>
      </w:pPr>
      <w:r w:rsidRPr="00AF0CCF">
        <w:t>1</w:t>
      </w:r>
      <w:r w:rsidRPr="00AF0CCF">
        <w:tab/>
      </w:r>
      <w:r w:rsidR="00AF0CCF" w:rsidRPr="00AF0CCF">
        <w:t xml:space="preserve">Reimagine the ITU </w:t>
      </w:r>
    </w:p>
    <w:p w14:paraId="798101D8" w14:textId="3B16E2F2" w:rsidR="00AF0CCF" w:rsidRPr="00AF0CCF" w:rsidRDefault="00B55F1B" w:rsidP="0057153B">
      <w:pPr>
        <w:pStyle w:val="enumlev1"/>
        <w:jc w:val="both"/>
      </w:pPr>
      <w:r w:rsidRPr="004C0A3A">
        <w:rPr>
          <w:i/>
          <w:iCs/>
        </w:rPr>
        <w:t>a</w:t>
      </w:r>
      <w:r w:rsidR="004C0A3A" w:rsidRPr="004C0A3A">
        <w:rPr>
          <w:i/>
          <w:iCs/>
        </w:rPr>
        <w:t>)</w:t>
      </w:r>
      <w:r w:rsidRPr="00AF0CCF">
        <w:tab/>
      </w:r>
      <w:r w:rsidR="00AF0CCF" w:rsidRPr="00AF0CCF">
        <w:t>Identify and implement quick wins to make Governing Body processes more efficient and strategic.</w:t>
      </w:r>
    </w:p>
    <w:p w14:paraId="6530ADF5" w14:textId="54061887" w:rsidR="00AF0CCF" w:rsidRPr="00AF0CCF" w:rsidRDefault="00B55F1B" w:rsidP="0057153B">
      <w:pPr>
        <w:pStyle w:val="enumlev1"/>
        <w:jc w:val="both"/>
      </w:pPr>
      <w:r w:rsidRPr="004C0A3A">
        <w:rPr>
          <w:i/>
          <w:iCs/>
        </w:rPr>
        <w:t>b</w:t>
      </w:r>
      <w:r w:rsidR="004C0A3A" w:rsidRPr="004C0A3A">
        <w:rPr>
          <w:i/>
          <w:iCs/>
        </w:rPr>
        <w:t>)</w:t>
      </w:r>
      <w:r w:rsidRPr="00AF0CCF">
        <w:tab/>
      </w:r>
      <w:r w:rsidR="00AF0CCF" w:rsidRPr="00AF0CCF">
        <w:t>Launch a visioning group ahead of PP-26 to assess structure, governance, and strategic alignment.</w:t>
      </w:r>
    </w:p>
    <w:p w14:paraId="178E7ED3" w14:textId="423B2E4A" w:rsidR="00AF0CCF" w:rsidRPr="00AF0CCF" w:rsidRDefault="00B55F1B" w:rsidP="0057153B">
      <w:pPr>
        <w:pStyle w:val="enumlev1"/>
        <w:jc w:val="both"/>
      </w:pPr>
      <w:r w:rsidRPr="004C0A3A">
        <w:rPr>
          <w:i/>
          <w:iCs/>
        </w:rPr>
        <w:t>c</w:t>
      </w:r>
      <w:r w:rsidR="004C0A3A" w:rsidRPr="004C0A3A">
        <w:rPr>
          <w:i/>
          <w:iCs/>
        </w:rPr>
        <w:t>)</w:t>
      </w:r>
      <w:r w:rsidRPr="00AF0CCF">
        <w:tab/>
      </w:r>
      <w:r w:rsidR="00AF0CCF" w:rsidRPr="00AF0CCF">
        <w:t>Examine the Constitution and Convention for potential modernization.</w:t>
      </w:r>
    </w:p>
    <w:p w14:paraId="50A430EE" w14:textId="736B9363" w:rsidR="00AF0CCF" w:rsidRPr="00AF0CCF" w:rsidRDefault="00B55F1B" w:rsidP="0057153B">
      <w:pPr>
        <w:jc w:val="both"/>
      </w:pPr>
      <w:r w:rsidRPr="00AF0CCF">
        <w:t>2</w:t>
      </w:r>
      <w:r w:rsidRPr="00AF0CCF">
        <w:tab/>
      </w:r>
      <w:r w:rsidR="00AF0CCF" w:rsidRPr="00AF0CCF">
        <w:t>Reinforce ITU’s Core Mandate while Embracing Emerging Technologies</w:t>
      </w:r>
    </w:p>
    <w:p w14:paraId="45F5F0DA" w14:textId="4D815156" w:rsidR="00AF0CCF" w:rsidRPr="00AF0CCF" w:rsidRDefault="00B55F1B" w:rsidP="0057153B">
      <w:pPr>
        <w:pStyle w:val="enumlev1"/>
        <w:jc w:val="both"/>
      </w:pPr>
      <w:r w:rsidRPr="004C0A3A">
        <w:rPr>
          <w:i/>
          <w:iCs/>
        </w:rPr>
        <w:t>a</w:t>
      </w:r>
      <w:r w:rsidR="004C0A3A" w:rsidRPr="004C0A3A">
        <w:rPr>
          <w:i/>
          <w:iCs/>
        </w:rPr>
        <w:t>)</w:t>
      </w:r>
      <w:r w:rsidRPr="00AF0CCF">
        <w:tab/>
      </w:r>
      <w:r w:rsidR="00AF0CCF" w:rsidRPr="45072B42">
        <w:t xml:space="preserve">Focus on universal connectivity </w:t>
      </w:r>
      <w:r w:rsidR="220829C4" w:rsidRPr="45072B42">
        <w:t xml:space="preserve">and sustainable digital transformation </w:t>
      </w:r>
      <w:r w:rsidR="00AF0CCF" w:rsidRPr="45072B42">
        <w:t>as the foundation of ITU’s work and as platform for use of emerging technologies.</w:t>
      </w:r>
    </w:p>
    <w:p w14:paraId="0725C599" w14:textId="08D2D900" w:rsidR="00AF0CCF" w:rsidRPr="00AF0CCF" w:rsidRDefault="00B55F1B" w:rsidP="0057153B">
      <w:pPr>
        <w:pStyle w:val="enumlev1"/>
        <w:jc w:val="both"/>
        <w:rPr>
          <w:rFonts w:cstheme="minorHAnsi"/>
          <w:szCs w:val="24"/>
        </w:rPr>
      </w:pPr>
      <w:r w:rsidRPr="004C0A3A">
        <w:rPr>
          <w:rFonts w:cstheme="minorHAnsi"/>
          <w:i/>
          <w:iCs/>
          <w:szCs w:val="24"/>
        </w:rPr>
        <w:t>b</w:t>
      </w:r>
      <w:r w:rsidR="004C0A3A" w:rsidRPr="004C0A3A">
        <w:rPr>
          <w:rFonts w:cstheme="minorHAnsi"/>
          <w:i/>
          <w:iCs/>
          <w:szCs w:val="24"/>
        </w:rPr>
        <w:t>)</w:t>
      </w:r>
      <w:r w:rsidRPr="00AF0CCF">
        <w:rPr>
          <w:rFonts w:cstheme="minorHAnsi"/>
          <w:szCs w:val="24"/>
        </w:rPr>
        <w:tab/>
      </w:r>
      <w:r w:rsidR="00AF0CCF" w:rsidRPr="00AF0CCF">
        <w:rPr>
          <w:rFonts w:cstheme="minorHAnsi"/>
          <w:szCs w:val="24"/>
        </w:rPr>
        <w:t>Accelerate bridging the digital divide by strengthening work on connectivity, affordability, digital skills.</w:t>
      </w:r>
    </w:p>
    <w:p w14:paraId="4F1A2F5C" w14:textId="4AC601B9" w:rsidR="00AF0CCF" w:rsidRPr="00AF0CCF" w:rsidRDefault="00B55F1B" w:rsidP="0057153B">
      <w:pPr>
        <w:pStyle w:val="enumlev1"/>
        <w:jc w:val="both"/>
        <w:rPr>
          <w:rFonts w:cstheme="minorHAnsi"/>
          <w:szCs w:val="24"/>
        </w:rPr>
      </w:pPr>
      <w:r w:rsidRPr="004C0A3A">
        <w:rPr>
          <w:rFonts w:cstheme="minorHAnsi"/>
          <w:i/>
          <w:iCs/>
          <w:szCs w:val="24"/>
        </w:rPr>
        <w:t>c</w:t>
      </w:r>
      <w:r w:rsidR="004C0A3A" w:rsidRPr="004C0A3A">
        <w:rPr>
          <w:rFonts w:cstheme="minorHAnsi"/>
          <w:i/>
          <w:iCs/>
          <w:szCs w:val="24"/>
        </w:rPr>
        <w:t>)</w:t>
      </w:r>
      <w:r w:rsidRPr="00AF0CCF">
        <w:rPr>
          <w:rFonts w:cstheme="minorHAnsi"/>
          <w:szCs w:val="24"/>
        </w:rPr>
        <w:tab/>
      </w:r>
      <w:r w:rsidR="00AF0CCF" w:rsidRPr="00AF0CCF">
        <w:rPr>
          <w:rFonts w:cstheme="minorHAnsi"/>
          <w:szCs w:val="24"/>
        </w:rPr>
        <w:t xml:space="preserve">Expand Centres of Excellence, knowledge transfer and skilling for ITU membership. </w:t>
      </w:r>
    </w:p>
    <w:p w14:paraId="3A97BFC7" w14:textId="210B76F5" w:rsidR="00AF0CCF" w:rsidRPr="00AF0CCF" w:rsidRDefault="00B55F1B" w:rsidP="0057153B">
      <w:pPr>
        <w:pStyle w:val="enumlev1"/>
        <w:jc w:val="both"/>
        <w:rPr>
          <w:rFonts w:cstheme="minorHAnsi"/>
          <w:szCs w:val="24"/>
        </w:rPr>
      </w:pPr>
      <w:r w:rsidRPr="004C0A3A">
        <w:rPr>
          <w:rFonts w:cstheme="minorHAnsi"/>
          <w:i/>
          <w:iCs/>
          <w:szCs w:val="24"/>
        </w:rPr>
        <w:t>d</w:t>
      </w:r>
      <w:r w:rsidR="004C0A3A" w:rsidRPr="004C0A3A">
        <w:rPr>
          <w:rFonts w:cstheme="minorHAnsi"/>
          <w:i/>
          <w:iCs/>
          <w:szCs w:val="24"/>
        </w:rPr>
        <w:t>)</w:t>
      </w:r>
      <w:r w:rsidRPr="00AF0CCF">
        <w:rPr>
          <w:rFonts w:cstheme="minorHAnsi"/>
          <w:szCs w:val="24"/>
        </w:rPr>
        <w:tab/>
      </w:r>
      <w:r w:rsidR="00AF0CCF" w:rsidRPr="00AF0CCF">
        <w:rPr>
          <w:rFonts w:cstheme="minorHAnsi"/>
          <w:szCs w:val="24"/>
        </w:rPr>
        <w:t>Deepen the integration of AI, space, and other advanced technologies in standards and policy work.</w:t>
      </w:r>
    </w:p>
    <w:p w14:paraId="019CECAA" w14:textId="3F7E9BF7" w:rsidR="00AF0CCF" w:rsidRPr="00AF0CCF" w:rsidRDefault="00B55F1B" w:rsidP="0057153B">
      <w:pPr>
        <w:jc w:val="both"/>
      </w:pPr>
      <w:r w:rsidRPr="00AF0CCF">
        <w:t>3</w:t>
      </w:r>
      <w:r w:rsidRPr="00AF0CCF">
        <w:tab/>
      </w:r>
      <w:r w:rsidR="00AF0CCF" w:rsidRPr="00AF0CCF">
        <w:t>Strengthen ITU’s Value Proposition and Branding</w:t>
      </w:r>
    </w:p>
    <w:p w14:paraId="7C2FE842" w14:textId="59CAFB62" w:rsidR="00AF0CCF" w:rsidRPr="00AF0CCF" w:rsidRDefault="00B55F1B" w:rsidP="0057153B">
      <w:pPr>
        <w:pStyle w:val="enumlev1"/>
        <w:jc w:val="both"/>
      </w:pPr>
      <w:r w:rsidRPr="004C0A3A">
        <w:rPr>
          <w:i/>
          <w:iCs/>
        </w:rPr>
        <w:t>a</w:t>
      </w:r>
      <w:r w:rsidR="004C0A3A" w:rsidRPr="004C0A3A">
        <w:rPr>
          <w:i/>
          <w:iCs/>
        </w:rPr>
        <w:t>)</w:t>
      </w:r>
      <w:r w:rsidRPr="00AF0CCF">
        <w:tab/>
      </w:r>
      <w:r w:rsidR="00AF0CCF" w:rsidRPr="00AF0CCF">
        <w:t>Consider a refreshed brand (including name) that reflects the ITU’s modern digital role.</w:t>
      </w:r>
    </w:p>
    <w:p w14:paraId="54EE1626" w14:textId="2E197695" w:rsidR="00AF0CCF" w:rsidRPr="00AF0CCF" w:rsidRDefault="00B55F1B" w:rsidP="0057153B">
      <w:pPr>
        <w:pStyle w:val="enumlev1"/>
        <w:jc w:val="both"/>
      </w:pPr>
      <w:r w:rsidRPr="004C0A3A">
        <w:rPr>
          <w:i/>
          <w:iCs/>
        </w:rPr>
        <w:t>b</w:t>
      </w:r>
      <w:r w:rsidR="004C0A3A" w:rsidRPr="004C0A3A">
        <w:rPr>
          <w:i/>
          <w:iCs/>
        </w:rPr>
        <w:t>)</w:t>
      </w:r>
      <w:r w:rsidRPr="00AF0CCF">
        <w:tab/>
      </w:r>
      <w:r w:rsidR="00AF0CCF" w:rsidRPr="00AF0CCF">
        <w:t>Better articulate the benefits of membership to states and sector members.</w:t>
      </w:r>
    </w:p>
    <w:p w14:paraId="4CD4A405" w14:textId="21E6FDBC" w:rsidR="00AF0CCF" w:rsidRPr="00AF0CCF" w:rsidRDefault="00B55F1B" w:rsidP="0057153B">
      <w:pPr>
        <w:jc w:val="both"/>
      </w:pPr>
      <w:r w:rsidRPr="00AF0CCF">
        <w:t>4</w:t>
      </w:r>
      <w:r w:rsidRPr="00AF0CCF">
        <w:tab/>
      </w:r>
      <w:r w:rsidR="00AF0CCF" w:rsidRPr="00AF0CCF">
        <w:t>Enhance Operational Efficiency and Agility</w:t>
      </w:r>
    </w:p>
    <w:p w14:paraId="14A52318" w14:textId="75D8735D" w:rsidR="00AF0CCF" w:rsidRPr="00AF0CCF" w:rsidRDefault="00B55F1B" w:rsidP="0057153B">
      <w:pPr>
        <w:pStyle w:val="enumlev1"/>
        <w:jc w:val="both"/>
      </w:pPr>
      <w:r w:rsidRPr="004C0A3A">
        <w:rPr>
          <w:i/>
          <w:iCs/>
        </w:rPr>
        <w:t>a</w:t>
      </w:r>
      <w:r w:rsidR="004C0A3A" w:rsidRPr="004C0A3A">
        <w:rPr>
          <w:i/>
          <w:iCs/>
        </w:rPr>
        <w:t>)</w:t>
      </w:r>
      <w:r w:rsidRPr="00AF0CCF">
        <w:tab/>
      </w:r>
      <w:r w:rsidR="00AF0CCF" w:rsidRPr="00AF0CCF">
        <w:t>Streamline internal processes and improve cross-sector collaboration to achieve “One ITU”.</w:t>
      </w:r>
    </w:p>
    <w:p w14:paraId="1E4009F1" w14:textId="13660436" w:rsidR="00AF0CCF" w:rsidRPr="00AF0CCF" w:rsidRDefault="00B55F1B" w:rsidP="0057153B">
      <w:pPr>
        <w:pStyle w:val="enumlev1"/>
        <w:jc w:val="both"/>
      </w:pPr>
      <w:r w:rsidRPr="004C0A3A">
        <w:rPr>
          <w:i/>
          <w:iCs/>
        </w:rPr>
        <w:t>b</w:t>
      </w:r>
      <w:r w:rsidR="004C0A3A" w:rsidRPr="004C0A3A">
        <w:rPr>
          <w:i/>
          <w:iCs/>
        </w:rPr>
        <w:t>)</w:t>
      </w:r>
      <w:r w:rsidRPr="00AF0CCF">
        <w:tab/>
      </w:r>
      <w:r w:rsidR="00AF0CCF" w:rsidRPr="00AF0CCF">
        <w:t>Modernize internal decision-making to match industry pace.</w:t>
      </w:r>
    </w:p>
    <w:p w14:paraId="19CA1B33" w14:textId="4BBC411E" w:rsidR="00AF0CCF" w:rsidRPr="00AF0CCF" w:rsidRDefault="00B55F1B" w:rsidP="0057153B">
      <w:pPr>
        <w:jc w:val="both"/>
      </w:pPr>
      <w:r w:rsidRPr="00AF0CCF">
        <w:t>5</w:t>
      </w:r>
      <w:r w:rsidRPr="00AF0CCF">
        <w:tab/>
      </w:r>
      <w:r w:rsidR="00AF0CCF" w:rsidRPr="00AF0CCF">
        <w:t>Increase Transparency and Member Engagement</w:t>
      </w:r>
    </w:p>
    <w:p w14:paraId="7982334A" w14:textId="738BF9C3" w:rsidR="00AF0CCF" w:rsidRPr="00AF0CCF" w:rsidRDefault="00B55F1B" w:rsidP="0057153B">
      <w:pPr>
        <w:pStyle w:val="enumlev1"/>
        <w:jc w:val="both"/>
      </w:pPr>
      <w:r w:rsidRPr="004C0A3A">
        <w:rPr>
          <w:i/>
          <w:iCs/>
        </w:rPr>
        <w:t>a</w:t>
      </w:r>
      <w:r w:rsidR="004C0A3A" w:rsidRPr="004C0A3A">
        <w:rPr>
          <w:i/>
          <w:iCs/>
        </w:rPr>
        <w:t>)</w:t>
      </w:r>
      <w:r w:rsidRPr="00AF0CCF">
        <w:tab/>
      </w:r>
      <w:r w:rsidR="00AF0CCF" w:rsidRPr="00AF0CCF">
        <w:t>Improve communication of budgets, plans, and initiatives to empower membership decision-making.</w:t>
      </w:r>
    </w:p>
    <w:p w14:paraId="12F68DD4" w14:textId="145D3055" w:rsidR="00AF0CCF" w:rsidRPr="00AF0CCF" w:rsidRDefault="00B55F1B" w:rsidP="0057153B">
      <w:pPr>
        <w:pStyle w:val="enumlev1"/>
        <w:jc w:val="both"/>
      </w:pPr>
      <w:r w:rsidRPr="004C0A3A">
        <w:rPr>
          <w:i/>
          <w:iCs/>
        </w:rPr>
        <w:t>b</w:t>
      </w:r>
      <w:r w:rsidR="004C0A3A" w:rsidRPr="004C0A3A">
        <w:rPr>
          <w:i/>
          <w:iCs/>
        </w:rPr>
        <w:t>)</w:t>
      </w:r>
      <w:r w:rsidRPr="00AF0CCF">
        <w:tab/>
      </w:r>
      <w:r w:rsidR="00AF0CCF" w:rsidRPr="00AF0CCF">
        <w:t>Encourage and expand participation of broader government ministries and industry in the work of the ITU.</w:t>
      </w:r>
    </w:p>
    <w:p w14:paraId="17ABBFE1" w14:textId="5613EC91" w:rsidR="00AF0CCF" w:rsidRPr="00AF0CCF" w:rsidRDefault="00B55F1B" w:rsidP="0057153B">
      <w:pPr>
        <w:jc w:val="both"/>
      </w:pPr>
      <w:r w:rsidRPr="00AF0CCF">
        <w:t>6</w:t>
      </w:r>
      <w:r w:rsidRPr="00AF0CCF">
        <w:tab/>
      </w:r>
      <w:r w:rsidR="00AF0CCF" w:rsidRPr="00AF0CCF">
        <w:t>Adopt Technology-Enabled Governance</w:t>
      </w:r>
    </w:p>
    <w:p w14:paraId="32ECE79E" w14:textId="79CD4F7F" w:rsidR="00AF0CCF" w:rsidRPr="00AF0CCF" w:rsidRDefault="00B55F1B" w:rsidP="0057153B">
      <w:pPr>
        <w:pStyle w:val="enumlev1"/>
        <w:jc w:val="both"/>
      </w:pPr>
      <w:r w:rsidRPr="004C0A3A">
        <w:rPr>
          <w:i/>
          <w:iCs/>
        </w:rPr>
        <w:t>a</w:t>
      </w:r>
      <w:r w:rsidR="004C0A3A" w:rsidRPr="004C0A3A">
        <w:rPr>
          <w:i/>
          <w:iCs/>
        </w:rPr>
        <w:t>)</w:t>
      </w:r>
      <w:r w:rsidRPr="00AF0CCF">
        <w:tab/>
      </w:r>
      <w:r w:rsidR="00AF0CCF" w:rsidRPr="00AF0CCF">
        <w:t>Use AI and digital tools to enhance internal management, Governing Body processes and reporting.</w:t>
      </w:r>
    </w:p>
    <w:p w14:paraId="457E59D0" w14:textId="5F1C3736" w:rsidR="00AF0CCF" w:rsidRPr="00AF0CCF" w:rsidRDefault="00B55F1B" w:rsidP="0057153B">
      <w:pPr>
        <w:pStyle w:val="enumlev1"/>
        <w:jc w:val="both"/>
      </w:pPr>
      <w:r w:rsidRPr="004C0A3A">
        <w:rPr>
          <w:i/>
          <w:iCs/>
        </w:rPr>
        <w:t>b</w:t>
      </w:r>
      <w:r w:rsidR="004C0A3A" w:rsidRPr="004C0A3A">
        <w:rPr>
          <w:i/>
          <w:iCs/>
        </w:rPr>
        <w:t>)</w:t>
      </w:r>
      <w:r w:rsidRPr="00AF0CCF">
        <w:tab/>
      </w:r>
      <w:r w:rsidR="00AF0CCF" w:rsidRPr="00AF0CCF">
        <w:t>Promote AI for Good and responsible governance frameworks externally.</w:t>
      </w:r>
    </w:p>
    <w:p w14:paraId="1B4849FF" w14:textId="587EF6DF" w:rsidR="00AF0CCF" w:rsidRPr="00AF0CCF" w:rsidRDefault="00B55F1B" w:rsidP="004C0A3A">
      <w:r w:rsidRPr="00AF0CCF">
        <w:lastRenderedPageBreak/>
        <w:t>7</w:t>
      </w:r>
      <w:r w:rsidRPr="00AF0CCF">
        <w:tab/>
      </w:r>
      <w:r w:rsidR="00AF0CCF" w:rsidRPr="00AF0CCF">
        <w:t xml:space="preserve">Promote Collaboration </w:t>
      </w:r>
    </w:p>
    <w:p w14:paraId="3F4B6F6A" w14:textId="1A95148B" w:rsidR="00AF0CCF" w:rsidRPr="00AF0CCF" w:rsidRDefault="00B55F1B" w:rsidP="0057153B">
      <w:pPr>
        <w:pStyle w:val="enumlev1"/>
        <w:jc w:val="both"/>
      </w:pPr>
      <w:r w:rsidRPr="004C0A3A">
        <w:rPr>
          <w:i/>
          <w:iCs/>
        </w:rPr>
        <w:t>a</w:t>
      </w:r>
      <w:r w:rsidR="004C0A3A" w:rsidRPr="004C0A3A">
        <w:rPr>
          <w:i/>
          <w:iCs/>
        </w:rPr>
        <w:t>)</w:t>
      </w:r>
      <w:r w:rsidRPr="00AF0CCF">
        <w:tab/>
      </w:r>
      <w:r w:rsidR="00AF0CCF" w:rsidRPr="00AF0CCF">
        <w:t>Improve coordination with other UN and multilateral initiatives to avoid duplication.</w:t>
      </w:r>
    </w:p>
    <w:p w14:paraId="3030F9F8" w14:textId="4B8B5D82" w:rsidR="004F0FE8" w:rsidRPr="00AF0CCF" w:rsidRDefault="00B55F1B" w:rsidP="0057153B">
      <w:pPr>
        <w:pStyle w:val="enumlev1"/>
        <w:jc w:val="both"/>
      </w:pPr>
      <w:r w:rsidRPr="004C0A3A">
        <w:rPr>
          <w:i/>
          <w:iCs/>
        </w:rPr>
        <w:t>b</w:t>
      </w:r>
      <w:r w:rsidR="004C0A3A" w:rsidRPr="004C0A3A">
        <w:rPr>
          <w:i/>
          <w:iCs/>
        </w:rPr>
        <w:t>)</w:t>
      </w:r>
      <w:r w:rsidRPr="00AF0CCF">
        <w:tab/>
      </w:r>
      <w:r w:rsidR="00AF0CCF" w:rsidRPr="00AF0CCF">
        <w:t>Focus resources on areas where ITU has unique value (standards, spectrum, connectivity).</w:t>
      </w:r>
    </w:p>
    <w:p w14:paraId="5E7755F0" w14:textId="75BD1EC6" w:rsidR="004F0FE8" w:rsidRPr="004B51C8" w:rsidRDefault="004F0FE8" w:rsidP="004F0FE8">
      <w:pPr>
        <w:jc w:val="center"/>
      </w:pPr>
      <w:r>
        <w:t>______________</w:t>
      </w:r>
    </w:p>
    <w:sectPr w:rsidR="004F0FE8" w:rsidRPr="004B51C8" w:rsidSect="00AD3606">
      <w:footerReference w:type="default" r:id="rId13"/>
      <w:headerReference w:type="first" r:id="rId14"/>
      <w:footerReference w:type="first" r:id="rId15"/>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D3FE8" w14:textId="77777777" w:rsidR="00B2573C" w:rsidRDefault="00B2573C">
      <w:r>
        <w:separator/>
      </w:r>
    </w:p>
  </w:endnote>
  <w:endnote w:type="continuationSeparator" w:id="0">
    <w:p w14:paraId="18B9922F" w14:textId="77777777" w:rsidR="00B2573C" w:rsidRDefault="00B25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AF0CCF" w14:paraId="6E4A3E77" w14:textId="77777777" w:rsidTr="00810BE0">
      <w:trPr>
        <w:jc w:val="center"/>
      </w:trPr>
      <w:tc>
        <w:tcPr>
          <w:tcW w:w="1803" w:type="dxa"/>
          <w:vAlign w:val="center"/>
        </w:tcPr>
        <w:p w14:paraId="3125A905" w14:textId="77777777" w:rsidR="00EE49E8" w:rsidRDefault="00EE49E8" w:rsidP="00EE49E8">
          <w:pPr>
            <w:pStyle w:val="Header"/>
            <w:jc w:val="left"/>
            <w:rPr>
              <w:noProof/>
            </w:rPr>
          </w:pPr>
        </w:p>
      </w:tc>
      <w:tc>
        <w:tcPr>
          <w:tcW w:w="8261" w:type="dxa"/>
        </w:tcPr>
        <w:p w14:paraId="0CD1F900" w14:textId="5EA8385E" w:rsidR="00EE49E8" w:rsidRPr="00556096" w:rsidRDefault="00EE49E8" w:rsidP="00EA2E93">
          <w:pPr>
            <w:pStyle w:val="Header"/>
            <w:tabs>
              <w:tab w:val="left" w:pos="6167"/>
              <w:tab w:val="right" w:pos="8505"/>
              <w:tab w:val="right" w:pos="9639"/>
            </w:tabs>
            <w:jc w:val="left"/>
            <w:rPr>
              <w:rFonts w:ascii="Arial" w:hAnsi="Arial" w:cs="Arial"/>
              <w:b/>
              <w:bCs/>
              <w:szCs w:val="18"/>
              <w:lang w:val="it-IT"/>
            </w:rPr>
          </w:pPr>
          <w:r w:rsidRPr="005C13D4">
            <w:rPr>
              <w:bCs/>
              <w:lang w:val="fr-CH"/>
            </w:rPr>
            <w:tab/>
          </w:r>
          <w:r w:rsidR="00B82C1B" w:rsidRPr="00556096">
            <w:rPr>
              <w:bCs/>
              <w:lang w:val="it-IT"/>
            </w:rPr>
            <w:t>CWG-SFP-</w:t>
          </w:r>
          <w:r w:rsidR="004F0FE8" w:rsidRPr="00556096">
            <w:rPr>
              <w:bCs/>
              <w:lang w:val="it-IT"/>
            </w:rPr>
            <w:t>3</w:t>
          </w:r>
          <w:r w:rsidR="00B82C1B" w:rsidRPr="00556096">
            <w:rPr>
              <w:bCs/>
              <w:lang w:val="it-IT"/>
            </w:rPr>
            <w:t>/</w:t>
          </w:r>
          <w:r w:rsidR="00703861">
            <w:rPr>
              <w:bCs/>
              <w:lang w:val="it-IT"/>
            </w:rPr>
            <w:t>5</w:t>
          </w:r>
          <w:r w:rsidR="00A52C84" w:rsidRPr="00556096">
            <w:rPr>
              <w:bCs/>
              <w:lang w:val="it-IT"/>
            </w:rPr>
            <w:t>-E</w:t>
          </w:r>
          <w:r w:rsidRPr="00556096">
            <w:rPr>
              <w:bCs/>
              <w:lang w:val="it-IT"/>
            </w:rPr>
            <w:tab/>
          </w:r>
          <w:r>
            <w:fldChar w:fldCharType="begin"/>
          </w:r>
          <w:r w:rsidRPr="00556096">
            <w:rPr>
              <w:lang w:val="it-IT"/>
            </w:rPr>
            <w:instrText>PAGE</w:instrText>
          </w:r>
          <w:r>
            <w:fldChar w:fldCharType="separate"/>
          </w:r>
          <w:r w:rsidRPr="00556096">
            <w:rPr>
              <w:lang w:val="it-IT"/>
            </w:rPr>
            <w:t>1</w:t>
          </w:r>
          <w:r>
            <w:rPr>
              <w:noProof/>
            </w:rPr>
            <w:fldChar w:fldCharType="end"/>
          </w:r>
        </w:p>
      </w:tc>
    </w:tr>
  </w:tbl>
  <w:p w14:paraId="314B4C09" w14:textId="77777777" w:rsidR="00EE49E8" w:rsidRPr="00556096" w:rsidRDefault="00EE49E8" w:rsidP="00EE49E8">
    <w:pPr>
      <w:pStyle w:val="Header"/>
      <w:tabs>
        <w:tab w:val="left" w:pos="8080"/>
        <w:tab w:val="right" w:pos="9072"/>
      </w:tabs>
      <w:jc w:val="left"/>
      <w:rPr>
        <w:bCs/>
        <w:lang w:val="it-I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AF0CCF" w14:paraId="54CDD9A1" w14:textId="77777777" w:rsidTr="00A52C84">
      <w:trPr>
        <w:jc w:val="center"/>
      </w:trPr>
      <w:tc>
        <w:tcPr>
          <w:tcW w:w="3107" w:type="dxa"/>
          <w:vAlign w:val="center"/>
        </w:tcPr>
        <w:p w14:paraId="3976C815" w14:textId="7089B598" w:rsidR="00EE49E8" w:rsidRPr="00F633F9" w:rsidRDefault="0025570E" w:rsidP="00EE49E8">
          <w:pPr>
            <w:pStyle w:val="Header"/>
            <w:jc w:val="left"/>
            <w:rPr>
              <w:noProof/>
            </w:rPr>
          </w:pPr>
          <w:hyperlink r:id="rId1" w:history="1">
            <w:r w:rsidRPr="00F633F9">
              <w:rPr>
                <w:rStyle w:val="Hyperlink"/>
                <w:u w:val="none"/>
              </w:rPr>
              <w:t>council.itu.int/working-groups</w:t>
            </w:r>
          </w:hyperlink>
        </w:p>
      </w:tc>
      <w:tc>
        <w:tcPr>
          <w:tcW w:w="6957" w:type="dxa"/>
        </w:tcPr>
        <w:p w14:paraId="1CE69424" w14:textId="0158C5E0" w:rsidR="00EE49E8" w:rsidRPr="00556096" w:rsidRDefault="00EE49E8" w:rsidP="00EA2E93">
          <w:pPr>
            <w:pStyle w:val="Header"/>
            <w:tabs>
              <w:tab w:val="left" w:pos="4866"/>
              <w:tab w:val="right" w:pos="8505"/>
              <w:tab w:val="right" w:pos="9639"/>
            </w:tabs>
            <w:jc w:val="left"/>
            <w:rPr>
              <w:rFonts w:ascii="Arial" w:hAnsi="Arial" w:cs="Arial"/>
              <w:b/>
              <w:bCs/>
              <w:szCs w:val="18"/>
              <w:lang w:val="it-IT"/>
            </w:rPr>
          </w:pPr>
          <w:r>
            <w:rPr>
              <w:bCs/>
            </w:rPr>
            <w:tab/>
          </w:r>
          <w:r w:rsidR="00B82C1B" w:rsidRPr="00556096">
            <w:rPr>
              <w:bCs/>
              <w:lang w:val="it-IT"/>
            </w:rPr>
            <w:t>CWG-SFP</w:t>
          </w:r>
          <w:r w:rsidR="00F73B2C" w:rsidRPr="00556096">
            <w:rPr>
              <w:bCs/>
              <w:lang w:val="it-IT"/>
            </w:rPr>
            <w:t>-</w:t>
          </w:r>
          <w:r w:rsidR="004F0FE8" w:rsidRPr="00556096">
            <w:rPr>
              <w:bCs/>
              <w:lang w:val="it-IT"/>
            </w:rPr>
            <w:t>3</w:t>
          </w:r>
          <w:r w:rsidR="00205D4E" w:rsidRPr="00556096">
            <w:rPr>
              <w:bCs/>
              <w:lang w:val="it-IT"/>
            </w:rPr>
            <w:t>/</w:t>
          </w:r>
          <w:r w:rsidR="00F163A9">
            <w:rPr>
              <w:bCs/>
              <w:lang w:val="it-IT"/>
            </w:rPr>
            <w:t>5</w:t>
          </w:r>
          <w:r w:rsidRPr="00556096">
            <w:rPr>
              <w:bCs/>
              <w:lang w:val="it-IT"/>
            </w:rPr>
            <w:t>-E</w:t>
          </w:r>
          <w:r w:rsidRPr="00556096">
            <w:rPr>
              <w:bCs/>
              <w:lang w:val="it-IT"/>
            </w:rPr>
            <w:tab/>
          </w:r>
          <w:r>
            <w:fldChar w:fldCharType="begin"/>
          </w:r>
          <w:r w:rsidRPr="00556096">
            <w:rPr>
              <w:lang w:val="it-IT"/>
            </w:rPr>
            <w:instrText>PAGE</w:instrText>
          </w:r>
          <w:r>
            <w:fldChar w:fldCharType="separate"/>
          </w:r>
          <w:r w:rsidRPr="00556096">
            <w:rPr>
              <w:lang w:val="it-IT"/>
            </w:rPr>
            <w:t>1</w:t>
          </w:r>
          <w:r>
            <w:rPr>
              <w:noProof/>
            </w:rPr>
            <w:fldChar w:fldCharType="end"/>
          </w:r>
        </w:p>
      </w:tc>
    </w:tr>
  </w:tbl>
  <w:p w14:paraId="7822EA4C" w14:textId="77777777" w:rsidR="00A514A4" w:rsidRPr="00556096" w:rsidRDefault="00A514A4" w:rsidP="00EE49E8">
    <w:pPr>
      <w:pStyle w:val="Header"/>
      <w:tabs>
        <w:tab w:val="left" w:pos="8080"/>
        <w:tab w:val="right" w:pos="9072"/>
      </w:tabs>
      <w:jc w:val="right"/>
      <w:rPr>
        <w:bCs/>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8D3DE" w14:textId="77777777" w:rsidR="00B2573C" w:rsidRDefault="00B2573C">
      <w:r>
        <w:t>____________________</w:t>
      </w:r>
    </w:p>
  </w:footnote>
  <w:footnote w:type="continuationSeparator" w:id="0">
    <w:p w14:paraId="2B7DDEEB" w14:textId="77777777" w:rsidR="00B2573C" w:rsidRDefault="00B257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022F07CD" w14:textId="77777777" w:rsidTr="00F74694">
      <w:trPr>
        <w:trHeight w:val="1304"/>
        <w:jc w:val="center"/>
      </w:trPr>
      <w:tc>
        <w:tcPr>
          <w:tcW w:w="6546" w:type="dxa"/>
        </w:tcPr>
        <w:bookmarkStart w:id="11" w:name="_Hlk133422111"/>
        <w:p w14:paraId="09CCB96F" w14:textId="32E492F2" w:rsidR="00AD3606" w:rsidRPr="009621F8" w:rsidRDefault="00A75142" w:rsidP="00130599">
          <w:pPr>
            <w:pStyle w:val="Header"/>
            <w:jc w:val="left"/>
            <w:rPr>
              <w:rFonts w:ascii="Arial" w:hAnsi="Arial" w:cs="Arial"/>
              <w:b/>
              <w:bCs/>
              <w:color w:val="009CD6"/>
              <w:sz w:val="36"/>
              <w:szCs w:val="36"/>
            </w:rPr>
          </w:pPr>
          <w:r w:rsidRPr="00130599">
            <w:rPr>
              <w:rFonts w:ascii="Arial" w:hAnsi="Arial" w:cs="Arial"/>
              <w:b/>
              <w:bCs/>
              <w:noProof/>
              <w:color w:val="009CD6"/>
              <w:szCs w:val="18"/>
            </w:rPr>
            <mc:AlternateContent>
              <mc:Choice Requires="wps">
                <w:drawing>
                  <wp:anchor distT="0" distB="0" distL="114300" distR="114300" simplePos="0" relativeHeight="251658241" behindDoc="0" locked="0" layoutInCell="1" allowOverlap="1" wp14:anchorId="1C21F5B7" wp14:editId="336DDCC0">
                    <wp:simplePos x="0" y="0"/>
                    <wp:positionH relativeFrom="column">
                      <wp:posOffset>1428645</wp:posOffset>
                    </wp:positionH>
                    <wp:positionV relativeFrom="paragraph">
                      <wp:posOffset>2540</wp:posOffset>
                    </wp:positionV>
                    <wp:extent cx="3999230" cy="471170"/>
                    <wp:effectExtent l="0" t="0" r="127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solidFill>
                              <a:schemeClr val="bg1"/>
                            </a:solidFill>
                            <a:ln w="9525">
                              <a:noFill/>
                              <a:miter lim="800000"/>
                              <a:headEnd/>
                              <a:tailEnd/>
                            </a:ln>
                          </wps:spPr>
                          <wps:txbx>
                            <w:txbxContent>
                              <w:p w14:paraId="604DEFA8" w14:textId="6DC3AAD0" w:rsidR="00130599" w:rsidRDefault="00B82C1B" w:rsidP="005165E3">
                                <w:pPr>
                                  <w:spacing w:before="0"/>
                                  <w:ind w:left="-57"/>
                                </w:pPr>
                                <w:r w:rsidRPr="00F74694">
                                  <w:rPr>
                                    <w:b/>
                                    <w:bCs/>
                                    <w:szCs w:val="24"/>
                                  </w:rPr>
                                  <w:t xml:space="preserve">Council Working Group </w:t>
                                </w:r>
                                <w:r w:rsidRPr="00F74694">
                                  <w:rPr>
                                    <w:b/>
                                    <w:bCs/>
                                    <w:szCs w:val="24"/>
                                  </w:rPr>
                                  <w:br/>
                                </w:r>
                                <w:r>
                                  <w:rPr>
                                    <w:b/>
                                    <w:bCs/>
                                    <w:szCs w:val="24"/>
                                  </w:rPr>
                                  <w:t xml:space="preserve">for </w:t>
                                </w:r>
                                <w:r w:rsidRPr="005165E3">
                                  <w:rPr>
                                    <w:b/>
                                    <w:bCs/>
                                    <w:szCs w:val="24"/>
                                  </w:rPr>
                                  <w:t>strategic and financial plans 2028-2031</w:t>
                                </w:r>
                                <w:r w:rsidRPr="005165E3">
                                  <w:br/>
                                </w:r>
                                <w:r w:rsidR="004F0FE8" w:rsidRPr="005165E3">
                                  <w:rPr>
                                    <w:sz w:val="20"/>
                                  </w:rPr>
                                  <w:t>Third</w:t>
                                </w:r>
                                <w:r w:rsidRPr="005165E3">
                                  <w:rPr>
                                    <w:sz w:val="20"/>
                                  </w:rPr>
                                  <w:t xml:space="preserve"> </w:t>
                                </w:r>
                                <w:r w:rsidR="00727C44" w:rsidRPr="005165E3">
                                  <w:rPr>
                                    <w:sz w:val="20"/>
                                  </w:rPr>
                                  <w:t xml:space="preserve">meeting – </w:t>
                                </w:r>
                                <w:r w:rsidR="005165E3" w:rsidRPr="005165E3">
                                  <w:rPr>
                                    <w:sz w:val="20"/>
                                  </w:rPr>
                                  <w:t>From 8 to 9 September 2025</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C21F5B7" id="_x0000_t202" coordsize="21600,21600" o:spt="202" path="m,l,21600r21600,l21600,xe">
                    <v:stroke joinstyle="miter"/>
                    <v:path gradientshapeok="t" o:connecttype="rect"/>
                  </v:shapetype>
                  <v:shape id="Text Box 2" o:spid="_x0000_s1026" type="#_x0000_t202" style="position:absolute;margin-left:112.5pt;margin-top:.2pt;width:314.9pt;height:37.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" fillcolor="white [3212]" stroked="f">
                    <v:textbox style="mso-fit-shape-to-text:t" inset="1mm">
                      <w:txbxContent>
                        <w:p w14:paraId="604DEFA8" w14:textId="6DC3AAD0" w:rsidR="00130599" w:rsidRDefault="00B82C1B" w:rsidP="005165E3">
                          <w:pPr>
                            <w:spacing w:before="0"/>
                            <w:ind w:left="-57"/>
                          </w:pPr>
                          <w:r w:rsidRPr="00F74694">
                            <w:rPr>
                              <w:b/>
                              <w:bCs/>
                              <w:szCs w:val="24"/>
                            </w:rPr>
                            <w:t xml:space="preserve">Council Working Group </w:t>
                          </w:r>
                          <w:r w:rsidRPr="00F74694">
                            <w:rPr>
                              <w:b/>
                              <w:bCs/>
                              <w:szCs w:val="24"/>
                            </w:rPr>
                            <w:br/>
                          </w:r>
                          <w:r>
                            <w:rPr>
                              <w:b/>
                              <w:bCs/>
                              <w:szCs w:val="24"/>
                            </w:rPr>
                            <w:t xml:space="preserve">for </w:t>
                          </w:r>
                          <w:r w:rsidRPr="005165E3">
                            <w:rPr>
                              <w:b/>
                              <w:bCs/>
                              <w:szCs w:val="24"/>
                            </w:rPr>
                            <w:t>strategic and financial plans 2028-2031</w:t>
                          </w:r>
                          <w:r w:rsidRPr="005165E3">
                            <w:br/>
                          </w:r>
                          <w:r w:rsidR="004F0FE8" w:rsidRPr="005165E3">
                            <w:rPr>
                              <w:sz w:val="20"/>
                            </w:rPr>
                            <w:t>Third</w:t>
                          </w:r>
                          <w:r w:rsidRPr="005165E3">
                            <w:rPr>
                              <w:sz w:val="20"/>
                            </w:rPr>
                            <w:t xml:space="preserve"> </w:t>
                          </w:r>
                          <w:r w:rsidR="00727C44" w:rsidRPr="005165E3">
                            <w:rPr>
                              <w:sz w:val="20"/>
                            </w:rPr>
                            <w:t xml:space="preserve">meeting – </w:t>
                          </w:r>
                          <w:r w:rsidR="005165E3" w:rsidRPr="005165E3">
                            <w:rPr>
                              <w:sz w:val="20"/>
                            </w:rPr>
                            <w:t>From 8 to 9 September 2025</w:t>
                          </w:r>
                        </w:p>
                      </w:txbxContent>
                    </v:textbox>
                  </v:shape>
                </w:pict>
              </mc:Fallback>
            </mc:AlternateContent>
          </w:r>
          <w:r>
            <w:rPr>
              <w:rFonts w:ascii="Arial" w:hAnsi="Arial" w:cs="Arial"/>
              <w:b/>
              <w:bCs/>
              <w:noProof/>
              <w:color w:val="009CD6"/>
              <w:sz w:val="36"/>
              <w:szCs w:val="36"/>
            </w:rPr>
            <w:drawing>
              <wp:inline distT="0" distB="0" distL="0" distR="0" wp14:anchorId="4C7F6F20" wp14:editId="05E62D14">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3474" w:type="dxa"/>
        </w:tcPr>
        <w:p w14:paraId="0DF2900C" w14:textId="77777777" w:rsidR="00AD3606" w:rsidRDefault="00AD3606" w:rsidP="00AD3606">
          <w:pPr>
            <w:pStyle w:val="Header"/>
            <w:jc w:val="right"/>
            <w:rPr>
              <w:rFonts w:ascii="Arial" w:hAnsi="Arial" w:cs="Arial"/>
              <w:b/>
              <w:bCs/>
              <w:color w:val="009CD6"/>
              <w:szCs w:val="18"/>
            </w:rPr>
          </w:pPr>
        </w:p>
        <w:p w14:paraId="2D8CE318" w14:textId="77777777" w:rsidR="00AD3606" w:rsidRDefault="00AD3606" w:rsidP="00AD3606">
          <w:pPr>
            <w:pStyle w:val="Header"/>
            <w:jc w:val="right"/>
            <w:rPr>
              <w:rFonts w:ascii="Arial" w:hAnsi="Arial" w:cs="Arial"/>
              <w:b/>
              <w:bCs/>
              <w:color w:val="009CD6"/>
              <w:szCs w:val="18"/>
            </w:rPr>
          </w:pPr>
        </w:p>
        <w:p w14:paraId="10F0D52E" w14:textId="77777777"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1"/>
  <w:p w14:paraId="614AFEE4" w14:textId="004F73F2"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8240" behindDoc="0" locked="0" layoutInCell="1" allowOverlap="1" wp14:anchorId="363EA4CC" wp14:editId="1A159C50">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255612" id="Rectangle 5" o:spid="_x0000_s1026" style="position:absolute;margin-left:1.15pt;margin-top:43.75pt;width:7.35pt;height:3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1A03B8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15476B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FA2B9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84E2B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30AE9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C2D9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DADA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26C5D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DA6D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7EA5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FD5065"/>
    <w:multiLevelType w:val="hybridMultilevel"/>
    <w:tmpl w:val="DB5038A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5620AC9"/>
    <w:multiLevelType w:val="multilevel"/>
    <w:tmpl w:val="EF0EA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F80685"/>
    <w:multiLevelType w:val="multilevel"/>
    <w:tmpl w:val="0E3A39B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A13803"/>
    <w:multiLevelType w:val="multilevel"/>
    <w:tmpl w:val="07546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DB4C87"/>
    <w:multiLevelType w:val="multilevel"/>
    <w:tmpl w:val="BCF8F2A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5C45F9"/>
    <w:multiLevelType w:val="multilevel"/>
    <w:tmpl w:val="D3201D9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875C6C"/>
    <w:multiLevelType w:val="multilevel"/>
    <w:tmpl w:val="F1BA030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D202A6B"/>
    <w:multiLevelType w:val="multilevel"/>
    <w:tmpl w:val="58E82B0C"/>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47D4354"/>
    <w:multiLevelType w:val="multilevel"/>
    <w:tmpl w:val="E5C2F1E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6D3A82"/>
    <w:multiLevelType w:val="multilevel"/>
    <w:tmpl w:val="EF4E307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EFB7FAB"/>
    <w:multiLevelType w:val="multilevel"/>
    <w:tmpl w:val="2AD0C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BC6E57"/>
    <w:multiLevelType w:val="multilevel"/>
    <w:tmpl w:val="C406A07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74816267">
    <w:abstractNumId w:val="9"/>
  </w:num>
  <w:num w:numId="2" w16cid:durableId="1929579560">
    <w:abstractNumId w:val="7"/>
  </w:num>
  <w:num w:numId="3" w16cid:durableId="1183326557">
    <w:abstractNumId w:val="6"/>
  </w:num>
  <w:num w:numId="4" w16cid:durableId="580522942">
    <w:abstractNumId w:val="5"/>
  </w:num>
  <w:num w:numId="5" w16cid:durableId="445849269">
    <w:abstractNumId w:val="4"/>
  </w:num>
  <w:num w:numId="6" w16cid:durableId="6904640">
    <w:abstractNumId w:val="8"/>
  </w:num>
  <w:num w:numId="7" w16cid:durableId="2035036502">
    <w:abstractNumId w:val="3"/>
  </w:num>
  <w:num w:numId="8" w16cid:durableId="91711742">
    <w:abstractNumId w:val="2"/>
  </w:num>
  <w:num w:numId="9" w16cid:durableId="236131377">
    <w:abstractNumId w:val="1"/>
  </w:num>
  <w:num w:numId="10" w16cid:durableId="1214544125">
    <w:abstractNumId w:val="0"/>
  </w:num>
  <w:num w:numId="11" w16cid:durableId="886333588">
    <w:abstractNumId w:val="8"/>
  </w:num>
  <w:num w:numId="12" w16cid:durableId="1096942926">
    <w:abstractNumId w:val="3"/>
  </w:num>
  <w:num w:numId="13" w16cid:durableId="1656840449">
    <w:abstractNumId w:val="2"/>
  </w:num>
  <w:num w:numId="14" w16cid:durableId="698091111">
    <w:abstractNumId w:val="1"/>
  </w:num>
  <w:num w:numId="15" w16cid:durableId="857430058">
    <w:abstractNumId w:val="0"/>
  </w:num>
  <w:num w:numId="16" w16cid:durableId="566503223">
    <w:abstractNumId w:val="13"/>
  </w:num>
  <w:num w:numId="17" w16cid:durableId="1759446765">
    <w:abstractNumId w:val="11"/>
  </w:num>
  <w:num w:numId="18" w16cid:durableId="1198814477">
    <w:abstractNumId w:val="20"/>
  </w:num>
  <w:num w:numId="19" w16cid:durableId="2051369207">
    <w:abstractNumId w:val="17"/>
  </w:num>
  <w:num w:numId="20" w16cid:durableId="910576203">
    <w:abstractNumId w:val="18"/>
  </w:num>
  <w:num w:numId="21" w16cid:durableId="1513955135">
    <w:abstractNumId w:val="19"/>
  </w:num>
  <w:num w:numId="22" w16cid:durableId="1367825407">
    <w:abstractNumId w:val="12"/>
  </w:num>
  <w:num w:numId="23" w16cid:durableId="557783470">
    <w:abstractNumId w:val="15"/>
  </w:num>
  <w:num w:numId="24" w16cid:durableId="414014352">
    <w:abstractNumId w:val="14"/>
  </w:num>
  <w:num w:numId="25" w16cid:durableId="1939748783">
    <w:abstractNumId w:val="16"/>
  </w:num>
  <w:num w:numId="26" w16cid:durableId="1074860612">
    <w:abstractNumId w:val="21"/>
  </w:num>
  <w:num w:numId="27" w16cid:durableId="17568543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trackRevisions/>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F3F"/>
    <w:rsid w:val="00003A6D"/>
    <w:rsid w:val="000041A9"/>
    <w:rsid w:val="00004C8C"/>
    <w:rsid w:val="00006DB2"/>
    <w:rsid w:val="000120E4"/>
    <w:rsid w:val="00016D06"/>
    <w:rsid w:val="000210D4"/>
    <w:rsid w:val="00046146"/>
    <w:rsid w:val="000525A1"/>
    <w:rsid w:val="00063016"/>
    <w:rsid w:val="00066795"/>
    <w:rsid w:val="00076AF6"/>
    <w:rsid w:val="00085CF2"/>
    <w:rsid w:val="000A1525"/>
    <w:rsid w:val="000B1705"/>
    <w:rsid w:val="000C54A3"/>
    <w:rsid w:val="000D75B2"/>
    <w:rsid w:val="000F6AB8"/>
    <w:rsid w:val="001121F5"/>
    <w:rsid w:val="00130599"/>
    <w:rsid w:val="00131E18"/>
    <w:rsid w:val="001379D9"/>
    <w:rsid w:val="001400DC"/>
    <w:rsid w:val="00140CE1"/>
    <w:rsid w:val="00147C54"/>
    <w:rsid w:val="0016259B"/>
    <w:rsid w:val="0017539C"/>
    <w:rsid w:val="001756A8"/>
    <w:rsid w:val="00175AC2"/>
    <w:rsid w:val="0017609F"/>
    <w:rsid w:val="0017625E"/>
    <w:rsid w:val="001864B1"/>
    <w:rsid w:val="001A7D1D"/>
    <w:rsid w:val="001B0595"/>
    <w:rsid w:val="001B51DD"/>
    <w:rsid w:val="001C628E"/>
    <w:rsid w:val="001D1FAC"/>
    <w:rsid w:val="001D62DF"/>
    <w:rsid w:val="001E0F7B"/>
    <w:rsid w:val="001E0FBE"/>
    <w:rsid w:val="001E5FE7"/>
    <w:rsid w:val="001F3A98"/>
    <w:rsid w:val="00202BAF"/>
    <w:rsid w:val="00205D4E"/>
    <w:rsid w:val="002119FD"/>
    <w:rsid w:val="002130E0"/>
    <w:rsid w:val="00227AAB"/>
    <w:rsid w:val="002430CE"/>
    <w:rsid w:val="00244F7F"/>
    <w:rsid w:val="0025197E"/>
    <w:rsid w:val="0025570E"/>
    <w:rsid w:val="002608B7"/>
    <w:rsid w:val="00264425"/>
    <w:rsid w:val="00265875"/>
    <w:rsid w:val="0027303B"/>
    <w:rsid w:val="002734E1"/>
    <w:rsid w:val="0028109B"/>
    <w:rsid w:val="002A2188"/>
    <w:rsid w:val="002B1F58"/>
    <w:rsid w:val="002C1C7A"/>
    <w:rsid w:val="002C54E2"/>
    <w:rsid w:val="002E0AC3"/>
    <w:rsid w:val="002E1052"/>
    <w:rsid w:val="002F2D06"/>
    <w:rsid w:val="002F418F"/>
    <w:rsid w:val="0030160F"/>
    <w:rsid w:val="003017F4"/>
    <w:rsid w:val="00301AEE"/>
    <w:rsid w:val="003145DF"/>
    <w:rsid w:val="00320223"/>
    <w:rsid w:val="00322D0D"/>
    <w:rsid w:val="00361465"/>
    <w:rsid w:val="003877F5"/>
    <w:rsid w:val="003942D4"/>
    <w:rsid w:val="0039514F"/>
    <w:rsid w:val="003958A8"/>
    <w:rsid w:val="003A1F9C"/>
    <w:rsid w:val="003A4A38"/>
    <w:rsid w:val="003B29C2"/>
    <w:rsid w:val="003B61FD"/>
    <w:rsid w:val="003C20CA"/>
    <w:rsid w:val="003C2533"/>
    <w:rsid w:val="003C320A"/>
    <w:rsid w:val="003D2E43"/>
    <w:rsid w:val="003D5A7F"/>
    <w:rsid w:val="003D635C"/>
    <w:rsid w:val="003D71D8"/>
    <w:rsid w:val="004016E2"/>
    <w:rsid w:val="0040435A"/>
    <w:rsid w:val="00416A24"/>
    <w:rsid w:val="00416A30"/>
    <w:rsid w:val="00417184"/>
    <w:rsid w:val="0042059E"/>
    <w:rsid w:val="004247E5"/>
    <w:rsid w:val="00431D9E"/>
    <w:rsid w:val="00433CE8"/>
    <w:rsid w:val="00434A5C"/>
    <w:rsid w:val="00436777"/>
    <w:rsid w:val="00436AE2"/>
    <w:rsid w:val="004544D9"/>
    <w:rsid w:val="00472BAD"/>
    <w:rsid w:val="00484009"/>
    <w:rsid w:val="00490E72"/>
    <w:rsid w:val="00491157"/>
    <w:rsid w:val="004921C8"/>
    <w:rsid w:val="00495B0B"/>
    <w:rsid w:val="004A1B8B"/>
    <w:rsid w:val="004B51C8"/>
    <w:rsid w:val="004C0A3A"/>
    <w:rsid w:val="004D1851"/>
    <w:rsid w:val="004D599D"/>
    <w:rsid w:val="004D69A8"/>
    <w:rsid w:val="004E06D1"/>
    <w:rsid w:val="004E2EA5"/>
    <w:rsid w:val="004E3AEB"/>
    <w:rsid w:val="004F0FE8"/>
    <w:rsid w:val="00500CA4"/>
    <w:rsid w:val="0050223C"/>
    <w:rsid w:val="00507750"/>
    <w:rsid w:val="005165E3"/>
    <w:rsid w:val="005170FD"/>
    <w:rsid w:val="005243FF"/>
    <w:rsid w:val="00524E9C"/>
    <w:rsid w:val="005311D6"/>
    <w:rsid w:val="00536422"/>
    <w:rsid w:val="0054526E"/>
    <w:rsid w:val="005536C2"/>
    <w:rsid w:val="00556096"/>
    <w:rsid w:val="00564FBC"/>
    <w:rsid w:val="0057153B"/>
    <w:rsid w:val="005800BC"/>
    <w:rsid w:val="00582442"/>
    <w:rsid w:val="005A335D"/>
    <w:rsid w:val="005B0869"/>
    <w:rsid w:val="005C13D4"/>
    <w:rsid w:val="005C4CD3"/>
    <w:rsid w:val="005C77C0"/>
    <w:rsid w:val="005E2BD5"/>
    <w:rsid w:val="005E4F47"/>
    <w:rsid w:val="005F3269"/>
    <w:rsid w:val="005F7BEB"/>
    <w:rsid w:val="00603F4E"/>
    <w:rsid w:val="00610BB1"/>
    <w:rsid w:val="00612123"/>
    <w:rsid w:val="00615961"/>
    <w:rsid w:val="00623AE3"/>
    <w:rsid w:val="006261F4"/>
    <w:rsid w:val="00641859"/>
    <w:rsid w:val="0064611B"/>
    <w:rsid w:val="0064737F"/>
    <w:rsid w:val="006535F1"/>
    <w:rsid w:val="0065557D"/>
    <w:rsid w:val="00660D50"/>
    <w:rsid w:val="00662984"/>
    <w:rsid w:val="00663050"/>
    <w:rsid w:val="006716BB"/>
    <w:rsid w:val="00672325"/>
    <w:rsid w:val="00673F61"/>
    <w:rsid w:val="006973C8"/>
    <w:rsid w:val="006A4862"/>
    <w:rsid w:val="006B1859"/>
    <w:rsid w:val="006B6680"/>
    <w:rsid w:val="006B6DCC"/>
    <w:rsid w:val="00701C70"/>
    <w:rsid w:val="00702DEF"/>
    <w:rsid w:val="00703861"/>
    <w:rsid w:val="00706861"/>
    <w:rsid w:val="00707F7F"/>
    <w:rsid w:val="00715596"/>
    <w:rsid w:val="007247CF"/>
    <w:rsid w:val="00726B8C"/>
    <w:rsid w:val="00727C44"/>
    <w:rsid w:val="00733E53"/>
    <w:rsid w:val="0075051B"/>
    <w:rsid w:val="0077110E"/>
    <w:rsid w:val="00775655"/>
    <w:rsid w:val="007849D5"/>
    <w:rsid w:val="00786AAE"/>
    <w:rsid w:val="00793188"/>
    <w:rsid w:val="00794D34"/>
    <w:rsid w:val="007A7BA3"/>
    <w:rsid w:val="00806E3C"/>
    <w:rsid w:val="00810BE0"/>
    <w:rsid w:val="00813E5E"/>
    <w:rsid w:val="00816C2C"/>
    <w:rsid w:val="0083581B"/>
    <w:rsid w:val="00860EED"/>
    <w:rsid w:val="00863874"/>
    <w:rsid w:val="00864AFF"/>
    <w:rsid w:val="00865925"/>
    <w:rsid w:val="00870C17"/>
    <w:rsid w:val="00872B5C"/>
    <w:rsid w:val="00877BF2"/>
    <w:rsid w:val="00884F3A"/>
    <w:rsid w:val="00891503"/>
    <w:rsid w:val="008A2F06"/>
    <w:rsid w:val="008B4A6A"/>
    <w:rsid w:val="008C7E27"/>
    <w:rsid w:val="008F3822"/>
    <w:rsid w:val="008F7448"/>
    <w:rsid w:val="0090147A"/>
    <w:rsid w:val="0090389B"/>
    <w:rsid w:val="009173EF"/>
    <w:rsid w:val="00932906"/>
    <w:rsid w:val="00961860"/>
    <w:rsid w:val="00961B0B"/>
    <w:rsid w:val="00962D33"/>
    <w:rsid w:val="009B38C3"/>
    <w:rsid w:val="009B44BD"/>
    <w:rsid w:val="009D5F3F"/>
    <w:rsid w:val="009E17BD"/>
    <w:rsid w:val="009E485A"/>
    <w:rsid w:val="00A02A51"/>
    <w:rsid w:val="00A04CEC"/>
    <w:rsid w:val="00A27F92"/>
    <w:rsid w:val="00A32257"/>
    <w:rsid w:val="00A36D20"/>
    <w:rsid w:val="00A43C03"/>
    <w:rsid w:val="00A46CD0"/>
    <w:rsid w:val="00A514A4"/>
    <w:rsid w:val="00A52C84"/>
    <w:rsid w:val="00A55622"/>
    <w:rsid w:val="00A75142"/>
    <w:rsid w:val="00A83502"/>
    <w:rsid w:val="00AD15B3"/>
    <w:rsid w:val="00AD3606"/>
    <w:rsid w:val="00AD4A3D"/>
    <w:rsid w:val="00AF0CCF"/>
    <w:rsid w:val="00AF6E49"/>
    <w:rsid w:val="00B04A67"/>
    <w:rsid w:val="00B0583C"/>
    <w:rsid w:val="00B248BC"/>
    <w:rsid w:val="00B2573C"/>
    <w:rsid w:val="00B358B2"/>
    <w:rsid w:val="00B40A81"/>
    <w:rsid w:val="00B44910"/>
    <w:rsid w:val="00B55F1B"/>
    <w:rsid w:val="00B72267"/>
    <w:rsid w:val="00B73DD1"/>
    <w:rsid w:val="00B76EB6"/>
    <w:rsid w:val="00B7737B"/>
    <w:rsid w:val="00B824C8"/>
    <w:rsid w:val="00B82C1B"/>
    <w:rsid w:val="00B849D3"/>
    <w:rsid w:val="00B84B9D"/>
    <w:rsid w:val="00BA3A51"/>
    <w:rsid w:val="00BC251A"/>
    <w:rsid w:val="00BD032B"/>
    <w:rsid w:val="00BD0614"/>
    <w:rsid w:val="00BD094B"/>
    <w:rsid w:val="00BE2640"/>
    <w:rsid w:val="00BE34F0"/>
    <w:rsid w:val="00C01189"/>
    <w:rsid w:val="00C374DE"/>
    <w:rsid w:val="00C47AD4"/>
    <w:rsid w:val="00C52B67"/>
    <w:rsid w:val="00C52D81"/>
    <w:rsid w:val="00C55198"/>
    <w:rsid w:val="00C725C6"/>
    <w:rsid w:val="00C922C7"/>
    <w:rsid w:val="00CA6393"/>
    <w:rsid w:val="00CB18FF"/>
    <w:rsid w:val="00CB24AA"/>
    <w:rsid w:val="00CD0C08"/>
    <w:rsid w:val="00CD3C91"/>
    <w:rsid w:val="00CE03FB"/>
    <w:rsid w:val="00CE433C"/>
    <w:rsid w:val="00CF0161"/>
    <w:rsid w:val="00CF33F3"/>
    <w:rsid w:val="00D06183"/>
    <w:rsid w:val="00D143DF"/>
    <w:rsid w:val="00D22C42"/>
    <w:rsid w:val="00D45669"/>
    <w:rsid w:val="00D464CC"/>
    <w:rsid w:val="00D46BAA"/>
    <w:rsid w:val="00D522F6"/>
    <w:rsid w:val="00D53DA6"/>
    <w:rsid w:val="00D65041"/>
    <w:rsid w:val="00D67039"/>
    <w:rsid w:val="00D81D29"/>
    <w:rsid w:val="00D86E6C"/>
    <w:rsid w:val="00DB00D5"/>
    <w:rsid w:val="00DB1936"/>
    <w:rsid w:val="00DB3625"/>
    <w:rsid w:val="00DB384B"/>
    <w:rsid w:val="00DB7CAA"/>
    <w:rsid w:val="00DD636C"/>
    <w:rsid w:val="00DF0189"/>
    <w:rsid w:val="00E06FD5"/>
    <w:rsid w:val="00E10E80"/>
    <w:rsid w:val="00E124F0"/>
    <w:rsid w:val="00E227F3"/>
    <w:rsid w:val="00E420F7"/>
    <w:rsid w:val="00E4728B"/>
    <w:rsid w:val="00E545C6"/>
    <w:rsid w:val="00E60F04"/>
    <w:rsid w:val="00E63EFF"/>
    <w:rsid w:val="00E65B24"/>
    <w:rsid w:val="00E854E4"/>
    <w:rsid w:val="00E85B67"/>
    <w:rsid w:val="00E86DBF"/>
    <w:rsid w:val="00E91713"/>
    <w:rsid w:val="00E92569"/>
    <w:rsid w:val="00EA2E93"/>
    <w:rsid w:val="00EB0D6F"/>
    <w:rsid w:val="00EB2232"/>
    <w:rsid w:val="00EC5337"/>
    <w:rsid w:val="00EC7C07"/>
    <w:rsid w:val="00EE107C"/>
    <w:rsid w:val="00EE49E8"/>
    <w:rsid w:val="00F10B59"/>
    <w:rsid w:val="00F163A9"/>
    <w:rsid w:val="00F16BAB"/>
    <w:rsid w:val="00F2150A"/>
    <w:rsid w:val="00F231D8"/>
    <w:rsid w:val="00F44C00"/>
    <w:rsid w:val="00F45D2C"/>
    <w:rsid w:val="00F46C5F"/>
    <w:rsid w:val="00F632C0"/>
    <w:rsid w:val="00F633F9"/>
    <w:rsid w:val="00F66A26"/>
    <w:rsid w:val="00F73B2C"/>
    <w:rsid w:val="00F74694"/>
    <w:rsid w:val="00F86596"/>
    <w:rsid w:val="00F93FD4"/>
    <w:rsid w:val="00F94A63"/>
    <w:rsid w:val="00FA1C28"/>
    <w:rsid w:val="00FB1279"/>
    <w:rsid w:val="00FB6B76"/>
    <w:rsid w:val="00FB7596"/>
    <w:rsid w:val="00FE4077"/>
    <w:rsid w:val="00FE500D"/>
    <w:rsid w:val="00FE77D2"/>
    <w:rsid w:val="05A2C7B2"/>
    <w:rsid w:val="07C4EC43"/>
    <w:rsid w:val="0DF23B07"/>
    <w:rsid w:val="220829C4"/>
    <w:rsid w:val="45072B42"/>
    <w:rsid w:val="70C6BC87"/>
    <w:rsid w:val="7AAE129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4E46E0"/>
  <w15:docId w15:val="{EC698757-9C1F-4E10-B4A7-3F336E323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C922C7"/>
    <w:pPr>
      <w:spacing w:after="240"/>
      <w:jc w:val="center"/>
    </w:pPr>
  </w:style>
  <w:style w:type="paragraph" w:customStyle="1" w:styleId="Figuretitle">
    <w:name w:val="Figure_title"/>
    <w:basedOn w:val="Tabletitle"/>
    <w:next w:val="Normalaftertitle"/>
    <w:rsid w:val="00C922C7"/>
  </w:style>
  <w:style w:type="paragraph" w:customStyle="1" w:styleId="Tabletitle">
    <w:name w:val="Table_title"/>
    <w:basedOn w:val="TableNo"/>
    <w:next w:val="Tabletext"/>
    <w:rsid w:val="00961860"/>
    <w:pPr>
      <w:tabs>
        <w:tab w:val="clear" w:pos="567"/>
        <w:tab w:val="clear" w:pos="1134"/>
        <w:tab w:val="clear" w:pos="1701"/>
        <w:tab w:val="clear" w:pos="2268"/>
        <w:tab w:val="clear" w:pos="2835"/>
        <w:tab w:val="left" w:pos="2948"/>
        <w:tab w:val="left" w:pos="4082"/>
      </w:tabs>
      <w:spacing w:before="120" w:after="120"/>
    </w:pPr>
    <w:rPr>
      <w:b/>
      <w:caps w:val="0"/>
    </w:rPr>
  </w:style>
  <w:style w:type="paragraph" w:customStyle="1" w:styleId="TableNo">
    <w:name w:val="Table_No"/>
    <w:basedOn w:val="Normal"/>
    <w:next w:val="Tabletitle"/>
    <w:rsid w:val="00C922C7"/>
    <w:pPr>
      <w:keepNext/>
      <w:keepLines/>
      <w:spacing w:before="480"/>
      <w:jc w:val="center"/>
    </w:pPr>
    <w:rPr>
      <w:caps/>
    </w:rPr>
  </w:style>
  <w:style w:type="paragraph" w:customStyle="1" w:styleId="Tabletext">
    <w:name w:val="Table_text"/>
    <w:basedOn w:val="Normal"/>
    <w:rsid w:val="00961860"/>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Tabletext"/>
    <w:rsid w:val="00961860"/>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1F3A98"/>
    <w:rPr>
      <w:color w:val="666666"/>
    </w:rPr>
  </w:style>
  <w:style w:type="paragraph" w:customStyle="1" w:styleId="Reasons">
    <w:name w:val="Reasons"/>
    <w:basedOn w:val="Normal"/>
    <w:qFormat/>
    <w:rsid w:val="004F0FE8"/>
  </w:style>
  <w:style w:type="paragraph" w:styleId="CommentText">
    <w:name w:val="annotation text"/>
    <w:basedOn w:val="Normal"/>
    <w:link w:val="CommentTextChar"/>
    <w:semiHidden/>
    <w:unhideWhenUsed/>
    <w:rsid w:val="00AF0CCF"/>
    <w:rPr>
      <w:sz w:val="20"/>
    </w:rPr>
  </w:style>
  <w:style w:type="character" w:customStyle="1" w:styleId="CommentTextChar">
    <w:name w:val="Comment Text Char"/>
    <w:basedOn w:val="DefaultParagraphFont"/>
    <w:link w:val="CommentText"/>
    <w:semiHidden/>
    <w:rsid w:val="00AF0CCF"/>
    <w:rPr>
      <w:rFonts w:ascii="Calibri" w:hAnsi="Calibri"/>
      <w:lang w:val="en-GB" w:eastAsia="en-US"/>
    </w:rPr>
  </w:style>
  <w:style w:type="character" w:styleId="CommentReference">
    <w:name w:val="annotation reference"/>
    <w:basedOn w:val="DefaultParagraphFont"/>
    <w:uiPriority w:val="99"/>
    <w:semiHidden/>
    <w:unhideWhenUsed/>
    <w:rsid w:val="00AF0CCF"/>
    <w:rPr>
      <w:sz w:val="16"/>
      <w:szCs w:val="16"/>
    </w:rPr>
  </w:style>
  <w:style w:type="character" w:styleId="Strong">
    <w:name w:val="Strong"/>
    <w:basedOn w:val="DefaultParagraphFont"/>
    <w:uiPriority w:val="22"/>
    <w:qFormat/>
    <w:rsid w:val="00B55F1B"/>
    <w:rPr>
      <w:b/>
      <w:bCs/>
    </w:rPr>
  </w:style>
  <w:style w:type="paragraph" w:styleId="Revision">
    <w:name w:val="Revision"/>
    <w:hidden/>
    <w:uiPriority w:val="99"/>
    <w:semiHidden/>
    <w:rsid w:val="00D53DA6"/>
    <w:rPr>
      <w:rFonts w:ascii="Calibri"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tu.int/md/S25-CWGFHR21-C-0012/e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en/council/CWG-SFP-2028-2031/Pages/default.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1cf676c-2816-4389-ad5d-0f2e7c7e67c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6B2CC4DF5F10149B2E37F08EDC3AC3A" ma:contentTypeVersion="12" ma:contentTypeDescription="Create a new document." ma:contentTypeScope="" ma:versionID="1d207994b0e9e4f3247d4bf512df3148">
  <xsd:schema xmlns:xsd="http://www.w3.org/2001/XMLSchema" xmlns:xs="http://www.w3.org/2001/XMLSchema" xmlns:p="http://schemas.microsoft.com/office/2006/metadata/properties" xmlns:ns2="a1cf676c-2816-4389-ad5d-0f2e7c7e67c4" targetNamespace="http://schemas.microsoft.com/office/2006/metadata/properties" ma:root="true" ma:fieldsID="49bab555a022bf1c286878aed27bc1fc" ns2:_="">
    <xsd:import namespace="a1cf676c-2816-4389-ad5d-0f2e7c7e67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f676c-2816-4389-ad5d-0f2e7c7e67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2.xml><?xml version="1.0" encoding="utf-8"?>
<ds:datastoreItem xmlns:ds="http://schemas.openxmlformats.org/officeDocument/2006/customXml" ds:itemID="{E6A07437-6585-4599-BAE3-4CD2C31806E8}">
  <ds:schemaRefs>
    <ds:schemaRef ds:uri="http://schemas.microsoft.com/sharepoint/v3/contenttype/forms"/>
  </ds:schemaRefs>
</ds:datastoreItem>
</file>

<file path=customXml/itemProps3.xml><?xml version="1.0" encoding="utf-8"?>
<ds:datastoreItem xmlns:ds="http://schemas.openxmlformats.org/officeDocument/2006/customXml" ds:itemID="{246285A6-250B-4269-BF0E-7182DF6E21D8}">
  <ds:schemaRefs>
    <ds:schemaRef ds:uri="http://schemas.microsoft.com/office/2006/metadata/properties"/>
    <ds:schemaRef ds:uri="http://schemas.microsoft.com/office/infopath/2007/PartnerControls"/>
    <ds:schemaRef ds:uri="a1cf676c-2816-4389-ad5d-0f2e7c7e67c4"/>
  </ds:schemaRefs>
</ds:datastoreItem>
</file>

<file path=customXml/itemProps4.xml><?xml version="1.0" encoding="utf-8"?>
<ds:datastoreItem xmlns:ds="http://schemas.openxmlformats.org/officeDocument/2006/customXml" ds:itemID="{99EE0CF9-579E-45B8-9B49-D339A15074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f676c-2816-4389-ad5d-0f2e7c7e67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1058</Words>
  <Characters>6813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OUTCOMES AND RECOMMENDATIONS OF THE ITU WORLD CAFÉ</vt:lpstr>
    </vt:vector>
  </TitlesOfParts>
  <Manager/>
  <Company/>
  <LinksUpToDate>false</LinksUpToDate>
  <CharactersWithSpaces>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Outcomes and recommendations of the ITU World Café</dc:title>
  <dc:subject>ITU Council Working Group for strategic and financial plans 2028-2031</dc:subject>
  <dc:creator>Sukenik, Maria Victoria</dc:creator>
  <cp:keywords>CWG-SFP</cp:keywords>
  <dc:description/>
  <cp:lastModifiedBy>GBS</cp:lastModifiedBy>
  <cp:revision>3</cp:revision>
  <dcterms:created xsi:type="dcterms:W3CDTF">2025-09-08T07:39:00Z</dcterms:created>
  <dcterms:modified xsi:type="dcterms:W3CDTF">2025-09-08T07:39:00Z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18b196c3897c6396c63555f2300fd718c6ed98a8dd0a0bb5854d6f9ed44d2978</vt:lpwstr>
  </property>
  <property fmtid="{D5CDD505-2E9C-101B-9397-08002B2CF9AE}" pid="3" name="ContentTypeId">
    <vt:lpwstr>0x01010096B2CC4DF5F10149B2E37F08EDC3AC3A</vt:lpwstr>
  </property>
  <property fmtid="{D5CDD505-2E9C-101B-9397-08002B2CF9AE}" pid="4" name="MediaServiceImageTags">
    <vt:lpwstr/>
  </property>
</Properties>
</file>